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7"/>
        <w:spacing w:after="0"/>
        <w:rPr>
          <w:sz w:val="20"/>
          <w:szCs w:val="20"/>
          <w:color w:val="auto"/>
        </w:rPr>
      </w:pPr>
      <w:r>
        <w:rPr>
          <w:rFonts w:ascii="Arial" w:cs="Arial" w:eastAsia="Arial" w:hAnsi="Arial"/>
          <w:sz w:val="22"/>
          <w:szCs w:val="22"/>
          <w:b w:val="1"/>
          <w:bCs w:val="1"/>
          <w:color w:val="auto"/>
        </w:rPr>
        <w:t>UNITED STATES</w:t>
      </w:r>
    </w:p>
    <w:p>
      <w:pPr>
        <w:spacing w:after="0" w:line="18" w:lineRule="exact"/>
        <w:rPr>
          <w:sz w:val="24"/>
          <w:szCs w:val="24"/>
          <w:color w:val="auto"/>
        </w:rPr>
      </w:pPr>
    </w:p>
    <w:p>
      <w:pPr>
        <w:jc w:val="center"/>
        <w:ind w:right="-10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07"/>
        <w:spacing w:after="0"/>
        <w:rPr>
          <w:sz w:val="20"/>
          <w:szCs w:val="20"/>
          <w:color w:val="auto"/>
        </w:rPr>
      </w:pPr>
      <w:r>
        <w:rPr>
          <w:rFonts w:ascii="Arial" w:cs="Arial" w:eastAsia="Arial" w:hAnsi="Arial"/>
          <w:sz w:val="12"/>
          <w:szCs w:val="12"/>
          <w:b w:val="1"/>
          <w:bCs w:val="1"/>
          <w:color w:val="auto"/>
        </w:rPr>
        <w:t>WASHINGTON, D.C. 20549</w:t>
      </w:r>
    </w:p>
    <w:p>
      <w:pPr>
        <w:spacing w:after="0" w:line="130" w:lineRule="exact"/>
        <w:rPr>
          <w:sz w:val="24"/>
          <w:szCs w:val="24"/>
          <w:color w:val="auto"/>
        </w:rPr>
      </w:pPr>
    </w:p>
    <w:p>
      <w:pPr>
        <w:jc w:val="center"/>
        <w:ind w:right="-107"/>
        <w:spacing w:after="0"/>
        <w:rPr>
          <w:sz w:val="20"/>
          <w:szCs w:val="20"/>
          <w:color w:val="auto"/>
        </w:rPr>
      </w:pPr>
      <w:r>
        <w:rPr>
          <w:rFonts w:ascii="Arial" w:cs="Arial" w:eastAsia="Arial" w:hAnsi="Arial"/>
          <w:sz w:val="22"/>
          <w:szCs w:val="22"/>
          <w:b w:val="1"/>
          <w:bCs w:val="1"/>
          <w:color w:val="auto"/>
        </w:rPr>
        <w:t>FORM 8-K</w:t>
      </w:r>
    </w:p>
    <w:p>
      <w:pPr>
        <w:spacing w:after="0" w:line="152" w:lineRule="exact"/>
        <w:rPr>
          <w:sz w:val="24"/>
          <w:szCs w:val="24"/>
          <w:color w:val="auto"/>
        </w:rPr>
      </w:pPr>
    </w:p>
    <w:p>
      <w:pPr>
        <w:jc w:val="center"/>
        <w:ind w:right="-107"/>
        <w:spacing w:after="0"/>
        <w:rPr>
          <w:sz w:val="20"/>
          <w:szCs w:val="20"/>
          <w:color w:val="auto"/>
        </w:rPr>
      </w:pPr>
      <w:r>
        <w:rPr>
          <w:rFonts w:ascii="Arial" w:cs="Arial" w:eastAsia="Arial" w:hAnsi="Arial"/>
          <w:sz w:val="14"/>
          <w:szCs w:val="14"/>
          <w:b w:val="1"/>
          <w:bCs w:val="1"/>
          <w:color w:val="auto"/>
        </w:rPr>
        <w:t>CURRENT REPORT</w:t>
      </w:r>
    </w:p>
    <w:p>
      <w:pPr>
        <w:spacing w:after="0" w:line="154" w:lineRule="exact"/>
        <w:rPr>
          <w:sz w:val="24"/>
          <w:szCs w:val="24"/>
          <w:color w:val="auto"/>
        </w:rPr>
      </w:pPr>
    </w:p>
    <w:p>
      <w:pPr>
        <w:jc w:val="center"/>
        <w:ind w:right="-107"/>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54"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Date of Report (Date of earliest event reported): May 20, 2021</w:t>
      </w:r>
    </w:p>
    <w:p>
      <w:pPr>
        <w:spacing w:after="0" w:line="140" w:lineRule="exact"/>
        <w:rPr>
          <w:sz w:val="24"/>
          <w:szCs w:val="24"/>
          <w:color w:val="auto"/>
        </w:rPr>
      </w:pPr>
    </w:p>
    <w:p>
      <w:pPr>
        <w:jc w:val="center"/>
        <w:ind w:right="-107"/>
        <w:spacing w:after="0"/>
        <w:rPr>
          <w:sz w:val="20"/>
          <w:szCs w:val="20"/>
          <w:color w:val="auto"/>
        </w:rPr>
      </w:pPr>
      <w:r>
        <w:rPr>
          <w:rFonts w:ascii="Arial" w:cs="Arial" w:eastAsia="Arial" w:hAnsi="Arial"/>
          <w:sz w:val="22"/>
          <w:szCs w:val="22"/>
          <w:b w:val="1"/>
          <w:bCs w:val="1"/>
          <w:color w:val="auto"/>
        </w:rPr>
        <w:t>EMERGENT BIOSOLUTIONS INC.</w:t>
      </w:r>
    </w:p>
    <w:p>
      <w:pPr>
        <w:spacing w:after="0" w:line="19"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(Exact name of registrant as specified in its charter)</w:t>
      </w:r>
    </w:p>
    <w:p>
      <w:pPr>
        <w:spacing w:after="0" w:line="226" w:lineRule="exact"/>
        <w:rPr>
          <w:sz w:val="24"/>
          <w:szCs w:val="24"/>
          <w:color w:val="auto"/>
        </w:rPr>
      </w:pPr>
    </w:p>
    <w:tbl>
      <w:tblPr>
        <w:tblLayout w:type="fixed"/>
        <w:tblInd w:w="1508" w:type="dxa"/>
        <w:tblCellMar>
          <w:top w:w="0" w:type="dxa"/>
          <w:left w:w="0" w:type="dxa"/>
          <w:bottom w:w="0" w:type="dxa"/>
          <w:right w:w="0" w:type="dxa"/>
        </w:tblCellMar>
      </w:tblPr>
      <w:tr>
        <w:trPr>
          <w:trHeight w:val="157"/>
        </w:trPr>
        <w:tc>
          <w:tcPr>
            <w:tcW w:w="2360" w:type="dxa"/>
            <w:vAlign w:val="bottom"/>
          </w:tcPr>
          <w:p>
            <w:pPr>
              <w:jc w:val="center"/>
              <w:ind w:right="1060"/>
              <w:spacing w:after="0"/>
              <w:rPr>
                <w:sz w:val="20"/>
                <w:szCs w:val="20"/>
                <w:color w:val="auto"/>
              </w:rPr>
            </w:pPr>
            <w:r>
              <w:rPr>
                <w:rFonts w:ascii="Arial" w:cs="Arial" w:eastAsia="Arial" w:hAnsi="Arial"/>
                <w:sz w:val="12"/>
                <w:szCs w:val="12"/>
                <w:b w:val="1"/>
                <w:bCs w:val="1"/>
                <w:color w:val="auto"/>
                <w:w w:val="91"/>
              </w:rPr>
              <w:t>Delaware</w:t>
            </w:r>
          </w:p>
        </w:tc>
        <w:tc>
          <w:tcPr>
            <w:tcW w:w="3640" w:type="dxa"/>
            <w:vAlign w:val="bottom"/>
          </w:tcPr>
          <w:p>
            <w:pPr>
              <w:jc w:val="right"/>
              <w:ind w:right="1560"/>
              <w:spacing w:after="0"/>
              <w:rPr>
                <w:sz w:val="20"/>
                <w:szCs w:val="20"/>
                <w:color w:val="auto"/>
              </w:rPr>
            </w:pPr>
            <w:r>
              <w:rPr>
                <w:rFonts w:ascii="Arial" w:cs="Arial" w:eastAsia="Arial" w:hAnsi="Arial"/>
                <w:sz w:val="12"/>
                <w:szCs w:val="12"/>
                <w:b w:val="1"/>
                <w:bCs w:val="1"/>
                <w:color w:val="auto"/>
              </w:rPr>
              <w:t>001-33137</w:t>
            </w:r>
          </w:p>
        </w:tc>
        <w:tc>
          <w:tcPr>
            <w:tcW w:w="2100" w:type="dxa"/>
            <w:vAlign w:val="bottom"/>
          </w:tcPr>
          <w:p>
            <w:pPr>
              <w:jc w:val="center"/>
              <w:ind w:left="1140"/>
              <w:spacing w:after="0"/>
              <w:rPr>
                <w:sz w:val="20"/>
                <w:szCs w:val="20"/>
                <w:color w:val="auto"/>
              </w:rPr>
            </w:pPr>
            <w:r>
              <w:rPr>
                <w:rFonts w:ascii="Arial" w:cs="Arial" w:eastAsia="Arial" w:hAnsi="Arial"/>
                <w:sz w:val="12"/>
                <w:szCs w:val="12"/>
                <w:b w:val="1"/>
                <w:bCs w:val="1"/>
                <w:color w:val="auto"/>
                <w:w w:val="90"/>
              </w:rPr>
              <w:t>14-1902018</w:t>
            </w:r>
          </w:p>
        </w:tc>
      </w:tr>
      <w:tr>
        <w:trPr>
          <w:trHeight w:val="153"/>
        </w:trPr>
        <w:tc>
          <w:tcPr>
            <w:tcW w:w="2360" w:type="dxa"/>
            <w:vAlign w:val="bottom"/>
          </w:tcPr>
          <w:p>
            <w:pPr>
              <w:jc w:val="center"/>
              <w:ind w:right="1040"/>
              <w:spacing w:after="0"/>
              <w:rPr>
                <w:sz w:val="20"/>
                <w:szCs w:val="20"/>
                <w:color w:val="auto"/>
              </w:rPr>
            </w:pPr>
            <w:r>
              <w:rPr>
                <w:rFonts w:ascii="Arial" w:cs="Arial" w:eastAsia="Arial" w:hAnsi="Arial"/>
                <w:sz w:val="12"/>
                <w:szCs w:val="12"/>
                <w:color w:val="auto"/>
                <w:w w:val="92"/>
              </w:rPr>
              <w:t>(State or other jurisdiction</w:t>
            </w:r>
          </w:p>
        </w:tc>
        <w:tc>
          <w:tcPr>
            <w:tcW w:w="3640" w:type="dxa"/>
            <w:vAlign w:val="bottom"/>
          </w:tcPr>
          <w:p>
            <w:pPr>
              <w:jc w:val="center"/>
              <w:ind w:right="60"/>
              <w:spacing w:after="0"/>
              <w:rPr>
                <w:sz w:val="20"/>
                <w:szCs w:val="20"/>
                <w:color w:val="auto"/>
              </w:rPr>
            </w:pPr>
            <w:r>
              <w:rPr>
                <w:rFonts w:ascii="Arial" w:cs="Arial" w:eastAsia="Arial" w:hAnsi="Arial"/>
                <w:sz w:val="12"/>
                <w:szCs w:val="12"/>
                <w:color w:val="auto"/>
                <w:w w:val="92"/>
              </w:rPr>
              <w:t>(Commission File Number)</w:t>
            </w:r>
          </w:p>
        </w:tc>
        <w:tc>
          <w:tcPr>
            <w:tcW w:w="2100" w:type="dxa"/>
            <w:vAlign w:val="bottom"/>
          </w:tcPr>
          <w:p>
            <w:pPr>
              <w:jc w:val="center"/>
              <w:ind w:left="1120"/>
              <w:spacing w:after="0"/>
              <w:rPr>
                <w:sz w:val="20"/>
                <w:szCs w:val="20"/>
                <w:color w:val="auto"/>
              </w:rPr>
            </w:pPr>
            <w:r>
              <w:rPr>
                <w:rFonts w:ascii="Arial" w:cs="Arial" w:eastAsia="Arial" w:hAnsi="Arial"/>
                <w:sz w:val="12"/>
                <w:szCs w:val="12"/>
                <w:color w:val="auto"/>
                <w:w w:val="92"/>
              </w:rPr>
              <w:t>(IRS Employer</w:t>
            </w:r>
          </w:p>
        </w:tc>
      </w:tr>
      <w:tr>
        <w:trPr>
          <w:trHeight w:val="153"/>
        </w:trPr>
        <w:tc>
          <w:tcPr>
            <w:tcW w:w="2360" w:type="dxa"/>
            <w:vAlign w:val="bottom"/>
          </w:tcPr>
          <w:p>
            <w:pPr>
              <w:jc w:val="center"/>
              <w:ind w:right="1040"/>
              <w:spacing w:after="0"/>
              <w:rPr>
                <w:sz w:val="20"/>
                <w:szCs w:val="20"/>
                <w:color w:val="auto"/>
              </w:rPr>
            </w:pPr>
            <w:r>
              <w:rPr>
                <w:rFonts w:ascii="Arial" w:cs="Arial" w:eastAsia="Arial" w:hAnsi="Arial"/>
                <w:sz w:val="12"/>
                <w:szCs w:val="12"/>
                <w:color w:val="auto"/>
                <w:w w:val="94"/>
              </w:rPr>
              <w:t>of incorporation)</w:t>
            </w:r>
          </w:p>
        </w:tc>
        <w:tc>
          <w:tcPr>
            <w:tcW w:w="3640" w:type="dxa"/>
            <w:vAlign w:val="bottom"/>
          </w:tcPr>
          <w:p>
            <w:pPr>
              <w:spacing w:after="0"/>
              <w:rPr>
                <w:sz w:val="13"/>
                <w:szCs w:val="13"/>
                <w:color w:val="auto"/>
              </w:rPr>
            </w:pPr>
          </w:p>
        </w:tc>
        <w:tc>
          <w:tcPr>
            <w:tcW w:w="2100" w:type="dxa"/>
            <w:vAlign w:val="bottom"/>
          </w:tcPr>
          <w:p>
            <w:pPr>
              <w:jc w:val="center"/>
              <w:ind w:left="1140"/>
              <w:spacing w:after="0"/>
              <w:rPr>
                <w:sz w:val="20"/>
                <w:szCs w:val="20"/>
                <w:color w:val="auto"/>
              </w:rPr>
            </w:pPr>
            <w:r>
              <w:rPr>
                <w:rFonts w:ascii="Arial" w:cs="Arial" w:eastAsia="Arial" w:hAnsi="Arial"/>
                <w:sz w:val="12"/>
                <w:szCs w:val="12"/>
                <w:color w:val="auto"/>
                <w:w w:val="96"/>
              </w:rPr>
              <w:t>Identification No.)</w:t>
            </w:r>
          </w:p>
        </w:tc>
      </w:tr>
    </w:tbl>
    <w:p>
      <w:pPr>
        <w:spacing w:after="0" w:line="45" w:lineRule="exact"/>
        <w:rPr>
          <w:sz w:val="24"/>
          <w:szCs w:val="24"/>
          <w:color w:val="auto"/>
        </w:rPr>
      </w:pPr>
    </w:p>
    <w:p>
      <w:pPr>
        <w:ind w:left="4648"/>
        <w:spacing w:after="0"/>
        <w:rPr>
          <w:sz w:val="20"/>
          <w:szCs w:val="20"/>
          <w:color w:val="auto"/>
        </w:rPr>
      </w:pPr>
      <w:r>
        <w:rPr>
          <w:rFonts w:ascii="Arial" w:cs="Arial" w:eastAsia="Arial" w:hAnsi="Arial"/>
          <w:sz w:val="14"/>
          <w:szCs w:val="14"/>
          <w:b w:val="1"/>
          <w:bCs w:val="1"/>
          <w:color w:val="auto"/>
        </w:rPr>
        <w:t>400 Professional Drive, Suite 400,</w:t>
      </w:r>
    </w:p>
    <w:p>
      <w:pPr>
        <w:spacing w:after="0" w:line="25" w:lineRule="exact"/>
        <w:rPr>
          <w:sz w:val="24"/>
          <w:szCs w:val="24"/>
          <w:color w:val="auto"/>
        </w:rPr>
      </w:pPr>
    </w:p>
    <w:p>
      <w:pPr>
        <w:ind w:left="4688"/>
        <w:spacing w:after="0"/>
        <w:rPr>
          <w:sz w:val="20"/>
          <w:szCs w:val="20"/>
          <w:color w:val="auto"/>
        </w:rPr>
      </w:pPr>
      <w:r>
        <w:rPr>
          <w:rFonts w:ascii="Arial" w:cs="Arial" w:eastAsia="Arial" w:hAnsi="Arial"/>
          <w:sz w:val="14"/>
          <w:szCs w:val="14"/>
          <w:b w:val="1"/>
          <w:bCs w:val="1"/>
          <w:color w:val="auto"/>
        </w:rPr>
        <w:t>Gaithersburg, Maryland 20879</w:t>
      </w:r>
    </w:p>
    <w:p>
      <w:pPr>
        <w:spacing w:after="0" w:line="58"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(Address of principal executive offices, including zip code)</w:t>
      </w:r>
    </w:p>
    <w:p>
      <w:pPr>
        <w:spacing w:after="0" w:line="146" w:lineRule="exact"/>
        <w:rPr>
          <w:sz w:val="24"/>
          <w:szCs w:val="24"/>
          <w:color w:val="auto"/>
        </w:rPr>
      </w:pPr>
    </w:p>
    <w:p>
      <w:pPr>
        <w:jc w:val="center"/>
        <w:ind w:right="-107"/>
        <w:spacing w:after="0"/>
        <w:rPr>
          <w:sz w:val="20"/>
          <w:szCs w:val="20"/>
          <w:color w:val="auto"/>
        </w:rPr>
      </w:pPr>
      <w:r>
        <w:rPr>
          <w:rFonts w:ascii="Arial" w:cs="Arial" w:eastAsia="Arial" w:hAnsi="Arial"/>
          <w:sz w:val="12"/>
          <w:szCs w:val="12"/>
          <w:b w:val="1"/>
          <w:bCs w:val="1"/>
          <w:color w:val="auto"/>
        </w:rPr>
        <w:t>(240) 631-3200</w:t>
      </w:r>
    </w:p>
    <w:p>
      <w:pPr>
        <w:spacing w:after="0" w:line="19"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(Registrant’s telephone number, including area code)</w:t>
      </w:r>
    </w:p>
    <w:p>
      <w:pPr>
        <w:spacing w:after="0" w:line="155" w:lineRule="exact"/>
        <w:rPr>
          <w:sz w:val="24"/>
          <w:szCs w:val="24"/>
          <w:color w:val="auto"/>
        </w:rPr>
      </w:pPr>
    </w:p>
    <w:p>
      <w:pPr>
        <w:jc w:val="center"/>
        <w:ind w:right="-107"/>
        <w:spacing w:after="0"/>
        <w:rPr>
          <w:sz w:val="20"/>
          <w:szCs w:val="20"/>
          <w:color w:val="auto"/>
        </w:rPr>
      </w:pPr>
      <w:r>
        <w:rPr>
          <w:rFonts w:ascii="Arial" w:cs="Arial" w:eastAsia="Arial" w:hAnsi="Arial"/>
          <w:sz w:val="12"/>
          <w:szCs w:val="12"/>
          <w:b w:val="1"/>
          <w:bCs w:val="1"/>
          <w:color w:val="auto"/>
        </w:rPr>
        <w:t>N/A</w:t>
      </w:r>
    </w:p>
    <w:p>
      <w:pPr>
        <w:spacing w:after="0" w:line="19"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41"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General Instruction A.2. below):</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700" w:hanging="8"/>
        <w:spacing w:after="0" w:line="500" w:lineRule="auto"/>
        <w:tabs>
          <w:tab w:leader="none" w:pos="149"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tbl>
      <w:tblPr>
        <w:tblLayout w:type="fixed"/>
        <w:tblInd w:w="258" w:type="dxa"/>
        <w:tblCellMar>
          <w:top w:w="0" w:type="dxa"/>
          <w:left w:w="0" w:type="dxa"/>
          <w:bottom w:w="0" w:type="dxa"/>
          <w:right w:w="0" w:type="dxa"/>
        </w:tblCellMar>
      </w:tblPr>
      <w:tr>
        <w:trPr>
          <w:trHeight w:val="143"/>
        </w:trPr>
        <w:tc>
          <w:tcPr>
            <w:tcW w:w="44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Title of each class</w:t>
            </w:r>
          </w:p>
        </w:tc>
        <w:tc>
          <w:tcPr>
            <w:tcW w:w="22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Trading Symbol(s)</w:t>
            </w:r>
          </w:p>
        </w:tc>
        <w:tc>
          <w:tcPr>
            <w:tcW w:w="41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Name of each exchange on which registered</w:t>
            </w:r>
          </w:p>
        </w:tc>
      </w:tr>
      <w:tr>
        <w:trPr>
          <w:trHeight w:val="142"/>
        </w:trPr>
        <w:tc>
          <w:tcPr>
            <w:tcW w:w="4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Common Stock, Par Value $0.001 per share</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EBS</w:t>
            </w:r>
          </w:p>
        </w:tc>
        <w:tc>
          <w:tcPr>
            <w:tcW w:w="4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New York Stock Exchange</w:t>
            </w:r>
          </w:p>
        </w:tc>
      </w:tr>
    </w:tbl>
    <w:p>
      <w:pPr>
        <w:spacing w:after="0" w:line="198" w:lineRule="exact"/>
        <w:rPr>
          <w:sz w:val="24"/>
          <w:szCs w:val="24"/>
          <w:color w:val="auto"/>
        </w:rPr>
      </w:pPr>
    </w:p>
    <w:p>
      <w:pPr>
        <w:ind w:left="8" w:right="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8"/>
        <w:spacing w:after="0" w:line="138" w:lineRule="exact"/>
        <w:tabs>
          <w:tab w:leader="none" w:pos="1448" w:val="left"/>
        </w:tabs>
        <w:rPr>
          <w:sz w:val="20"/>
          <w:szCs w:val="20"/>
          <w:color w:val="auto"/>
        </w:rPr>
      </w:pPr>
      <w:r>
        <w:rPr>
          <w:rFonts w:ascii="Arial" w:cs="Arial" w:eastAsia="Arial" w:hAnsi="Arial"/>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172" w:lineRule="exact"/>
        <w:rPr>
          <w:sz w:val="24"/>
          <w:szCs w:val="24"/>
          <w:color w:val="auto"/>
        </w:rPr>
      </w:pPr>
    </w:p>
    <w:p>
      <w:pPr>
        <w:ind w:left="8"/>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351790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8"/>
          </w:cols>
          <w:pgMar w:left="292" w:top="706" w:right="39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5.02 Departure of Directors or Certain Officers; Election of Directors; Appointment of Certain Officers; Compensatory Arrangements of Certain Officers</w:t>
      </w:r>
      <w:r>
        <w:rPr>
          <w:rFonts w:ascii="Arial" w:cs="Arial" w:eastAsia="Arial" w:hAnsi="Arial"/>
          <w:sz w:val="12"/>
          <w:szCs w:val="12"/>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Amendment to Stock Incentive Plan</w:t>
      </w:r>
    </w:p>
    <w:p>
      <w:pPr>
        <w:spacing w:after="0" w:line="150" w:lineRule="exact"/>
        <w:rPr>
          <w:sz w:val="20"/>
          <w:szCs w:val="20"/>
          <w:color w:val="auto"/>
        </w:rPr>
      </w:pPr>
    </w:p>
    <w:p>
      <w:pPr>
        <w:jc w:val="both"/>
        <w:ind w:right="20" w:firstLine="475"/>
        <w:spacing w:after="0" w:line="245" w:lineRule="auto"/>
        <w:rPr>
          <w:sz w:val="20"/>
          <w:szCs w:val="20"/>
          <w:color w:val="auto"/>
        </w:rPr>
      </w:pPr>
      <w:r>
        <w:rPr>
          <w:rFonts w:ascii="Arial" w:cs="Arial" w:eastAsia="Arial" w:hAnsi="Arial"/>
          <w:sz w:val="12"/>
          <w:szCs w:val="12"/>
          <w:color w:val="auto"/>
        </w:rPr>
        <w:t>On May 20, 2021, Emergent BioSolutions Inc. (the “Company”) held its 2021 annual meeting of stockholders (the “Annual Meeting”). At the Annual Meeting, the Company’s stockholders approved the Emergent BioSolutions Inc. Amended and Restated Stock Incentive Plan (the “Amended Plan”). The Board of Directors previously adopted the Amended Plan on March 18, 2021, subject to stockholder approval.</w:t>
      </w:r>
    </w:p>
    <w:p>
      <w:pPr>
        <w:spacing w:after="0" w:line="132" w:lineRule="exact"/>
        <w:rPr>
          <w:sz w:val="20"/>
          <w:szCs w:val="20"/>
          <w:color w:val="auto"/>
        </w:rPr>
      </w:pPr>
    </w:p>
    <w:p>
      <w:pPr>
        <w:jc w:val="both"/>
        <w:ind w:firstLine="475"/>
        <w:spacing w:after="0" w:line="245" w:lineRule="auto"/>
        <w:rPr>
          <w:sz w:val="20"/>
          <w:szCs w:val="20"/>
          <w:color w:val="auto"/>
        </w:rPr>
      </w:pPr>
      <w:r>
        <w:rPr>
          <w:rFonts w:ascii="Arial" w:cs="Arial" w:eastAsia="Arial" w:hAnsi="Arial"/>
          <w:sz w:val="12"/>
          <w:szCs w:val="12"/>
          <w:color w:val="auto"/>
        </w:rPr>
        <w:t>The Amended Plan increases the number of shares of the Company’s common stock available for issuance under the plan by 3,500,000 shares, subject to adjustment in the event of stock splits and other similar events and removes references to Section 162(m) of the Internal Revenue Code of 1986, as amended.</w:t>
      </w:r>
    </w:p>
    <w:p>
      <w:pPr>
        <w:spacing w:after="0" w:line="132" w:lineRule="exact"/>
        <w:rPr>
          <w:sz w:val="20"/>
          <w:szCs w:val="20"/>
          <w:color w:val="auto"/>
        </w:rPr>
      </w:pPr>
    </w:p>
    <w:p>
      <w:pPr>
        <w:jc w:val="both"/>
        <w:ind w:firstLine="475"/>
        <w:spacing w:after="0" w:line="234" w:lineRule="auto"/>
        <w:rPr>
          <w:sz w:val="20"/>
          <w:szCs w:val="20"/>
          <w:color w:val="auto"/>
        </w:rPr>
      </w:pPr>
      <w:r>
        <w:rPr>
          <w:rFonts w:ascii="Arial" w:cs="Arial" w:eastAsia="Arial" w:hAnsi="Arial"/>
          <w:sz w:val="12"/>
          <w:szCs w:val="12"/>
          <w:color w:val="auto"/>
        </w:rPr>
        <w:t>The description above is a summary of certain provisions contained in the Amended Plan and does not purport to be complete. A more fulsome description of the terms and conditions of the Amended Plan is set forth in the Company’s definitive proxy statement on Schedule 14A related to the Annual Meeting, filed on April 9, 2021 (the “Proxy Statement”). Such descriptions are qualified in their entirety by reference to the Amended Plan, a blacklined copy of which is attached as Appendix A to the Proxy Statement.</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Departure of Director</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Dr. Sue Bailey completed her term as a director of the Company and did not stand for reelection when her term as a Class III director expired at the Annual Meeting.</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5.07 Submission of Matters to a Vote of Security Holders</w:t>
      </w:r>
      <w:r>
        <w:rPr>
          <w:rFonts w:ascii="Arial" w:cs="Arial" w:eastAsia="Arial" w:hAnsi="Arial"/>
          <w:sz w:val="12"/>
          <w:szCs w:val="12"/>
          <w:color w:val="auto"/>
        </w:rPr>
        <w:t>.</w:t>
      </w:r>
    </w:p>
    <w:p>
      <w:pPr>
        <w:spacing w:after="0" w:line="154" w:lineRule="exact"/>
        <w:rPr>
          <w:sz w:val="20"/>
          <w:szCs w:val="20"/>
          <w:color w:val="auto"/>
        </w:rPr>
      </w:pPr>
    </w:p>
    <w:p>
      <w:pPr>
        <w:jc w:val="both"/>
        <w:ind w:firstLine="475"/>
        <w:spacing w:after="0" w:line="234" w:lineRule="auto"/>
        <w:rPr>
          <w:sz w:val="20"/>
          <w:szCs w:val="20"/>
          <w:color w:val="auto"/>
        </w:rPr>
      </w:pPr>
      <w:r>
        <w:rPr>
          <w:rFonts w:ascii="Arial" w:cs="Arial" w:eastAsia="Arial" w:hAnsi="Arial"/>
          <w:sz w:val="12"/>
          <w:szCs w:val="12"/>
          <w:color w:val="auto"/>
        </w:rPr>
        <w:t>As noted above, the Annual Meeting was held on May 20, 2021. A total of 49,582,397 shares of the Company’s common stock were present or represented by proxy, which represented approximately 92.54% of the Company’s 53,576,925 shares of common stock that were outstanding and entitled to vote at the Annual Meeting as of the record date of March 25, 2021. Stockholders considered the four proposals outlined below, each of which is described in more detail in the Proxy Statement.</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0"/>
          <w:szCs w:val="10"/>
          <w:i w:val="1"/>
          <w:iCs w:val="1"/>
          <w:color w:val="auto"/>
        </w:rPr>
        <w:t>Proposal 1</w:t>
      </w:r>
      <w:r>
        <w:rPr>
          <w:rFonts w:ascii="Arial" w:cs="Arial" w:eastAsia="Arial" w:hAnsi="Arial"/>
          <w:sz w:val="10"/>
          <w:szCs w:val="10"/>
          <w:color w:val="auto"/>
        </w:rPr>
        <w:t>. To elect three Class III directors to hold office for a term expiring at our 2024 annual meeting of stockholders and until their respective successors are duly elected and qualified. All director nominees were elected.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The voting results were as follows:</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2280" w:type="dxa"/>
            <w:vAlign w:val="bottom"/>
            <w:tcBorders>
              <w:top w:val="single" w:sz="8" w:color="auto"/>
              <w:left w:val="single" w:sz="8" w:color="auto"/>
              <w:right w:val="single" w:sz="8" w:color="auto"/>
            </w:tcBorders>
            <w:gridSpan w:val="3"/>
          </w:tcPr>
          <w:p>
            <w:pPr>
              <w:ind w:left="680"/>
              <w:spacing w:after="0"/>
              <w:rPr>
                <w:sz w:val="20"/>
                <w:szCs w:val="20"/>
                <w:color w:val="auto"/>
              </w:rPr>
            </w:pPr>
            <w:r>
              <w:rPr>
                <w:rFonts w:ascii="Arial" w:cs="Arial" w:eastAsia="Arial" w:hAnsi="Arial"/>
                <w:sz w:val="12"/>
                <w:szCs w:val="12"/>
                <w:b w:val="1"/>
                <w:bCs w:val="1"/>
                <w:color w:val="auto"/>
              </w:rPr>
              <w:t>Director Nominee</w:t>
            </w:r>
          </w:p>
        </w:tc>
        <w:tc>
          <w:tcPr>
            <w:tcW w:w="1020" w:type="dxa"/>
            <w:vAlign w:val="bottom"/>
            <w:tcBorders>
              <w:top w:val="single" w:sz="8" w:color="auto"/>
            </w:tcBorders>
          </w:tcPr>
          <w:p>
            <w:pPr>
              <w:spacing w:after="0"/>
              <w:rPr>
                <w:sz w:val="12"/>
                <w:szCs w:val="12"/>
                <w:color w:val="auto"/>
              </w:rPr>
            </w:pPr>
          </w:p>
        </w:tc>
        <w:tc>
          <w:tcPr>
            <w:tcW w:w="1220" w:type="dxa"/>
            <w:vAlign w:val="bottom"/>
            <w:tcBorders>
              <w:top w:val="single" w:sz="8" w:color="auto"/>
              <w:right w:val="single" w:sz="8" w:color="auto"/>
            </w:tcBorders>
            <w:gridSpan w:val="2"/>
          </w:tcPr>
          <w:p>
            <w:pPr>
              <w:jc w:val="center"/>
              <w:ind w:right="1040"/>
              <w:spacing w:after="0"/>
              <w:rPr>
                <w:sz w:val="20"/>
                <w:szCs w:val="20"/>
                <w:color w:val="auto"/>
              </w:rPr>
            </w:pPr>
            <w:r>
              <w:rPr>
                <w:rFonts w:ascii="Arial" w:cs="Arial" w:eastAsia="Arial" w:hAnsi="Arial"/>
                <w:sz w:val="12"/>
                <w:szCs w:val="12"/>
                <w:b w:val="1"/>
                <w:bCs w:val="1"/>
                <w:color w:val="auto"/>
                <w:w w:val="92"/>
              </w:rPr>
              <w:t>For</w:t>
            </w:r>
          </w:p>
        </w:tc>
        <w:tc>
          <w:tcPr>
            <w:tcW w:w="224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2"/>
                <w:szCs w:val="12"/>
                <w:b w:val="1"/>
                <w:bCs w:val="1"/>
                <w:color w:val="auto"/>
                <w:w w:val="90"/>
              </w:rPr>
              <w:t>Against</w:t>
            </w:r>
          </w:p>
        </w:tc>
        <w:tc>
          <w:tcPr>
            <w:tcW w:w="224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2"/>
                <w:szCs w:val="12"/>
                <w:b w:val="1"/>
                <w:bCs w:val="1"/>
                <w:color w:val="auto"/>
                <w:w w:val="90"/>
              </w:rPr>
              <w:t>Abstaining</w:t>
            </w:r>
          </w:p>
        </w:tc>
        <w:tc>
          <w:tcPr>
            <w:tcW w:w="224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2"/>
                <w:szCs w:val="12"/>
                <w:b w:val="1"/>
                <w:bCs w:val="1"/>
                <w:color w:val="auto"/>
                <w:w w:val="90"/>
              </w:rPr>
              <w:t>Broker Non-Votes</w:t>
            </w:r>
          </w:p>
        </w:tc>
      </w:tr>
      <w:tr>
        <w:trPr>
          <w:trHeight w:val="20"/>
        </w:trPr>
        <w:tc>
          <w:tcPr>
            <w:tcW w:w="68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r>
      <w:tr>
        <w:trPr>
          <w:trHeight w:val="151"/>
        </w:trPr>
        <w:tc>
          <w:tcPr>
            <w:tcW w:w="22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2"/>
                <w:szCs w:val="12"/>
                <w:color w:val="auto"/>
              </w:rPr>
              <w:t>Robert Kramer</w:t>
            </w:r>
          </w:p>
        </w:tc>
        <w:tc>
          <w:tcPr>
            <w:tcW w:w="224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2"/>
                <w:szCs w:val="12"/>
                <w:color w:val="auto"/>
                <w:w w:val="89"/>
              </w:rPr>
              <w:t>46,009,428</w:t>
            </w:r>
          </w:p>
        </w:tc>
        <w:tc>
          <w:tcPr>
            <w:tcW w:w="224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2"/>
                <w:szCs w:val="12"/>
                <w:color w:val="auto"/>
                <w:w w:val="89"/>
              </w:rPr>
              <w:t>1,220,174</w:t>
            </w:r>
          </w:p>
        </w:tc>
        <w:tc>
          <w:tcPr>
            <w:tcW w:w="1380" w:type="dxa"/>
            <w:vAlign w:val="bottom"/>
            <w:tcBorders>
              <w:bottom w:val="single" w:sz="8" w:color="auto"/>
            </w:tcBorders>
            <w:gridSpan w:val="2"/>
          </w:tcPr>
          <w:p>
            <w:pPr>
              <w:jc w:val="center"/>
              <w:ind w:left="780"/>
              <w:spacing w:after="0"/>
              <w:rPr>
                <w:sz w:val="20"/>
                <w:szCs w:val="20"/>
                <w:color w:val="auto"/>
              </w:rPr>
            </w:pPr>
            <w:r>
              <w:rPr>
                <w:rFonts w:ascii="Arial" w:cs="Arial" w:eastAsia="Arial" w:hAnsi="Arial"/>
                <w:sz w:val="12"/>
                <w:szCs w:val="12"/>
                <w:color w:val="auto"/>
                <w:w w:val="87"/>
              </w:rPr>
              <w:t>115,345</w:t>
            </w:r>
          </w:p>
        </w:tc>
        <w:tc>
          <w:tcPr>
            <w:tcW w:w="86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tcBorders>
            <w:gridSpan w:val="2"/>
          </w:tcPr>
          <w:p>
            <w:pPr>
              <w:jc w:val="center"/>
              <w:ind w:left="580"/>
              <w:spacing w:after="0"/>
              <w:rPr>
                <w:sz w:val="20"/>
                <w:szCs w:val="20"/>
                <w:color w:val="auto"/>
              </w:rPr>
            </w:pPr>
            <w:r>
              <w:rPr>
                <w:rFonts w:ascii="Arial" w:cs="Arial" w:eastAsia="Arial" w:hAnsi="Arial"/>
                <w:sz w:val="12"/>
                <w:szCs w:val="12"/>
                <w:color w:val="auto"/>
                <w:w w:val="89"/>
              </w:rPr>
              <w:t>2,237,450</w:t>
            </w:r>
          </w:p>
        </w:tc>
        <w:tc>
          <w:tcPr>
            <w:tcW w:w="680" w:type="dxa"/>
            <w:vAlign w:val="bottom"/>
            <w:tcBorders>
              <w:bottom w:val="single" w:sz="8" w:color="auto"/>
              <w:right w:val="single" w:sz="8" w:color="auto"/>
            </w:tcBorders>
          </w:tcPr>
          <w:p>
            <w:pPr>
              <w:spacing w:after="0"/>
              <w:rPr>
                <w:sz w:val="13"/>
                <w:szCs w:val="13"/>
                <w:color w:val="auto"/>
              </w:rPr>
            </w:pPr>
          </w:p>
        </w:tc>
      </w:tr>
      <w:tr>
        <w:trPr>
          <w:trHeight w:val="160"/>
        </w:trPr>
        <w:tc>
          <w:tcPr>
            <w:tcW w:w="22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2"/>
                <w:szCs w:val="12"/>
                <w:color w:val="auto"/>
              </w:rPr>
              <w:t>Jerome Hauer</w:t>
            </w:r>
          </w:p>
        </w:tc>
        <w:tc>
          <w:tcPr>
            <w:tcW w:w="224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2"/>
                <w:szCs w:val="12"/>
                <w:color w:val="auto"/>
                <w:w w:val="89"/>
              </w:rPr>
              <w:t>43,425,265</w:t>
            </w:r>
          </w:p>
        </w:tc>
        <w:tc>
          <w:tcPr>
            <w:tcW w:w="224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2"/>
                <w:szCs w:val="12"/>
                <w:color w:val="auto"/>
                <w:w w:val="89"/>
              </w:rPr>
              <w:t>3,804,300</w:t>
            </w:r>
          </w:p>
        </w:tc>
        <w:tc>
          <w:tcPr>
            <w:tcW w:w="1380" w:type="dxa"/>
            <w:vAlign w:val="bottom"/>
            <w:tcBorders>
              <w:bottom w:val="single" w:sz="8" w:color="auto"/>
            </w:tcBorders>
            <w:gridSpan w:val="2"/>
          </w:tcPr>
          <w:p>
            <w:pPr>
              <w:jc w:val="center"/>
              <w:ind w:left="780"/>
              <w:spacing w:after="0"/>
              <w:rPr>
                <w:sz w:val="20"/>
                <w:szCs w:val="20"/>
                <w:color w:val="auto"/>
              </w:rPr>
            </w:pPr>
            <w:r>
              <w:rPr>
                <w:rFonts w:ascii="Arial" w:cs="Arial" w:eastAsia="Arial" w:hAnsi="Arial"/>
                <w:sz w:val="12"/>
                <w:szCs w:val="12"/>
                <w:color w:val="auto"/>
                <w:w w:val="87"/>
              </w:rPr>
              <w:t>115,382</w:t>
            </w:r>
          </w:p>
        </w:tc>
        <w:tc>
          <w:tcPr>
            <w:tcW w:w="86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tcBorders>
            <w:gridSpan w:val="2"/>
          </w:tcPr>
          <w:p>
            <w:pPr>
              <w:jc w:val="center"/>
              <w:ind w:left="580"/>
              <w:spacing w:after="0"/>
              <w:rPr>
                <w:sz w:val="20"/>
                <w:szCs w:val="20"/>
                <w:color w:val="auto"/>
              </w:rPr>
            </w:pPr>
            <w:r>
              <w:rPr>
                <w:rFonts w:ascii="Arial" w:cs="Arial" w:eastAsia="Arial" w:hAnsi="Arial"/>
                <w:sz w:val="12"/>
                <w:szCs w:val="12"/>
                <w:color w:val="auto"/>
                <w:w w:val="89"/>
              </w:rPr>
              <w:t>2,237,450</w:t>
            </w:r>
          </w:p>
        </w:tc>
        <w:tc>
          <w:tcPr>
            <w:tcW w:w="680" w:type="dxa"/>
            <w:vAlign w:val="bottom"/>
            <w:tcBorders>
              <w:bottom w:val="single" w:sz="8" w:color="auto"/>
              <w:right w:val="single" w:sz="8" w:color="auto"/>
            </w:tcBorders>
          </w:tcPr>
          <w:p>
            <w:pPr>
              <w:spacing w:after="0"/>
              <w:rPr>
                <w:sz w:val="13"/>
                <w:szCs w:val="13"/>
                <w:color w:val="auto"/>
              </w:rPr>
            </w:pPr>
          </w:p>
        </w:tc>
      </w:tr>
      <w:tr>
        <w:trPr>
          <w:trHeight w:val="160"/>
        </w:trPr>
        <w:tc>
          <w:tcPr>
            <w:tcW w:w="22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2"/>
                <w:szCs w:val="12"/>
                <w:color w:val="auto"/>
              </w:rPr>
              <w:t>Marvin White</w:t>
            </w:r>
          </w:p>
        </w:tc>
        <w:tc>
          <w:tcPr>
            <w:tcW w:w="224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2"/>
                <w:szCs w:val="12"/>
                <w:color w:val="auto"/>
                <w:w w:val="89"/>
              </w:rPr>
              <w:t>38,135,285</w:t>
            </w:r>
          </w:p>
        </w:tc>
        <w:tc>
          <w:tcPr>
            <w:tcW w:w="224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2"/>
                <w:szCs w:val="12"/>
                <w:color w:val="auto"/>
                <w:w w:val="89"/>
              </w:rPr>
              <w:t>8,490,961</w:t>
            </w:r>
          </w:p>
        </w:tc>
        <w:tc>
          <w:tcPr>
            <w:tcW w:w="1380" w:type="dxa"/>
            <w:vAlign w:val="bottom"/>
            <w:tcBorders>
              <w:bottom w:val="single" w:sz="8" w:color="auto"/>
            </w:tcBorders>
            <w:gridSpan w:val="2"/>
          </w:tcPr>
          <w:p>
            <w:pPr>
              <w:jc w:val="center"/>
              <w:ind w:left="780"/>
              <w:spacing w:after="0"/>
              <w:rPr>
                <w:sz w:val="20"/>
                <w:szCs w:val="20"/>
                <w:color w:val="auto"/>
              </w:rPr>
            </w:pPr>
            <w:r>
              <w:rPr>
                <w:rFonts w:ascii="Arial" w:cs="Arial" w:eastAsia="Arial" w:hAnsi="Arial"/>
                <w:sz w:val="12"/>
                <w:szCs w:val="12"/>
                <w:color w:val="auto"/>
                <w:w w:val="87"/>
              </w:rPr>
              <w:t>718,701</w:t>
            </w:r>
          </w:p>
        </w:tc>
        <w:tc>
          <w:tcPr>
            <w:tcW w:w="86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tcBorders>
            <w:gridSpan w:val="2"/>
          </w:tcPr>
          <w:p>
            <w:pPr>
              <w:jc w:val="center"/>
              <w:ind w:left="580"/>
              <w:spacing w:after="0"/>
              <w:rPr>
                <w:sz w:val="20"/>
                <w:szCs w:val="20"/>
                <w:color w:val="auto"/>
              </w:rPr>
            </w:pPr>
            <w:r>
              <w:rPr>
                <w:rFonts w:ascii="Arial" w:cs="Arial" w:eastAsia="Arial" w:hAnsi="Arial"/>
                <w:sz w:val="12"/>
                <w:szCs w:val="12"/>
                <w:color w:val="auto"/>
                <w:w w:val="89"/>
              </w:rPr>
              <w:t>2,237,450</w:t>
            </w:r>
          </w:p>
        </w:tc>
        <w:tc>
          <w:tcPr>
            <w:tcW w:w="680" w:type="dxa"/>
            <w:vAlign w:val="bottom"/>
            <w:tcBorders>
              <w:bottom w:val="single" w:sz="8" w:color="auto"/>
              <w:right w:val="single" w:sz="8" w:color="auto"/>
            </w:tcBorders>
          </w:tcPr>
          <w:p>
            <w:pPr>
              <w:spacing w:after="0"/>
              <w:rPr>
                <w:sz w:val="13"/>
                <w:szCs w:val="13"/>
                <w:color w:val="auto"/>
              </w:rPr>
            </w:pPr>
          </w:p>
        </w:tc>
      </w:tr>
    </w:tbl>
    <w:p>
      <w:pPr>
        <w:spacing w:after="0" w:line="207" w:lineRule="exact"/>
        <w:rPr>
          <w:sz w:val="20"/>
          <w:szCs w:val="20"/>
          <w:color w:val="auto"/>
        </w:rPr>
      </w:pPr>
    </w:p>
    <w:p>
      <w:pPr>
        <w:ind w:right="120"/>
        <w:spacing w:after="0" w:line="245" w:lineRule="auto"/>
        <w:rPr>
          <w:sz w:val="20"/>
          <w:szCs w:val="20"/>
          <w:color w:val="auto"/>
        </w:rPr>
      </w:pPr>
      <w:r>
        <w:rPr>
          <w:rFonts w:ascii="Arial" w:cs="Arial" w:eastAsia="Arial" w:hAnsi="Arial"/>
          <w:sz w:val="12"/>
          <w:szCs w:val="12"/>
          <w:i w:val="1"/>
          <w:iCs w:val="1"/>
          <w:color w:val="auto"/>
        </w:rPr>
        <w:t>Proposal 2</w:t>
      </w:r>
      <w:r>
        <w:rPr>
          <w:rFonts w:ascii="Arial" w:cs="Arial" w:eastAsia="Arial" w:hAnsi="Arial"/>
          <w:sz w:val="12"/>
          <w:szCs w:val="12"/>
          <w:color w:val="auto"/>
        </w:rPr>
        <w:t>. To ratify the appointment by the Audit Committee of Ernst &amp; Young LLP as our Independent Registered Public Accounting Firm for the fiscal year ending December 31, 2021. Proposal 2 was approved. The voting results</w:t>
      </w:r>
      <w:r>
        <w:rPr>
          <w:rFonts w:ascii="Arial" w:cs="Arial" w:eastAsia="Arial" w:hAnsi="Arial"/>
          <w:sz w:val="12"/>
          <w:szCs w:val="12"/>
          <w:i w:val="1"/>
          <w:iCs w:val="1"/>
          <w:color w:val="auto"/>
        </w:rPr>
        <w:t xml:space="preserve"> </w:t>
      </w:r>
      <w:r>
        <w:rPr>
          <w:rFonts w:ascii="Arial" w:cs="Arial" w:eastAsia="Arial" w:hAnsi="Arial"/>
          <w:sz w:val="12"/>
          <w:szCs w:val="12"/>
          <w:color w:val="auto"/>
        </w:rPr>
        <w:t>were as follows:</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1300" w:type="dxa"/>
            <w:vAlign w:val="bottom"/>
            <w:tcBorders>
              <w:top w:val="single" w:sz="8" w:color="auto"/>
              <w:left w:val="single" w:sz="8" w:color="auto"/>
            </w:tcBorders>
          </w:tcPr>
          <w:p>
            <w:pPr>
              <w:spacing w:after="0"/>
              <w:rPr>
                <w:sz w:val="12"/>
                <w:szCs w:val="12"/>
                <w:color w:val="auto"/>
              </w:rPr>
            </w:pPr>
          </w:p>
        </w:tc>
        <w:tc>
          <w:tcPr>
            <w:tcW w:w="1520" w:type="dxa"/>
            <w:vAlign w:val="bottom"/>
            <w:tcBorders>
              <w:top w:val="single" w:sz="8" w:color="auto"/>
              <w:right w:val="single" w:sz="8" w:color="auto"/>
            </w:tcBorders>
            <w:gridSpan w:val="2"/>
          </w:tcPr>
          <w:p>
            <w:pPr>
              <w:jc w:val="center"/>
              <w:ind w:right="1340"/>
              <w:spacing w:after="0"/>
              <w:rPr>
                <w:sz w:val="20"/>
                <w:szCs w:val="20"/>
                <w:color w:val="auto"/>
              </w:rPr>
            </w:pPr>
            <w:r>
              <w:rPr>
                <w:rFonts w:ascii="Arial" w:cs="Arial" w:eastAsia="Arial" w:hAnsi="Arial"/>
                <w:sz w:val="12"/>
                <w:szCs w:val="12"/>
                <w:b w:val="1"/>
                <w:bCs w:val="1"/>
                <w:color w:val="auto"/>
                <w:w w:val="92"/>
              </w:rPr>
              <w:t>For</w:t>
            </w:r>
          </w:p>
        </w:tc>
        <w:tc>
          <w:tcPr>
            <w:tcW w:w="1180" w:type="dxa"/>
            <w:vAlign w:val="bottom"/>
            <w:tcBorders>
              <w:top w:val="single" w:sz="8" w:color="auto"/>
            </w:tcBorders>
          </w:tcPr>
          <w:p>
            <w:pPr>
              <w:spacing w:after="0"/>
              <w:rPr>
                <w:sz w:val="12"/>
                <w:szCs w:val="12"/>
                <w:color w:val="auto"/>
              </w:rPr>
            </w:pPr>
          </w:p>
        </w:tc>
        <w:tc>
          <w:tcPr>
            <w:tcW w:w="16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2"/>
                <w:szCs w:val="12"/>
                <w:b w:val="1"/>
                <w:bCs w:val="1"/>
                <w:color w:val="auto"/>
              </w:rPr>
              <w:t>Against</w:t>
            </w:r>
          </w:p>
        </w:tc>
        <w:tc>
          <w:tcPr>
            <w:tcW w:w="1100" w:type="dxa"/>
            <w:vAlign w:val="bottom"/>
            <w:tcBorders>
              <w:top w:val="single" w:sz="8" w:color="auto"/>
            </w:tcBorders>
          </w:tcPr>
          <w:p>
            <w:pPr>
              <w:spacing w:after="0"/>
              <w:rPr>
                <w:sz w:val="12"/>
                <w:szCs w:val="12"/>
                <w:color w:val="auto"/>
              </w:rPr>
            </w:pPr>
          </w:p>
        </w:tc>
        <w:tc>
          <w:tcPr>
            <w:tcW w:w="1700" w:type="dxa"/>
            <w:vAlign w:val="bottom"/>
            <w:tcBorders>
              <w:top w:val="single" w:sz="8" w:color="auto"/>
              <w:right w:val="single" w:sz="8" w:color="auto"/>
            </w:tcBorders>
            <w:gridSpan w:val="2"/>
          </w:tcPr>
          <w:p>
            <w:pPr>
              <w:jc w:val="center"/>
              <w:ind w:right="1140"/>
              <w:spacing w:after="0"/>
              <w:rPr>
                <w:sz w:val="20"/>
                <w:szCs w:val="20"/>
                <w:color w:val="auto"/>
              </w:rPr>
            </w:pPr>
            <w:r>
              <w:rPr>
                <w:rFonts w:ascii="Arial" w:cs="Arial" w:eastAsia="Arial" w:hAnsi="Arial"/>
                <w:sz w:val="12"/>
                <w:szCs w:val="12"/>
                <w:b w:val="1"/>
                <w:bCs w:val="1"/>
                <w:color w:val="auto"/>
                <w:w w:val="90"/>
              </w:rPr>
              <w:t>Abstaining</w:t>
            </w:r>
          </w:p>
        </w:tc>
        <w:tc>
          <w:tcPr>
            <w:tcW w:w="900" w:type="dxa"/>
            <w:vAlign w:val="bottom"/>
            <w:tcBorders>
              <w:top w:val="single" w:sz="8" w:color="auto"/>
            </w:tcBorders>
          </w:tcPr>
          <w:p>
            <w:pPr>
              <w:spacing w:after="0"/>
              <w:rPr>
                <w:sz w:val="12"/>
                <w:szCs w:val="12"/>
                <w:color w:val="auto"/>
              </w:rPr>
            </w:pPr>
          </w:p>
        </w:tc>
        <w:tc>
          <w:tcPr>
            <w:tcW w:w="1880" w:type="dxa"/>
            <w:vAlign w:val="bottom"/>
            <w:tcBorders>
              <w:top w:val="single" w:sz="8" w:color="auto"/>
              <w:right w:val="single" w:sz="8" w:color="auto"/>
            </w:tcBorders>
            <w:gridSpan w:val="2"/>
          </w:tcPr>
          <w:p>
            <w:pPr>
              <w:jc w:val="center"/>
              <w:ind w:right="940"/>
              <w:spacing w:after="0"/>
              <w:rPr>
                <w:sz w:val="20"/>
                <w:szCs w:val="20"/>
                <w:color w:val="auto"/>
              </w:rPr>
            </w:pPr>
            <w:r>
              <w:rPr>
                <w:rFonts w:ascii="Arial" w:cs="Arial" w:eastAsia="Arial" w:hAnsi="Arial"/>
                <w:sz w:val="12"/>
                <w:szCs w:val="12"/>
                <w:b w:val="1"/>
                <w:bCs w:val="1"/>
                <w:color w:val="auto"/>
                <w:w w:val="92"/>
              </w:rPr>
              <w:t>Broker Non-Votes</w:t>
            </w:r>
          </w:p>
        </w:tc>
      </w:tr>
      <w:tr>
        <w:trPr>
          <w:trHeight w:val="20"/>
        </w:trPr>
        <w:tc>
          <w:tcPr>
            <w:tcW w:w="130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r>
      <w:tr>
        <w:trPr>
          <w:trHeight w:val="152"/>
        </w:trPr>
        <w:tc>
          <w:tcPr>
            <w:tcW w:w="2820" w:type="dxa"/>
            <w:vAlign w:val="bottom"/>
            <w:tcBorders>
              <w:left w:val="single" w:sz="8" w:color="auto"/>
              <w:bottom w:val="single" w:sz="8" w:color="auto"/>
              <w:right w:val="single" w:sz="8" w:color="auto"/>
            </w:tcBorders>
            <w:gridSpan w:val="3"/>
          </w:tcPr>
          <w:p>
            <w:pPr>
              <w:jc w:val="right"/>
              <w:ind w:right="1160"/>
              <w:spacing w:after="0"/>
              <w:rPr>
                <w:sz w:val="20"/>
                <w:szCs w:val="20"/>
                <w:color w:val="auto"/>
              </w:rPr>
            </w:pPr>
            <w:r>
              <w:rPr>
                <w:rFonts w:ascii="Arial" w:cs="Arial" w:eastAsia="Arial" w:hAnsi="Arial"/>
                <w:sz w:val="12"/>
                <w:szCs w:val="12"/>
                <w:color w:val="auto"/>
              </w:rPr>
              <w:t>49,001,106</w:t>
            </w:r>
          </w:p>
        </w:tc>
        <w:tc>
          <w:tcPr>
            <w:tcW w:w="1560" w:type="dxa"/>
            <w:vAlign w:val="bottom"/>
            <w:tcBorders>
              <w:bottom w:val="single" w:sz="8" w:color="auto"/>
            </w:tcBorders>
            <w:gridSpan w:val="2"/>
          </w:tcPr>
          <w:p>
            <w:pPr>
              <w:ind w:left="1180"/>
              <w:spacing w:after="0"/>
              <w:rPr>
                <w:sz w:val="20"/>
                <w:szCs w:val="20"/>
                <w:color w:val="auto"/>
              </w:rPr>
            </w:pPr>
            <w:r>
              <w:rPr>
                <w:rFonts w:ascii="Arial" w:cs="Arial" w:eastAsia="Arial" w:hAnsi="Arial"/>
                <w:sz w:val="12"/>
                <w:szCs w:val="12"/>
                <w:color w:val="auto"/>
                <w:w w:val="82"/>
              </w:rPr>
              <w:t>538,419</w:t>
            </w:r>
          </w:p>
        </w:tc>
        <w:tc>
          <w:tcPr>
            <w:tcW w:w="122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42,872</w:t>
            </w:r>
          </w:p>
        </w:tc>
        <w:tc>
          <w:tcPr>
            <w:tcW w:w="114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880" w:type="dxa"/>
            <w:vAlign w:val="bottom"/>
            <w:tcBorders>
              <w:bottom w:val="single" w:sz="8" w:color="auto"/>
              <w:right w:val="single" w:sz="8" w:color="auto"/>
            </w:tcBorders>
            <w:gridSpan w:val="2"/>
          </w:tcPr>
          <w:p>
            <w:pPr>
              <w:jc w:val="center"/>
              <w:ind w:right="940"/>
              <w:spacing w:after="0"/>
              <w:rPr>
                <w:sz w:val="20"/>
                <w:szCs w:val="20"/>
                <w:color w:val="auto"/>
              </w:rPr>
            </w:pPr>
            <w:r>
              <w:rPr>
                <w:rFonts w:ascii="Arial" w:cs="Arial" w:eastAsia="Arial" w:hAnsi="Arial"/>
                <w:sz w:val="12"/>
                <w:szCs w:val="12"/>
                <w:color w:val="auto"/>
              </w:rPr>
              <w:t>N/A</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Proposal 3</w:t>
      </w:r>
      <w:r>
        <w:rPr>
          <w:rFonts w:ascii="Arial" w:cs="Arial" w:eastAsia="Arial" w:hAnsi="Arial"/>
          <w:sz w:val="12"/>
          <w:szCs w:val="12"/>
          <w:color w:val="auto"/>
        </w:rPr>
        <w:t>. To approve, on an advisory basis, the compensation of our named executive officers. Proposal 3 was approved. The voting results were as follows:</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1300" w:type="dxa"/>
            <w:vAlign w:val="bottom"/>
            <w:tcBorders>
              <w:top w:val="single" w:sz="8" w:color="auto"/>
              <w:left w:val="single" w:sz="8" w:color="auto"/>
            </w:tcBorders>
          </w:tcPr>
          <w:p>
            <w:pPr>
              <w:spacing w:after="0"/>
              <w:rPr>
                <w:sz w:val="12"/>
                <w:szCs w:val="12"/>
                <w:color w:val="auto"/>
              </w:rPr>
            </w:pPr>
          </w:p>
        </w:tc>
        <w:tc>
          <w:tcPr>
            <w:tcW w:w="1520" w:type="dxa"/>
            <w:vAlign w:val="bottom"/>
            <w:tcBorders>
              <w:top w:val="single" w:sz="8" w:color="auto"/>
              <w:right w:val="single" w:sz="8" w:color="auto"/>
            </w:tcBorders>
            <w:gridSpan w:val="2"/>
          </w:tcPr>
          <w:p>
            <w:pPr>
              <w:jc w:val="center"/>
              <w:ind w:right="1340"/>
              <w:spacing w:after="0"/>
              <w:rPr>
                <w:sz w:val="20"/>
                <w:szCs w:val="20"/>
                <w:color w:val="auto"/>
              </w:rPr>
            </w:pPr>
            <w:r>
              <w:rPr>
                <w:rFonts w:ascii="Arial" w:cs="Arial" w:eastAsia="Arial" w:hAnsi="Arial"/>
                <w:sz w:val="12"/>
                <w:szCs w:val="12"/>
                <w:b w:val="1"/>
                <w:bCs w:val="1"/>
                <w:color w:val="auto"/>
                <w:w w:val="92"/>
              </w:rPr>
              <w:t>For</w:t>
            </w:r>
          </w:p>
        </w:tc>
        <w:tc>
          <w:tcPr>
            <w:tcW w:w="1180" w:type="dxa"/>
            <w:vAlign w:val="bottom"/>
            <w:tcBorders>
              <w:top w:val="single" w:sz="8" w:color="auto"/>
            </w:tcBorders>
          </w:tcPr>
          <w:p>
            <w:pPr>
              <w:spacing w:after="0"/>
              <w:rPr>
                <w:sz w:val="12"/>
                <w:szCs w:val="12"/>
                <w:color w:val="auto"/>
              </w:rPr>
            </w:pPr>
          </w:p>
        </w:tc>
        <w:tc>
          <w:tcPr>
            <w:tcW w:w="1600" w:type="dxa"/>
            <w:vAlign w:val="bottom"/>
            <w:tcBorders>
              <w:top w:val="single" w:sz="8" w:color="auto"/>
              <w:right w:val="single" w:sz="8" w:color="auto"/>
            </w:tcBorders>
            <w:gridSpan w:val="2"/>
          </w:tcPr>
          <w:p>
            <w:pPr>
              <w:jc w:val="center"/>
              <w:ind w:right="1220"/>
              <w:spacing w:after="0"/>
              <w:rPr>
                <w:sz w:val="20"/>
                <w:szCs w:val="20"/>
                <w:color w:val="auto"/>
              </w:rPr>
            </w:pPr>
            <w:r>
              <w:rPr>
                <w:rFonts w:ascii="Arial" w:cs="Arial" w:eastAsia="Arial" w:hAnsi="Arial"/>
                <w:sz w:val="12"/>
                <w:szCs w:val="12"/>
                <w:b w:val="1"/>
                <w:bCs w:val="1"/>
                <w:color w:val="auto"/>
                <w:w w:val="86"/>
              </w:rPr>
              <w:t>Against</w:t>
            </w:r>
          </w:p>
        </w:tc>
        <w:tc>
          <w:tcPr>
            <w:tcW w:w="1100" w:type="dxa"/>
            <w:vAlign w:val="bottom"/>
            <w:tcBorders>
              <w:top w:val="single" w:sz="8" w:color="auto"/>
            </w:tcBorders>
          </w:tcPr>
          <w:p>
            <w:pPr>
              <w:spacing w:after="0"/>
              <w:rPr>
                <w:sz w:val="12"/>
                <w:szCs w:val="12"/>
                <w:color w:val="auto"/>
              </w:rPr>
            </w:pPr>
          </w:p>
        </w:tc>
        <w:tc>
          <w:tcPr>
            <w:tcW w:w="1700" w:type="dxa"/>
            <w:vAlign w:val="bottom"/>
            <w:tcBorders>
              <w:top w:val="single" w:sz="8" w:color="auto"/>
              <w:right w:val="single" w:sz="8" w:color="auto"/>
            </w:tcBorders>
            <w:gridSpan w:val="2"/>
          </w:tcPr>
          <w:p>
            <w:pPr>
              <w:jc w:val="center"/>
              <w:ind w:right="1140"/>
              <w:spacing w:after="0"/>
              <w:rPr>
                <w:sz w:val="20"/>
                <w:szCs w:val="20"/>
                <w:color w:val="auto"/>
              </w:rPr>
            </w:pPr>
            <w:r>
              <w:rPr>
                <w:rFonts w:ascii="Arial" w:cs="Arial" w:eastAsia="Arial" w:hAnsi="Arial"/>
                <w:sz w:val="12"/>
                <w:szCs w:val="12"/>
                <w:b w:val="1"/>
                <w:bCs w:val="1"/>
                <w:color w:val="auto"/>
                <w:w w:val="90"/>
              </w:rPr>
              <w:t>Abstaining</w:t>
            </w:r>
          </w:p>
        </w:tc>
        <w:tc>
          <w:tcPr>
            <w:tcW w:w="900" w:type="dxa"/>
            <w:vAlign w:val="bottom"/>
            <w:tcBorders>
              <w:top w:val="single" w:sz="8" w:color="auto"/>
            </w:tcBorders>
          </w:tcPr>
          <w:p>
            <w:pPr>
              <w:spacing w:after="0"/>
              <w:rPr>
                <w:sz w:val="12"/>
                <w:szCs w:val="12"/>
                <w:color w:val="auto"/>
              </w:rPr>
            </w:pPr>
          </w:p>
        </w:tc>
        <w:tc>
          <w:tcPr>
            <w:tcW w:w="1880" w:type="dxa"/>
            <w:vAlign w:val="bottom"/>
            <w:tcBorders>
              <w:top w:val="single" w:sz="8" w:color="auto"/>
              <w:right w:val="single" w:sz="8" w:color="auto"/>
            </w:tcBorders>
            <w:gridSpan w:val="2"/>
          </w:tcPr>
          <w:p>
            <w:pPr>
              <w:jc w:val="center"/>
              <w:ind w:right="940"/>
              <w:spacing w:after="0"/>
              <w:rPr>
                <w:sz w:val="20"/>
                <w:szCs w:val="20"/>
                <w:color w:val="auto"/>
              </w:rPr>
            </w:pPr>
            <w:r>
              <w:rPr>
                <w:rFonts w:ascii="Arial" w:cs="Arial" w:eastAsia="Arial" w:hAnsi="Arial"/>
                <w:sz w:val="12"/>
                <w:szCs w:val="12"/>
                <w:b w:val="1"/>
                <w:bCs w:val="1"/>
                <w:color w:val="auto"/>
                <w:w w:val="92"/>
              </w:rPr>
              <w:t>Broker Non-Votes</w:t>
            </w:r>
          </w:p>
        </w:tc>
      </w:tr>
      <w:tr>
        <w:trPr>
          <w:trHeight w:val="20"/>
        </w:trPr>
        <w:tc>
          <w:tcPr>
            <w:tcW w:w="130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r>
      <w:tr>
        <w:trPr>
          <w:trHeight w:val="151"/>
        </w:trPr>
        <w:tc>
          <w:tcPr>
            <w:tcW w:w="2820" w:type="dxa"/>
            <w:vAlign w:val="bottom"/>
            <w:tcBorders>
              <w:left w:val="single" w:sz="8" w:color="auto"/>
              <w:bottom w:val="single" w:sz="8" w:color="auto"/>
              <w:right w:val="single" w:sz="8" w:color="auto"/>
            </w:tcBorders>
            <w:gridSpan w:val="3"/>
          </w:tcPr>
          <w:p>
            <w:pPr>
              <w:jc w:val="right"/>
              <w:ind w:right="1160"/>
              <w:spacing w:after="0"/>
              <w:rPr>
                <w:sz w:val="20"/>
                <w:szCs w:val="20"/>
                <w:color w:val="auto"/>
              </w:rPr>
            </w:pPr>
            <w:r>
              <w:rPr>
                <w:rFonts w:ascii="Arial" w:cs="Arial" w:eastAsia="Arial" w:hAnsi="Arial"/>
                <w:sz w:val="12"/>
                <w:szCs w:val="12"/>
                <w:color w:val="auto"/>
              </w:rPr>
              <w:t>45,345,745</w:t>
            </w:r>
          </w:p>
        </w:tc>
        <w:tc>
          <w:tcPr>
            <w:tcW w:w="2780" w:type="dxa"/>
            <w:vAlign w:val="bottom"/>
            <w:tcBorders>
              <w:bottom w:val="single" w:sz="8" w:color="auto"/>
              <w:right w:val="single" w:sz="8" w:color="auto"/>
            </w:tcBorders>
            <w:gridSpan w:val="3"/>
          </w:tcPr>
          <w:p>
            <w:pPr>
              <w:jc w:val="right"/>
              <w:ind w:right="1160"/>
              <w:spacing w:after="0"/>
              <w:rPr>
                <w:sz w:val="20"/>
                <w:szCs w:val="20"/>
                <w:color w:val="auto"/>
              </w:rPr>
            </w:pPr>
            <w:r>
              <w:rPr>
                <w:rFonts w:ascii="Arial" w:cs="Arial" w:eastAsia="Arial" w:hAnsi="Arial"/>
                <w:sz w:val="12"/>
                <w:szCs w:val="12"/>
                <w:color w:val="auto"/>
              </w:rPr>
              <w:t>1,957,145</w:t>
            </w:r>
          </w:p>
        </w:tc>
        <w:tc>
          <w:tcPr>
            <w:tcW w:w="1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42,057</w:t>
            </w:r>
          </w:p>
        </w:tc>
        <w:tc>
          <w:tcPr>
            <w:tcW w:w="1140" w:type="dxa"/>
            <w:vAlign w:val="bottom"/>
            <w:tcBorders>
              <w:bottom w:val="single" w:sz="8" w:color="auto"/>
              <w:right w:val="single" w:sz="8" w:color="auto"/>
            </w:tcBorders>
          </w:tcPr>
          <w:p>
            <w:pPr>
              <w:spacing w:after="0"/>
              <w:rPr>
                <w:sz w:val="13"/>
                <w:szCs w:val="13"/>
                <w:color w:val="auto"/>
              </w:rPr>
            </w:pPr>
          </w:p>
        </w:tc>
        <w:tc>
          <w:tcPr>
            <w:tcW w:w="18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2,237,450</w:t>
            </w:r>
          </w:p>
        </w:tc>
        <w:tc>
          <w:tcPr>
            <w:tcW w:w="940" w:type="dxa"/>
            <w:vAlign w:val="bottom"/>
            <w:tcBorders>
              <w:bottom w:val="single" w:sz="8" w:color="auto"/>
              <w:right w:val="single" w:sz="8" w:color="auto"/>
            </w:tcBorders>
          </w:tcPr>
          <w:p>
            <w:pPr>
              <w:spacing w:after="0"/>
              <w:rPr>
                <w:sz w:val="13"/>
                <w:szCs w:val="13"/>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Proposal 4</w:t>
      </w:r>
      <w:r>
        <w:rPr>
          <w:rFonts w:ascii="Arial" w:cs="Arial" w:eastAsia="Arial" w:hAnsi="Arial"/>
          <w:sz w:val="12"/>
          <w:szCs w:val="12"/>
          <w:color w:val="auto"/>
        </w:rPr>
        <w:t>. To approve an amendment to our stock incentive plan. Proposal 4 was approved. The voting results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465455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93" w:right="299" w:bottom="1440" w:gutter="0" w:footer="0" w:header="0"/>
        </w:sectPr>
      </w:pPr>
    </w:p>
    <w:bookmarkStart w:id="2" w:name="page3"/>
    <w:bookmarkEnd w:id="2"/>
    <w:tbl>
      <w:tblPr>
        <w:tblLayout w:type="fixed"/>
        <w:tblInd w:w="18" w:type="dxa"/>
        <w:tblCellMar>
          <w:top w:w="0" w:type="dxa"/>
          <w:left w:w="0" w:type="dxa"/>
          <w:bottom w:w="0" w:type="dxa"/>
          <w:right w:w="0" w:type="dxa"/>
        </w:tblCellMar>
      </w:tblPr>
      <w:tr>
        <w:trPr>
          <w:trHeight w:val="144"/>
        </w:trPr>
        <w:tc>
          <w:tcPr>
            <w:tcW w:w="1300" w:type="dxa"/>
            <w:vAlign w:val="bottom"/>
            <w:tcBorders>
              <w:top w:val="single" w:sz="8" w:color="auto"/>
              <w:left w:val="single" w:sz="8" w:color="auto"/>
            </w:tcBorders>
          </w:tcPr>
          <w:p>
            <w:pPr>
              <w:spacing w:after="0"/>
              <w:rPr>
                <w:sz w:val="12"/>
                <w:szCs w:val="12"/>
                <w:color w:val="auto"/>
              </w:rPr>
            </w:pPr>
          </w:p>
        </w:tc>
        <w:tc>
          <w:tcPr>
            <w:tcW w:w="1520" w:type="dxa"/>
            <w:vAlign w:val="bottom"/>
            <w:tcBorders>
              <w:top w:val="single" w:sz="8" w:color="auto"/>
              <w:right w:val="single" w:sz="8" w:color="auto"/>
            </w:tcBorders>
            <w:gridSpan w:val="2"/>
          </w:tcPr>
          <w:p>
            <w:pPr>
              <w:jc w:val="center"/>
              <w:ind w:right="1340"/>
              <w:spacing w:after="0"/>
              <w:rPr>
                <w:sz w:val="20"/>
                <w:szCs w:val="20"/>
                <w:color w:val="auto"/>
              </w:rPr>
            </w:pPr>
            <w:r>
              <w:rPr>
                <w:rFonts w:ascii="Arial" w:cs="Arial" w:eastAsia="Arial" w:hAnsi="Arial"/>
                <w:sz w:val="12"/>
                <w:szCs w:val="12"/>
                <w:b w:val="1"/>
                <w:bCs w:val="1"/>
                <w:color w:val="auto"/>
                <w:w w:val="92"/>
              </w:rPr>
              <w:t>For</w:t>
            </w:r>
          </w:p>
        </w:tc>
        <w:tc>
          <w:tcPr>
            <w:tcW w:w="1180" w:type="dxa"/>
            <w:vAlign w:val="bottom"/>
            <w:tcBorders>
              <w:top w:val="single" w:sz="8" w:color="auto"/>
            </w:tcBorders>
          </w:tcPr>
          <w:p>
            <w:pPr>
              <w:spacing w:after="0"/>
              <w:rPr>
                <w:sz w:val="12"/>
                <w:szCs w:val="12"/>
                <w:color w:val="auto"/>
              </w:rPr>
            </w:pPr>
          </w:p>
        </w:tc>
        <w:tc>
          <w:tcPr>
            <w:tcW w:w="1600" w:type="dxa"/>
            <w:vAlign w:val="bottom"/>
            <w:tcBorders>
              <w:top w:val="single" w:sz="8" w:color="auto"/>
              <w:right w:val="single" w:sz="8" w:color="auto"/>
            </w:tcBorders>
            <w:gridSpan w:val="2"/>
          </w:tcPr>
          <w:p>
            <w:pPr>
              <w:jc w:val="center"/>
              <w:ind w:right="1220"/>
              <w:spacing w:after="0"/>
              <w:rPr>
                <w:sz w:val="20"/>
                <w:szCs w:val="20"/>
                <w:color w:val="auto"/>
              </w:rPr>
            </w:pPr>
            <w:r>
              <w:rPr>
                <w:rFonts w:ascii="Arial" w:cs="Arial" w:eastAsia="Arial" w:hAnsi="Arial"/>
                <w:sz w:val="12"/>
                <w:szCs w:val="12"/>
                <w:b w:val="1"/>
                <w:bCs w:val="1"/>
                <w:color w:val="auto"/>
                <w:w w:val="86"/>
              </w:rPr>
              <w:t>Against</w:t>
            </w:r>
          </w:p>
        </w:tc>
        <w:tc>
          <w:tcPr>
            <w:tcW w:w="1100" w:type="dxa"/>
            <w:vAlign w:val="bottom"/>
            <w:tcBorders>
              <w:top w:val="single" w:sz="8" w:color="auto"/>
            </w:tcBorders>
          </w:tcPr>
          <w:p>
            <w:pPr>
              <w:spacing w:after="0"/>
              <w:rPr>
                <w:sz w:val="12"/>
                <w:szCs w:val="12"/>
                <w:color w:val="auto"/>
              </w:rPr>
            </w:pPr>
          </w:p>
        </w:tc>
        <w:tc>
          <w:tcPr>
            <w:tcW w:w="1700" w:type="dxa"/>
            <w:vAlign w:val="bottom"/>
            <w:tcBorders>
              <w:top w:val="single" w:sz="8" w:color="auto"/>
              <w:right w:val="single" w:sz="8" w:color="auto"/>
            </w:tcBorders>
            <w:gridSpan w:val="2"/>
          </w:tcPr>
          <w:p>
            <w:pPr>
              <w:jc w:val="center"/>
              <w:ind w:right="1140"/>
              <w:spacing w:after="0"/>
              <w:rPr>
                <w:sz w:val="20"/>
                <w:szCs w:val="20"/>
                <w:color w:val="auto"/>
              </w:rPr>
            </w:pPr>
            <w:r>
              <w:rPr>
                <w:rFonts w:ascii="Arial" w:cs="Arial" w:eastAsia="Arial" w:hAnsi="Arial"/>
                <w:sz w:val="12"/>
                <w:szCs w:val="12"/>
                <w:b w:val="1"/>
                <w:bCs w:val="1"/>
                <w:color w:val="auto"/>
                <w:w w:val="90"/>
              </w:rPr>
              <w:t>Abstaining</w:t>
            </w:r>
          </w:p>
        </w:tc>
        <w:tc>
          <w:tcPr>
            <w:tcW w:w="900" w:type="dxa"/>
            <w:vAlign w:val="bottom"/>
            <w:tcBorders>
              <w:top w:val="single" w:sz="8" w:color="auto"/>
            </w:tcBorders>
          </w:tcPr>
          <w:p>
            <w:pPr>
              <w:spacing w:after="0"/>
              <w:rPr>
                <w:sz w:val="12"/>
                <w:szCs w:val="12"/>
                <w:color w:val="auto"/>
              </w:rPr>
            </w:pPr>
          </w:p>
        </w:tc>
        <w:tc>
          <w:tcPr>
            <w:tcW w:w="1880" w:type="dxa"/>
            <w:vAlign w:val="bottom"/>
            <w:tcBorders>
              <w:top w:val="single" w:sz="8" w:color="auto"/>
              <w:right w:val="single" w:sz="8" w:color="auto"/>
            </w:tcBorders>
            <w:gridSpan w:val="2"/>
          </w:tcPr>
          <w:p>
            <w:pPr>
              <w:jc w:val="center"/>
              <w:ind w:right="940"/>
              <w:spacing w:after="0"/>
              <w:rPr>
                <w:sz w:val="20"/>
                <w:szCs w:val="20"/>
                <w:color w:val="auto"/>
              </w:rPr>
            </w:pPr>
            <w:r>
              <w:rPr>
                <w:rFonts w:ascii="Arial" w:cs="Arial" w:eastAsia="Arial" w:hAnsi="Arial"/>
                <w:sz w:val="12"/>
                <w:szCs w:val="12"/>
                <w:b w:val="1"/>
                <w:bCs w:val="1"/>
                <w:color w:val="auto"/>
                <w:w w:val="92"/>
              </w:rPr>
              <w:t>Broker Non-Votes</w:t>
            </w:r>
          </w:p>
        </w:tc>
      </w:tr>
      <w:tr>
        <w:trPr>
          <w:trHeight w:val="20"/>
        </w:trPr>
        <w:tc>
          <w:tcPr>
            <w:tcW w:w="130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r>
      <w:tr>
        <w:trPr>
          <w:trHeight w:val="152"/>
        </w:trPr>
        <w:tc>
          <w:tcPr>
            <w:tcW w:w="2820" w:type="dxa"/>
            <w:vAlign w:val="bottom"/>
            <w:tcBorders>
              <w:left w:val="single" w:sz="8" w:color="auto"/>
              <w:bottom w:val="single" w:sz="8" w:color="auto"/>
              <w:right w:val="single" w:sz="8" w:color="auto"/>
            </w:tcBorders>
            <w:gridSpan w:val="3"/>
          </w:tcPr>
          <w:p>
            <w:pPr>
              <w:jc w:val="right"/>
              <w:ind w:right="1160"/>
              <w:spacing w:after="0"/>
              <w:rPr>
                <w:sz w:val="20"/>
                <w:szCs w:val="20"/>
                <w:color w:val="auto"/>
              </w:rPr>
            </w:pPr>
            <w:r>
              <w:rPr>
                <w:rFonts w:ascii="Arial" w:cs="Arial" w:eastAsia="Arial" w:hAnsi="Arial"/>
                <w:sz w:val="12"/>
                <w:szCs w:val="12"/>
                <w:color w:val="auto"/>
              </w:rPr>
              <w:t>44,092,331</w:t>
            </w:r>
          </w:p>
        </w:tc>
        <w:tc>
          <w:tcPr>
            <w:tcW w:w="2780" w:type="dxa"/>
            <w:vAlign w:val="bottom"/>
            <w:tcBorders>
              <w:bottom w:val="single" w:sz="8" w:color="auto"/>
              <w:right w:val="single" w:sz="8" w:color="auto"/>
            </w:tcBorders>
            <w:gridSpan w:val="3"/>
          </w:tcPr>
          <w:p>
            <w:pPr>
              <w:jc w:val="right"/>
              <w:ind w:right="1160"/>
              <w:spacing w:after="0"/>
              <w:rPr>
                <w:sz w:val="20"/>
                <w:szCs w:val="20"/>
                <w:color w:val="auto"/>
              </w:rPr>
            </w:pPr>
            <w:r>
              <w:rPr>
                <w:rFonts w:ascii="Arial" w:cs="Arial" w:eastAsia="Arial" w:hAnsi="Arial"/>
                <w:sz w:val="12"/>
                <w:szCs w:val="12"/>
                <w:color w:val="auto"/>
              </w:rPr>
              <w:t>3,208,764</w:t>
            </w:r>
          </w:p>
        </w:tc>
        <w:tc>
          <w:tcPr>
            <w:tcW w:w="1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43,852</w:t>
            </w:r>
          </w:p>
        </w:tc>
        <w:tc>
          <w:tcPr>
            <w:tcW w:w="1140" w:type="dxa"/>
            <w:vAlign w:val="bottom"/>
            <w:tcBorders>
              <w:bottom w:val="single" w:sz="8" w:color="auto"/>
              <w:right w:val="single" w:sz="8" w:color="auto"/>
            </w:tcBorders>
          </w:tcPr>
          <w:p>
            <w:pPr>
              <w:spacing w:after="0"/>
              <w:rPr>
                <w:sz w:val="13"/>
                <w:szCs w:val="13"/>
                <w:color w:val="auto"/>
              </w:rPr>
            </w:pPr>
          </w:p>
        </w:tc>
        <w:tc>
          <w:tcPr>
            <w:tcW w:w="18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2,237,450</w:t>
            </w:r>
          </w:p>
        </w:tc>
        <w:tc>
          <w:tcPr>
            <w:tcW w:w="940" w:type="dxa"/>
            <w:vAlign w:val="bottom"/>
            <w:tcBorders>
              <w:bottom w:val="single" w:sz="8" w:color="auto"/>
              <w:right w:val="single" w:sz="8" w:color="auto"/>
            </w:tcBorders>
          </w:tcPr>
          <w:p>
            <w:pPr>
              <w:spacing w:after="0"/>
              <w:rPr>
                <w:sz w:val="13"/>
                <w:szCs w:val="13"/>
                <w:color w:val="auto"/>
              </w:rPr>
            </w:pPr>
          </w:p>
        </w:tc>
      </w:tr>
    </w:tbl>
    <w:p>
      <w:pPr>
        <w:spacing w:after="0" w:line="20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7.01 Regulation FD Disclosure.</w:t>
      </w:r>
    </w:p>
    <w:p>
      <w:pPr>
        <w:spacing w:after="0" w:line="154" w:lineRule="exact"/>
        <w:rPr>
          <w:sz w:val="20"/>
          <w:szCs w:val="20"/>
          <w:color w:val="auto"/>
        </w:rPr>
      </w:pPr>
    </w:p>
    <w:p>
      <w:pPr>
        <w:ind w:left="468"/>
        <w:spacing w:after="0"/>
        <w:rPr>
          <w:sz w:val="20"/>
          <w:szCs w:val="20"/>
          <w:color w:val="auto"/>
        </w:rPr>
      </w:pPr>
      <w:r>
        <w:rPr>
          <w:rFonts w:ascii="Arial" w:cs="Arial" w:eastAsia="Arial" w:hAnsi="Arial"/>
          <w:sz w:val="12"/>
          <w:szCs w:val="12"/>
          <w:color w:val="auto"/>
        </w:rPr>
        <w:t>On May 20, 2021, Company management delivered a presentation at the Annual Meeting. A copy of the presentation is being furnished as Exhibit 99 hereto.</w:t>
      </w:r>
    </w:p>
    <w:p>
      <w:pPr>
        <w:spacing w:after="0" w:line="19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9.01. Financial Statements and Exhibits</w:t>
      </w:r>
      <w:r>
        <w:rPr>
          <w:rFonts w:ascii="Arial" w:cs="Arial" w:eastAsia="Arial" w:hAnsi="Arial"/>
          <w:sz w:val="12"/>
          <w:szCs w:val="12"/>
          <w:color w:val="auto"/>
        </w:rPr>
        <w:t>.</w:t>
      </w:r>
    </w:p>
    <w:p>
      <w:pPr>
        <w:spacing w:after="0" w:line="244" w:lineRule="exact"/>
        <w:rPr>
          <w:sz w:val="20"/>
          <w:szCs w:val="20"/>
          <w:color w:val="auto"/>
        </w:rPr>
      </w:pPr>
    </w:p>
    <w:p>
      <w:pPr>
        <w:ind w:left="268" w:hanging="268"/>
        <w:spacing w:after="0"/>
        <w:tabs>
          <w:tab w:leader="none" w:pos="268" w:val="left"/>
        </w:tabs>
        <w:numPr>
          <w:ilvl w:val="0"/>
          <w:numId w:val="2"/>
        </w:numPr>
        <w:rPr>
          <w:rFonts w:ascii="Arial" w:cs="Arial" w:eastAsia="Arial" w:hAnsi="Arial"/>
          <w:sz w:val="12"/>
          <w:szCs w:val="12"/>
          <w:color w:val="auto"/>
        </w:rPr>
      </w:pPr>
      <w:r>
        <w:rPr>
          <w:rFonts w:ascii="Arial" w:cs="Arial" w:eastAsia="Arial" w:hAnsi="Arial"/>
          <w:sz w:val="12"/>
          <w:szCs w:val="12"/>
          <w:color w:val="auto"/>
        </w:rPr>
        <w:t>Exhibits.</w:t>
      </w:r>
    </w:p>
    <w:p>
      <w:pPr>
        <w:spacing w:after="0" w:line="263" w:lineRule="exact"/>
        <w:rPr>
          <w:sz w:val="20"/>
          <w:szCs w:val="20"/>
          <w:color w:val="auto"/>
        </w:rPr>
      </w:pPr>
    </w:p>
    <w:p>
      <w:pPr>
        <w:ind w:left="8"/>
        <w:spacing w:after="0"/>
        <w:tabs>
          <w:tab w:leader="none" w:pos="5788" w:val="left"/>
        </w:tabs>
        <w:rPr>
          <w:sz w:val="20"/>
          <w:szCs w:val="20"/>
          <w:color w:val="auto"/>
        </w:rPr>
      </w:pPr>
      <w:r>
        <w:rPr>
          <w:rFonts w:ascii="Arial" w:cs="Arial" w:eastAsia="Arial" w:hAnsi="Arial"/>
          <w:sz w:val="12"/>
          <w:szCs w:val="12"/>
          <w:b w:val="1"/>
          <w:bCs w:val="1"/>
          <w:color w:val="auto"/>
        </w:rPr>
        <w:t>Exhibit No.</w:t>
      </w:r>
      <w:r>
        <w:rPr>
          <w:sz w:val="20"/>
          <w:szCs w:val="20"/>
          <w:color w:val="auto"/>
        </w:rPr>
        <w:tab/>
      </w:r>
      <w:r>
        <w:rPr>
          <w:rFonts w:ascii="Arial" w:cs="Arial" w:eastAsia="Arial" w:hAnsi="Arial"/>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10058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5840" cy="5715"/>
                    </a:xfrm>
                    <a:prstGeom prst="rect">
                      <a:avLst/>
                    </a:prstGeom>
                    <a:noFill/>
                  </pic:spPr>
                </pic:pic>
              </a:graphicData>
            </a:graphic>
          </wp:anchor>
        </w:drawing>
      </w:r>
    </w:p>
    <w:p>
      <w:pPr>
        <w:ind w:left="1948" w:hanging="1216"/>
        <w:spacing w:after="0"/>
        <w:tabs>
          <w:tab w:leader="none" w:pos="1948" w:val="left"/>
        </w:tabs>
        <w:numPr>
          <w:ilvl w:val="0"/>
          <w:numId w:val="3"/>
        </w:numPr>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Annual Meeting Presentation.</w:t>
        </w:r>
      </w:hyperlink>
    </w:p>
    <w:p>
      <w:pPr>
        <w:spacing w:after="0" w:line="24" w:lineRule="exact"/>
        <w:rPr>
          <w:sz w:val="20"/>
          <w:szCs w:val="20"/>
          <w:color w:val="auto"/>
        </w:rPr>
      </w:pPr>
    </w:p>
    <w:p>
      <w:pPr>
        <w:ind w:left="1948" w:right="1100" w:hanging="1246"/>
        <w:spacing w:after="0" w:line="245" w:lineRule="auto"/>
        <w:tabs>
          <w:tab w:leader="none" w:pos="1948" w:val="left"/>
        </w:tabs>
        <w:numPr>
          <w:ilvl w:val="0"/>
          <w:numId w:val="4"/>
        </w:numPr>
        <w:rPr>
          <w:rFonts w:ascii="Arial" w:cs="Arial" w:eastAsia="Arial" w:hAnsi="Arial"/>
          <w:sz w:val="12"/>
          <w:szCs w:val="12"/>
          <w:color w:val="auto"/>
        </w:rPr>
      </w:pPr>
      <w:r>
        <w:rPr>
          <w:rFonts w:ascii="Arial" w:cs="Arial" w:eastAsia="Arial" w:hAnsi="Arial"/>
          <w:sz w:val="12"/>
          <w:szCs w:val="12"/>
          <w:color w:val="auto"/>
        </w:rPr>
        <w:t>Emergent BioSolutions Inc. Current Report on Form 8-K, dated May 20, 2021, formatted in XBRL (Extensible Business Reporting Language): Cover Page. The instance document does not appear in the Interactive Data File because its XBRL tags are embedded within the Inline XBRL document.</w:t>
      </w:r>
    </w:p>
    <w:p>
      <w:pPr>
        <w:spacing w:after="0" w:line="6" w:lineRule="exact"/>
        <w:rPr>
          <w:sz w:val="20"/>
          <w:szCs w:val="20"/>
          <w:color w:val="auto"/>
        </w:rPr>
      </w:pPr>
    </w:p>
    <w:p>
      <w:pPr>
        <w:ind w:left="708"/>
        <w:spacing w:after="0"/>
        <w:tabs>
          <w:tab w:leader="none" w:pos="1928"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2"/>
          <w:szCs w:val="12"/>
          <w:color w:val="auto"/>
        </w:rPr>
        <w:t>Cover Page Interactive Data File (formatted as Inline XBRL and contained in Exhibit 101).</w:t>
      </w:r>
    </w:p>
    <w:p>
      <w:pPr>
        <w:spacing w:after="0" w:line="272" w:lineRule="exact"/>
        <w:rPr>
          <w:sz w:val="20"/>
          <w:szCs w:val="20"/>
          <w:color w:val="auto"/>
        </w:rPr>
      </w:pPr>
    </w:p>
    <w:p>
      <w:pPr>
        <w:jc w:val="center"/>
        <w:ind w:right="-127"/>
        <w:spacing w:after="0"/>
        <w:rPr>
          <w:sz w:val="20"/>
          <w:szCs w:val="20"/>
          <w:color w:val="auto"/>
        </w:rPr>
      </w:pPr>
      <w:r>
        <w:rPr>
          <w:rFonts w:ascii="Arial" w:cs="Arial" w:eastAsia="Arial" w:hAnsi="Arial"/>
          <w:sz w:val="12"/>
          <w:szCs w:val="12"/>
          <w:b w:val="1"/>
          <w:bCs w:val="1"/>
          <w:color w:val="auto"/>
        </w:rPr>
        <w:t>SIGNATURE</w:t>
      </w:r>
    </w:p>
    <w:p>
      <w:pPr>
        <w:spacing w:after="0" w:line="208" w:lineRule="exact"/>
        <w:rPr>
          <w:sz w:val="20"/>
          <w:szCs w:val="20"/>
          <w:color w:val="auto"/>
        </w:rPr>
      </w:pPr>
    </w:p>
    <w:p>
      <w:pPr>
        <w:ind w:left="328"/>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6" w:lineRule="exact"/>
        <w:rPr>
          <w:sz w:val="20"/>
          <w:szCs w:val="20"/>
          <w:color w:val="auto"/>
        </w:rPr>
      </w:pPr>
    </w:p>
    <w:p>
      <w:pPr>
        <w:ind w:left="5788"/>
        <w:spacing w:after="0"/>
        <w:rPr>
          <w:sz w:val="20"/>
          <w:szCs w:val="20"/>
          <w:color w:val="auto"/>
        </w:rPr>
      </w:pPr>
      <w:r>
        <w:rPr>
          <w:rFonts w:ascii="Arial" w:cs="Arial" w:eastAsia="Arial" w:hAnsi="Arial"/>
          <w:sz w:val="12"/>
          <w:szCs w:val="12"/>
          <w:b w:val="1"/>
          <w:bCs w:val="1"/>
          <w:color w:val="auto"/>
        </w:rPr>
        <w:t>EMERGENT BIOSOLUTIONS INC.</w:t>
      </w:r>
    </w:p>
    <w:p>
      <w:pPr>
        <w:spacing w:after="0" w:line="172" w:lineRule="exact"/>
        <w:rPr>
          <w:sz w:val="20"/>
          <w:szCs w:val="20"/>
          <w:color w:val="auto"/>
        </w:rPr>
      </w:pPr>
    </w:p>
    <w:p>
      <w:pPr>
        <w:ind w:left="508"/>
        <w:spacing w:after="0"/>
        <w:tabs>
          <w:tab w:leader="none" w:pos="5768" w:val="left"/>
          <w:tab w:leader="none" w:pos="6248" w:val="left"/>
        </w:tabs>
        <w:rPr>
          <w:sz w:val="20"/>
          <w:szCs w:val="20"/>
          <w:color w:val="auto"/>
        </w:rPr>
      </w:pPr>
      <w:r>
        <w:rPr>
          <w:rFonts w:ascii="Arial" w:cs="Arial" w:eastAsia="Arial" w:hAnsi="Arial"/>
          <w:sz w:val="12"/>
          <w:szCs w:val="12"/>
          <w:color w:val="auto"/>
        </w:rPr>
        <w:t>Dated: May 25,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9525</wp:posOffset>
            </wp:positionV>
            <wp:extent cx="288607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86075" cy="5715"/>
                    </a:xfrm>
                    <a:prstGeom prst="rect">
                      <a:avLst/>
                    </a:prstGeom>
                    <a:noFill/>
                  </pic:spPr>
                </pic:pic>
              </a:graphicData>
            </a:graphic>
          </wp:anchor>
        </w:drawing>
      </w:r>
    </w:p>
    <w:p>
      <w:pPr>
        <w:ind w:left="6268"/>
        <w:spacing w:after="0"/>
        <w:rPr>
          <w:sz w:val="20"/>
          <w:szCs w:val="20"/>
          <w:color w:val="auto"/>
        </w:rPr>
      </w:pPr>
      <w:r>
        <w:rPr>
          <w:rFonts w:ascii="Arial" w:cs="Arial" w:eastAsia="Arial" w:hAnsi="Arial"/>
          <w:sz w:val="12"/>
          <w:szCs w:val="12"/>
          <w:color w:val="auto"/>
        </w:rPr>
        <w:t>Name: Richard S. Lindahl</w:t>
      </w:r>
    </w:p>
    <w:p>
      <w:pPr>
        <w:ind w:left="6268"/>
        <w:spacing w:after="0" w:line="203" w:lineRule="auto"/>
        <w:rPr>
          <w:sz w:val="20"/>
          <w:szCs w:val="20"/>
          <w:color w:val="auto"/>
        </w:rPr>
      </w:pPr>
      <w:r>
        <w:rPr>
          <w:rFonts w:ascii="Arial" w:cs="Arial" w:eastAsia="Arial" w:hAnsi="Arial"/>
          <w:sz w:val="12"/>
          <w:szCs w:val="12"/>
          <w:color w:val="auto"/>
        </w:rPr>
        <w:t>Title: Executive Vice President, Chief Financial</w:t>
      </w:r>
    </w:p>
    <w:p>
      <w:pPr>
        <w:ind w:left="6688"/>
        <w:spacing w:after="0"/>
        <w:rPr>
          <w:sz w:val="20"/>
          <w:szCs w:val="20"/>
          <w:color w:val="auto"/>
        </w:rPr>
      </w:pPr>
      <w:r>
        <w:rPr>
          <w:rFonts w:ascii="Arial" w:cs="Arial" w:eastAsia="Arial" w:hAnsi="Arial"/>
          <w:sz w:val="12"/>
          <w:szCs w:val="12"/>
          <w:color w:val="auto"/>
        </w:rPr>
        <w:t>Officer and Treasurer</w:t>
      </w:r>
    </w:p>
    <w:p>
      <w:pPr>
        <w:sectPr>
          <w:pgSz w:w="11900" w:h="16838" w:orient="portrait"/>
          <w:cols w:equalWidth="0" w:num="1">
            <w:col w:w="11168"/>
          </w:cols>
          <w:pgMar w:left="292" w:top="650" w:right="4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99"/>
    </w:lvl>
  </w:abstractNum>
  <w:abstractNum w:abstractNumId="3">
    <w:nsid w:val="625558EC"/>
    <w:multiLevelType w:val="hybridMultilevel"/>
    <w:lvl w:ilvl="0">
      <w:lvlJc w:val="left"/>
      <w:lvlText w:val="%1"/>
      <w:numFmt w:val="decimal"/>
      <w:start w:val="10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2021-05-25T16:06:26Z</dcterms:created>
  <dcterms:modified xsi:type="dcterms:W3CDTF">2021-05-25T16:06:26Z</dcterms:modified>
</cp:coreProperties>
</file>