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30, 2006.</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Registration No. 333-136622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681863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8630" cy="33020"/>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10229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NO. 5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FORM S-1</w:t>
      </w: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1022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EMERGENT BIOSOLUTIONS INC.</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20" w:type="dxa"/>
            <w:vAlign w:val="bottom"/>
          </w:tcPr>
          <w:p>
            <w:pPr>
              <w:jc w:val="center"/>
              <w:spacing w:after="0"/>
              <w:rPr>
                <w:sz w:val="20"/>
                <w:szCs w:val="20"/>
                <w:color w:val="auto"/>
              </w:rPr>
            </w:pPr>
            <w:r>
              <w:rPr>
                <w:rFonts w:ascii="Arial" w:cs="Arial" w:eastAsia="Arial" w:hAnsi="Arial"/>
                <w:sz w:val="12"/>
                <w:szCs w:val="12"/>
                <w:i w:val="1"/>
                <w:iCs w:val="1"/>
                <w:color w:val="auto"/>
                <w:w w:val="93"/>
              </w:rPr>
              <w:t>(Exact Name of Registrant as Specified in Its Charter)</w:t>
            </w: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91"/>
              </w:rPr>
              <w:t>Delaware</w:t>
            </w:r>
          </w:p>
        </w:tc>
        <w:tc>
          <w:tcPr>
            <w:tcW w:w="4020" w:type="dxa"/>
            <w:vAlign w:val="bottom"/>
          </w:tcPr>
          <w:p>
            <w:pPr>
              <w:jc w:val="right"/>
              <w:ind w:right="1687"/>
              <w:spacing w:after="0"/>
              <w:rPr>
                <w:sz w:val="20"/>
                <w:szCs w:val="20"/>
                <w:color w:val="auto"/>
              </w:rPr>
            </w:pPr>
            <w:r>
              <w:rPr>
                <w:rFonts w:ascii="Arial" w:cs="Arial" w:eastAsia="Arial" w:hAnsi="Arial"/>
                <w:sz w:val="16"/>
                <w:szCs w:val="16"/>
                <w:b w:val="1"/>
                <w:bCs w:val="1"/>
                <w:color w:val="auto"/>
              </w:rPr>
              <w:t>2834</w:t>
            </w:r>
          </w:p>
        </w:tc>
        <w:tc>
          <w:tcPr>
            <w:tcW w:w="2740" w:type="dxa"/>
            <w:vAlign w:val="bottom"/>
          </w:tcPr>
          <w:p>
            <w:pPr>
              <w:jc w:val="right"/>
              <w:ind w:right="665"/>
              <w:spacing w:after="0"/>
              <w:rPr>
                <w:sz w:val="20"/>
                <w:szCs w:val="20"/>
                <w:color w:val="auto"/>
              </w:rPr>
            </w:pPr>
            <w:r>
              <w:rPr>
                <w:rFonts w:ascii="Arial" w:cs="Arial" w:eastAsia="Arial" w:hAnsi="Arial"/>
                <w:sz w:val="16"/>
                <w:szCs w:val="16"/>
                <w:b w:val="1"/>
                <w:bCs w:val="1"/>
                <w:color w:val="auto"/>
              </w:rPr>
              <w:t>14-1902018</w:t>
            </w:r>
          </w:p>
        </w:tc>
        <w:tc>
          <w:tcPr>
            <w:tcW w:w="0" w:type="dxa"/>
            <w:vAlign w:val="bottom"/>
          </w:tcPr>
          <w:p>
            <w:pPr>
              <w:spacing w:after="0"/>
              <w:rPr>
                <w:sz w:val="1"/>
                <w:szCs w:val="1"/>
                <w:color w:val="auto"/>
              </w:rPr>
            </w:pPr>
          </w:p>
        </w:tc>
      </w:tr>
      <w:tr>
        <w:trPr>
          <w:trHeight w:val="131"/>
        </w:trPr>
        <w:tc>
          <w:tcPr>
            <w:tcW w:w="3380" w:type="dxa"/>
            <w:vAlign w:val="bottom"/>
            <w:gridSpan w:val="2"/>
          </w:tcPr>
          <w:p>
            <w:pPr>
              <w:jc w:val="center"/>
              <w:ind w:left="225"/>
              <w:spacing w:after="0" w:line="131" w:lineRule="exact"/>
              <w:rPr>
                <w:sz w:val="20"/>
                <w:szCs w:val="20"/>
                <w:color w:val="auto"/>
              </w:rPr>
            </w:pPr>
            <w:r>
              <w:rPr>
                <w:rFonts w:ascii="Arial" w:cs="Arial" w:eastAsia="Arial" w:hAnsi="Arial"/>
                <w:sz w:val="12"/>
                <w:szCs w:val="12"/>
                <w:i w:val="1"/>
                <w:iCs w:val="1"/>
                <w:color w:val="auto"/>
                <w:w w:val="94"/>
              </w:rPr>
              <w:t>(State or Other Jurisdiction of</w:t>
            </w:r>
          </w:p>
        </w:tc>
        <w:tc>
          <w:tcPr>
            <w:tcW w:w="4020" w:type="dxa"/>
            <w:vAlign w:val="bottom"/>
          </w:tcPr>
          <w:p>
            <w:pPr>
              <w:jc w:val="center"/>
              <w:ind w:left="107"/>
              <w:spacing w:after="0" w:line="131" w:lineRule="exact"/>
              <w:rPr>
                <w:sz w:val="20"/>
                <w:szCs w:val="20"/>
                <w:color w:val="auto"/>
              </w:rPr>
            </w:pPr>
            <w:r>
              <w:rPr>
                <w:rFonts w:ascii="Arial" w:cs="Arial" w:eastAsia="Arial" w:hAnsi="Arial"/>
                <w:sz w:val="12"/>
                <w:szCs w:val="12"/>
                <w:i w:val="1"/>
                <w:iCs w:val="1"/>
                <w:color w:val="auto"/>
                <w:w w:val="96"/>
              </w:rPr>
              <w:t>(Primary Standard Industrial</w:t>
            </w:r>
          </w:p>
        </w:tc>
        <w:tc>
          <w:tcPr>
            <w:tcW w:w="2740" w:type="dxa"/>
            <w:vAlign w:val="bottom"/>
          </w:tcPr>
          <w:p>
            <w:pPr>
              <w:jc w:val="center"/>
              <w:ind w:left="425"/>
              <w:spacing w:after="0" w:line="131" w:lineRule="exact"/>
              <w:rPr>
                <w:sz w:val="20"/>
                <w:szCs w:val="20"/>
                <w:color w:val="auto"/>
              </w:rPr>
            </w:pPr>
            <w:r>
              <w:rPr>
                <w:rFonts w:ascii="Arial" w:cs="Arial" w:eastAsia="Arial" w:hAnsi="Arial"/>
                <w:sz w:val="12"/>
                <w:szCs w:val="12"/>
                <w:i w:val="1"/>
                <w:iCs w:val="1"/>
                <w:color w:val="auto"/>
                <w:w w:val="90"/>
              </w:rPr>
              <w:t>(I.R.S. Employer</w:t>
            </w:r>
          </w:p>
        </w:tc>
        <w:tc>
          <w:tcPr>
            <w:tcW w:w="0" w:type="dxa"/>
            <w:vAlign w:val="bottom"/>
          </w:tcPr>
          <w:p>
            <w:pPr>
              <w:spacing w:after="0"/>
              <w:rPr>
                <w:sz w:val="1"/>
                <w:szCs w:val="1"/>
                <w:color w:val="auto"/>
              </w:rPr>
            </w:pPr>
          </w:p>
        </w:tc>
      </w:tr>
      <w:tr>
        <w:trPr>
          <w:trHeight w:val="155"/>
        </w:trPr>
        <w:tc>
          <w:tcPr>
            <w:tcW w:w="3380" w:type="dxa"/>
            <w:vAlign w:val="bottom"/>
            <w:gridSpan w:val="2"/>
          </w:tcPr>
          <w:p>
            <w:pPr>
              <w:jc w:val="center"/>
              <w:ind w:left="205"/>
              <w:spacing w:after="0"/>
              <w:rPr>
                <w:sz w:val="20"/>
                <w:szCs w:val="20"/>
                <w:color w:val="auto"/>
              </w:rPr>
            </w:pPr>
            <w:r>
              <w:rPr>
                <w:rFonts w:ascii="Arial" w:cs="Arial" w:eastAsia="Arial" w:hAnsi="Arial"/>
                <w:sz w:val="12"/>
                <w:szCs w:val="12"/>
                <w:i w:val="1"/>
                <w:iCs w:val="1"/>
                <w:color w:val="auto"/>
                <w:w w:val="96"/>
              </w:rPr>
              <w:t>Incorporation or Organization)</w:t>
            </w:r>
          </w:p>
        </w:tc>
        <w:tc>
          <w:tcPr>
            <w:tcW w:w="4020" w:type="dxa"/>
            <w:vAlign w:val="bottom"/>
          </w:tcPr>
          <w:p>
            <w:pPr>
              <w:jc w:val="center"/>
              <w:ind w:left="127"/>
              <w:spacing w:after="0"/>
              <w:rPr>
                <w:sz w:val="20"/>
                <w:szCs w:val="20"/>
                <w:color w:val="auto"/>
              </w:rPr>
            </w:pPr>
            <w:r>
              <w:rPr>
                <w:rFonts w:ascii="Arial" w:cs="Arial" w:eastAsia="Arial" w:hAnsi="Arial"/>
                <w:sz w:val="12"/>
                <w:szCs w:val="12"/>
                <w:i w:val="1"/>
                <w:iCs w:val="1"/>
                <w:color w:val="auto"/>
                <w:w w:val="94"/>
              </w:rPr>
              <w:t>Classification Code No.)</w:t>
            </w:r>
          </w:p>
        </w:tc>
        <w:tc>
          <w:tcPr>
            <w:tcW w:w="2740" w:type="dxa"/>
            <w:vAlign w:val="bottom"/>
          </w:tcPr>
          <w:p>
            <w:pPr>
              <w:jc w:val="center"/>
              <w:ind w:left="425"/>
              <w:spacing w:after="0"/>
              <w:rPr>
                <w:sz w:val="20"/>
                <w:szCs w:val="20"/>
                <w:color w:val="auto"/>
              </w:rPr>
            </w:pPr>
            <w:r>
              <w:rPr>
                <w:rFonts w:ascii="Arial" w:cs="Arial" w:eastAsia="Arial" w:hAnsi="Arial"/>
                <w:sz w:val="12"/>
                <w:szCs w:val="12"/>
                <w:i w:val="1"/>
                <w:iCs w:val="1"/>
                <w:color w:val="auto"/>
                <w:w w:val="98"/>
              </w:rPr>
              <w:t>Identification No.)</w:t>
            </w:r>
          </w:p>
        </w:tc>
        <w:tc>
          <w:tcPr>
            <w:tcW w:w="0" w:type="dxa"/>
            <w:vAlign w:val="bottom"/>
          </w:tcPr>
          <w:p>
            <w:pPr>
              <w:spacing w:after="0"/>
              <w:rPr>
                <w:sz w:val="1"/>
                <w:szCs w:val="1"/>
                <w:color w:val="auto"/>
              </w:rPr>
            </w:pPr>
          </w:p>
        </w:tc>
      </w:tr>
      <w:tr>
        <w:trPr>
          <w:trHeight w:val="121"/>
        </w:trPr>
        <w:tc>
          <w:tcPr>
            <w:tcW w:w="162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4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300 Professional Drive, Suite 250</w:t>
            </w: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1"/>
              </w:rPr>
              <w:t>Gaithersburg, Maryland 20879</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9"/>
              </w:rPr>
              <w:t>(301) 944-0290</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20" w:type="dxa"/>
            <w:vAlign w:val="bottom"/>
          </w:tcPr>
          <w:p>
            <w:pPr>
              <w:jc w:val="center"/>
              <w:spacing w:after="0" w:line="131" w:lineRule="exact"/>
              <w:rPr>
                <w:sz w:val="20"/>
                <w:szCs w:val="20"/>
                <w:color w:val="auto"/>
              </w:rPr>
            </w:pPr>
            <w:r>
              <w:rPr>
                <w:rFonts w:ascii="Arial" w:cs="Arial" w:eastAsia="Arial" w:hAnsi="Arial"/>
                <w:sz w:val="12"/>
                <w:szCs w:val="12"/>
                <w:i w:val="1"/>
                <w:iCs w:val="1"/>
                <w:color w:val="auto"/>
                <w:w w:val="91"/>
              </w:rPr>
              <w:t>(Address, including zip code, and telephone number,</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020" w:type="dxa"/>
            <w:vAlign w:val="bottom"/>
          </w:tcPr>
          <w:p>
            <w:pPr>
              <w:jc w:val="center"/>
              <w:spacing w:after="0"/>
              <w:rPr>
                <w:sz w:val="20"/>
                <w:szCs w:val="20"/>
                <w:color w:val="auto"/>
              </w:rPr>
            </w:pPr>
            <w:r>
              <w:rPr>
                <w:rFonts w:ascii="Arial" w:cs="Arial" w:eastAsia="Arial" w:hAnsi="Arial"/>
                <w:sz w:val="12"/>
                <w:szCs w:val="12"/>
                <w:i w:val="1"/>
                <w:iCs w:val="1"/>
                <w:color w:val="auto"/>
                <w:w w:val="93"/>
              </w:rPr>
              <w:t>including area code, of registrant’s principal executive offices)</w:t>
            </w: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62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4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Fuad El-Hibri</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6"/>
        </w:trPr>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0"/>
              </w:rPr>
              <w:t>Chief Executive Officer</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8"/>
              </w:rPr>
              <w:t>Emergent BioSolutions Inc.</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7"/>
              </w:rPr>
              <w:t>300 Professional Drive, Suite 250</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1"/>
              </w:rPr>
              <w:t>Gaithersburg, Maryland 20879</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89"/>
              </w:rPr>
              <w:t>(301) 944-0290</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20" w:type="dxa"/>
            <w:vAlign w:val="bottom"/>
          </w:tcPr>
          <w:p>
            <w:pPr>
              <w:jc w:val="center"/>
              <w:spacing w:after="0" w:line="131" w:lineRule="exact"/>
              <w:rPr>
                <w:sz w:val="20"/>
                <w:szCs w:val="20"/>
                <w:color w:val="auto"/>
              </w:rPr>
            </w:pPr>
            <w:r>
              <w:rPr>
                <w:rFonts w:ascii="Arial" w:cs="Arial" w:eastAsia="Arial" w:hAnsi="Arial"/>
                <w:sz w:val="12"/>
                <w:szCs w:val="12"/>
                <w:i w:val="1"/>
                <w:iCs w:val="1"/>
                <w:color w:val="auto"/>
                <w:w w:val="91"/>
              </w:rPr>
              <w:t>(Name, address, including zip code, and telephone number,</w:t>
            </w: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020" w:type="dxa"/>
            <w:vAlign w:val="bottom"/>
          </w:tcPr>
          <w:p>
            <w:pPr>
              <w:jc w:val="center"/>
              <w:spacing w:after="0"/>
              <w:rPr>
                <w:sz w:val="20"/>
                <w:szCs w:val="20"/>
                <w:color w:val="auto"/>
              </w:rPr>
            </w:pPr>
            <w:r>
              <w:rPr>
                <w:rFonts w:ascii="Arial" w:cs="Arial" w:eastAsia="Arial" w:hAnsi="Arial"/>
                <w:sz w:val="12"/>
                <w:szCs w:val="12"/>
                <w:i w:val="1"/>
                <w:iCs w:val="1"/>
                <w:color w:val="auto"/>
                <w:w w:val="93"/>
              </w:rPr>
              <w:t>including area code, of agent for service)</w:t>
            </w: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20" w:type="dxa"/>
            <w:vAlign w:val="bottom"/>
            <w:tcBorders>
              <w:bottom w:val="single" w:sz="8" w:color="auto"/>
            </w:tcBorders>
          </w:tcPr>
          <w:p>
            <w:pPr>
              <w:spacing w:after="0"/>
              <w:rPr>
                <w:sz w:val="10"/>
                <w:szCs w:val="10"/>
                <w:color w:val="auto"/>
              </w:rPr>
            </w:pPr>
          </w:p>
        </w:tc>
        <w:tc>
          <w:tcPr>
            <w:tcW w:w="1760" w:type="dxa"/>
            <w:vAlign w:val="bottom"/>
          </w:tcPr>
          <w:p>
            <w:pPr>
              <w:spacing w:after="0"/>
              <w:rPr>
                <w:sz w:val="10"/>
                <w:szCs w:val="10"/>
                <w:color w:val="auto"/>
              </w:rPr>
            </w:pPr>
          </w:p>
        </w:tc>
        <w:tc>
          <w:tcPr>
            <w:tcW w:w="402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auto"/>
                <w:w w:val="84"/>
              </w:rPr>
              <w:t>Copies to:</w:t>
            </w:r>
          </w:p>
        </w:tc>
        <w:tc>
          <w:tcPr>
            <w:tcW w:w="2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90"/>
              </w:rPr>
              <w:t>David E. Redlick, Esq.</w:t>
            </w:r>
          </w:p>
        </w:tc>
        <w:tc>
          <w:tcPr>
            <w:tcW w:w="4020" w:type="dxa"/>
            <w:vAlign w:val="bottom"/>
          </w:tcPr>
          <w:p>
            <w:pPr>
              <w:jc w:val="center"/>
              <w:ind w:left="107"/>
              <w:spacing w:after="0"/>
              <w:rPr>
                <w:sz w:val="20"/>
                <w:szCs w:val="20"/>
                <w:color w:val="auto"/>
              </w:rPr>
            </w:pPr>
            <w:r>
              <w:rPr>
                <w:rFonts w:ascii="Arial" w:cs="Arial" w:eastAsia="Arial" w:hAnsi="Arial"/>
                <w:sz w:val="16"/>
                <w:szCs w:val="16"/>
                <w:b w:val="1"/>
                <w:bCs w:val="1"/>
                <w:color w:val="auto"/>
                <w:w w:val="90"/>
              </w:rPr>
              <w:t>Daniel J. Abdun-Nabi, Esq.</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87"/>
              </w:rPr>
              <w:t>James A. Lebovitz, Esq.</w:t>
            </w: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93"/>
              </w:rPr>
              <w:t>Wilmer Cutler Pickering</w:t>
            </w:r>
          </w:p>
        </w:tc>
        <w:tc>
          <w:tcPr>
            <w:tcW w:w="4020" w:type="dxa"/>
            <w:vAlign w:val="bottom"/>
          </w:tcPr>
          <w:p>
            <w:pPr>
              <w:jc w:val="center"/>
              <w:ind w:left="107"/>
              <w:spacing w:after="0"/>
              <w:rPr>
                <w:sz w:val="20"/>
                <w:szCs w:val="20"/>
                <w:color w:val="auto"/>
              </w:rPr>
            </w:pPr>
            <w:r>
              <w:rPr>
                <w:rFonts w:ascii="Arial" w:cs="Arial" w:eastAsia="Arial" w:hAnsi="Arial"/>
                <w:sz w:val="16"/>
                <w:szCs w:val="16"/>
                <w:b w:val="1"/>
                <w:bCs w:val="1"/>
                <w:color w:val="auto"/>
                <w:w w:val="88"/>
              </w:rPr>
              <w:t>General Counsel</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90"/>
              </w:rPr>
              <w:t>Brian D. Short, Esq.</w:t>
            </w: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94"/>
              </w:rPr>
              <w:t>Hale and Dorr LLP</w:t>
            </w:r>
          </w:p>
        </w:tc>
        <w:tc>
          <w:tcPr>
            <w:tcW w:w="4020" w:type="dxa"/>
            <w:vAlign w:val="bottom"/>
          </w:tcPr>
          <w:p>
            <w:pPr>
              <w:jc w:val="center"/>
              <w:ind w:left="107"/>
              <w:spacing w:after="0"/>
              <w:rPr>
                <w:sz w:val="20"/>
                <w:szCs w:val="20"/>
                <w:color w:val="auto"/>
              </w:rPr>
            </w:pPr>
            <w:r>
              <w:rPr>
                <w:rFonts w:ascii="Arial" w:cs="Arial" w:eastAsia="Arial" w:hAnsi="Arial"/>
                <w:sz w:val="16"/>
                <w:szCs w:val="16"/>
                <w:b w:val="1"/>
                <w:bCs w:val="1"/>
                <w:color w:val="auto"/>
                <w:w w:val="88"/>
              </w:rPr>
              <w:t>Emergent BioSolutions Inc.</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93"/>
              </w:rPr>
              <w:t>Dechert LLP</w:t>
            </w: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25"/>
              <w:spacing w:after="0"/>
              <w:rPr>
                <w:sz w:val="20"/>
                <w:szCs w:val="20"/>
                <w:color w:val="auto"/>
              </w:rPr>
            </w:pPr>
            <w:r>
              <w:rPr>
                <w:rFonts w:ascii="Arial" w:cs="Arial" w:eastAsia="Arial" w:hAnsi="Arial"/>
                <w:sz w:val="16"/>
                <w:szCs w:val="16"/>
                <w:b w:val="1"/>
                <w:bCs w:val="1"/>
                <w:color w:val="auto"/>
                <w:w w:val="88"/>
              </w:rPr>
              <w:t>1875 Pennsylvania Avenue, NW</w:t>
            </w:r>
          </w:p>
        </w:tc>
        <w:tc>
          <w:tcPr>
            <w:tcW w:w="4020" w:type="dxa"/>
            <w:vAlign w:val="bottom"/>
          </w:tcPr>
          <w:p>
            <w:pPr>
              <w:jc w:val="center"/>
              <w:ind w:left="107"/>
              <w:spacing w:after="0"/>
              <w:rPr>
                <w:sz w:val="20"/>
                <w:szCs w:val="20"/>
                <w:color w:val="auto"/>
              </w:rPr>
            </w:pPr>
            <w:r>
              <w:rPr>
                <w:rFonts w:ascii="Arial" w:cs="Arial" w:eastAsia="Arial" w:hAnsi="Arial"/>
                <w:sz w:val="16"/>
                <w:szCs w:val="16"/>
                <w:b w:val="1"/>
                <w:bCs w:val="1"/>
                <w:color w:val="auto"/>
                <w:w w:val="87"/>
              </w:rPr>
              <w:t>300 Professional Drive, Suite 250</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88"/>
              </w:rPr>
              <w:t>2929 Arch Street</w:t>
            </w:r>
          </w:p>
        </w:tc>
        <w:tc>
          <w:tcPr>
            <w:tcW w:w="0" w:type="dxa"/>
            <w:vAlign w:val="bottom"/>
          </w:tcPr>
          <w:p>
            <w:pPr>
              <w:spacing w:after="0"/>
              <w:rPr>
                <w:sz w:val="1"/>
                <w:szCs w:val="1"/>
                <w:color w:val="auto"/>
              </w:rPr>
            </w:pPr>
          </w:p>
        </w:tc>
      </w:tr>
      <w:tr>
        <w:trPr>
          <w:trHeight w:val="196"/>
        </w:trPr>
        <w:tc>
          <w:tcPr>
            <w:tcW w:w="3380" w:type="dxa"/>
            <w:vAlign w:val="bottom"/>
            <w:gridSpan w:val="2"/>
          </w:tcPr>
          <w:p>
            <w:pPr>
              <w:jc w:val="center"/>
              <w:ind w:left="205"/>
              <w:spacing w:after="0"/>
              <w:rPr>
                <w:sz w:val="20"/>
                <w:szCs w:val="20"/>
                <w:color w:val="auto"/>
              </w:rPr>
            </w:pPr>
            <w:r>
              <w:rPr>
                <w:rFonts w:ascii="Arial" w:cs="Arial" w:eastAsia="Arial" w:hAnsi="Arial"/>
                <w:sz w:val="16"/>
                <w:szCs w:val="16"/>
                <w:b w:val="1"/>
                <w:bCs w:val="1"/>
                <w:color w:val="auto"/>
                <w:w w:val="89"/>
              </w:rPr>
              <w:t>Washington, DC 20006</w:t>
            </w:r>
          </w:p>
        </w:tc>
        <w:tc>
          <w:tcPr>
            <w:tcW w:w="4020" w:type="dxa"/>
            <w:vAlign w:val="bottom"/>
          </w:tcPr>
          <w:p>
            <w:pPr>
              <w:jc w:val="center"/>
              <w:ind w:left="127"/>
              <w:spacing w:after="0"/>
              <w:rPr>
                <w:sz w:val="20"/>
                <w:szCs w:val="20"/>
                <w:color w:val="auto"/>
              </w:rPr>
            </w:pPr>
            <w:r>
              <w:rPr>
                <w:rFonts w:ascii="Arial" w:cs="Arial" w:eastAsia="Arial" w:hAnsi="Arial"/>
                <w:sz w:val="16"/>
                <w:szCs w:val="16"/>
                <w:b w:val="1"/>
                <w:bCs w:val="1"/>
                <w:color w:val="auto"/>
                <w:w w:val="91"/>
              </w:rPr>
              <w:t>Gaithersburg, Maryland 20879</w:t>
            </w:r>
          </w:p>
        </w:tc>
        <w:tc>
          <w:tcPr>
            <w:tcW w:w="2740" w:type="dxa"/>
            <w:vAlign w:val="bottom"/>
          </w:tcPr>
          <w:p>
            <w:pPr>
              <w:jc w:val="center"/>
              <w:ind w:left="425"/>
              <w:spacing w:after="0"/>
              <w:rPr>
                <w:sz w:val="20"/>
                <w:szCs w:val="20"/>
                <w:color w:val="auto"/>
              </w:rPr>
            </w:pPr>
            <w:r>
              <w:rPr>
                <w:rFonts w:ascii="Arial" w:cs="Arial" w:eastAsia="Arial" w:hAnsi="Arial"/>
                <w:sz w:val="16"/>
                <w:szCs w:val="16"/>
                <w:b w:val="1"/>
                <w:bCs w:val="1"/>
                <w:color w:val="auto"/>
                <w:w w:val="88"/>
              </w:rPr>
              <w:t>Philadelphia, Pennsylvania 19104</w:t>
            </w:r>
          </w:p>
        </w:tc>
        <w:tc>
          <w:tcPr>
            <w:tcW w:w="0" w:type="dxa"/>
            <w:vAlign w:val="bottom"/>
          </w:tcPr>
          <w:p>
            <w:pPr>
              <w:spacing w:after="0"/>
              <w:rPr>
                <w:sz w:val="1"/>
                <w:szCs w:val="1"/>
                <w:color w:val="auto"/>
              </w:rPr>
            </w:pPr>
          </w:p>
        </w:tc>
      </w:tr>
      <w:tr>
        <w:trPr>
          <w:trHeight w:val="204"/>
        </w:trPr>
        <w:tc>
          <w:tcPr>
            <w:tcW w:w="3380" w:type="dxa"/>
            <w:vAlign w:val="bottom"/>
            <w:gridSpan w:val="2"/>
          </w:tcPr>
          <w:p>
            <w:pPr>
              <w:jc w:val="center"/>
              <w:ind w:left="205"/>
              <w:spacing w:after="0"/>
              <w:rPr>
                <w:sz w:val="20"/>
                <w:szCs w:val="20"/>
                <w:color w:val="auto"/>
              </w:rPr>
            </w:pPr>
            <w:r>
              <w:rPr>
                <w:rFonts w:ascii="Arial" w:cs="Arial" w:eastAsia="Arial" w:hAnsi="Arial"/>
                <w:sz w:val="16"/>
                <w:szCs w:val="16"/>
                <w:b w:val="1"/>
                <w:bCs w:val="1"/>
                <w:color w:val="auto"/>
                <w:w w:val="89"/>
              </w:rPr>
              <w:t>(202) 663-6000</w:t>
            </w:r>
          </w:p>
        </w:tc>
        <w:tc>
          <w:tcPr>
            <w:tcW w:w="4020" w:type="dxa"/>
            <w:vAlign w:val="bottom"/>
          </w:tcPr>
          <w:p>
            <w:pPr>
              <w:jc w:val="right"/>
              <w:ind w:right="1347"/>
              <w:spacing w:after="0"/>
              <w:rPr>
                <w:sz w:val="20"/>
                <w:szCs w:val="20"/>
                <w:color w:val="auto"/>
              </w:rPr>
            </w:pPr>
            <w:r>
              <w:rPr>
                <w:rFonts w:ascii="Arial" w:cs="Arial" w:eastAsia="Arial" w:hAnsi="Arial"/>
                <w:sz w:val="16"/>
                <w:szCs w:val="16"/>
                <w:b w:val="1"/>
                <w:bCs w:val="1"/>
                <w:color w:val="auto"/>
              </w:rPr>
              <w:t>(301) 944-0290</w:t>
            </w:r>
          </w:p>
        </w:tc>
        <w:tc>
          <w:tcPr>
            <w:tcW w:w="2740" w:type="dxa"/>
            <w:vAlign w:val="bottom"/>
          </w:tcPr>
          <w:p>
            <w:pPr>
              <w:jc w:val="right"/>
              <w:ind w:right="545"/>
              <w:spacing w:after="0"/>
              <w:rPr>
                <w:sz w:val="20"/>
                <w:szCs w:val="20"/>
                <w:color w:val="auto"/>
              </w:rPr>
            </w:pPr>
            <w:r>
              <w:rPr>
                <w:rFonts w:ascii="Arial" w:cs="Arial" w:eastAsia="Arial" w:hAnsi="Arial"/>
                <w:sz w:val="16"/>
                <w:szCs w:val="16"/>
                <w:b w:val="1"/>
                <w:bCs w:val="1"/>
                <w:color w:val="auto"/>
              </w:rPr>
              <w:t>(215) 994-4000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is declared effective.</w:t>
      </w:r>
    </w:p>
    <w:p>
      <w:pPr>
        <w:spacing w:after="0" w:line="146" w:lineRule="exact"/>
        <w:rPr>
          <w:sz w:val="20"/>
          <w:szCs w:val="20"/>
          <w:color w:val="auto"/>
        </w:rPr>
      </w:pPr>
    </w:p>
    <w:p>
      <w:pPr>
        <w:ind w:right="380" w:firstLine="644"/>
        <w:spacing w:after="0" w:line="277" w:lineRule="auto"/>
        <w:rPr>
          <w:sz w:val="20"/>
          <w:szCs w:val="20"/>
          <w:color w:val="auto"/>
        </w:rPr>
      </w:pPr>
      <w:r>
        <w:rPr>
          <w:rFonts w:ascii="Arial" w:cs="Arial" w:eastAsia="Arial" w:hAnsi="Arial"/>
          <w:sz w:val="16"/>
          <w:szCs w:val="16"/>
          <w:color w:val="auto"/>
        </w:rPr>
        <w:t>If any of the securities being registered on this form are offered on a delayed or continuous basis pursuant to Rule 415 under the Securities Act of 1933, as amended (the “Securities Act”), please check the following box. o</w:t>
      </w:r>
    </w:p>
    <w:p>
      <w:pPr>
        <w:spacing w:after="0" w:line="86" w:lineRule="exact"/>
        <w:rPr>
          <w:sz w:val="20"/>
          <w:szCs w:val="20"/>
          <w:color w:val="auto"/>
        </w:rPr>
      </w:pPr>
    </w:p>
    <w:p>
      <w:pPr>
        <w:ind w:right="120" w:firstLine="644"/>
        <w:spacing w:after="0" w:line="275"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87630</wp:posOffset>
            </wp:positionV>
            <wp:extent cx="678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65" w:lineRule="exact"/>
        <w:rPr>
          <w:sz w:val="20"/>
          <w:szCs w:val="20"/>
          <w:color w:val="auto"/>
        </w:rPr>
      </w:pPr>
    </w:p>
    <w:p>
      <w:pPr>
        <w:ind w:right="360" w:firstLine="644"/>
        <w:spacing w:after="0" w:line="277" w:lineRule="auto"/>
        <w:rPr>
          <w:sz w:val="20"/>
          <w:szCs w:val="20"/>
          <w:color w:val="auto"/>
        </w:rPr>
      </w:pPr>
      <w:r>
        <w:rPr>
          <w:rFonts w:ascii="Arial" w:cs="Arial" w:eastAsia="Arial" w:hAnsi="Arial"/>
          <w:sz w:val="16"/>
          <w:szCs w:val="16"/>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-38100</wp:posOffset>
            </wp:positionV>
            <wp:extent cx="67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66" w:lineRule="exact"/>
        <w:rPr>
          <w:sz w:val="20"/>
          <w:szCs w:val="20"/>
          <w:color w:val="auto"/>
        </w:rPr>
      </w:pPr>
    </w:p>
    <w:p>
      <w:pPr>
        <w:ind w:right="340" w:firstLine="644"/>
        <w:spacing w:after="0" w:line="277" w:lineRule="auto"/>
        <w:rPr>
          <w:sz w:val="20"/>
          <w:szCs w:val="20"/>
          <w:color w:val="auto"/>
        </w:rPr>
      </w:pPr>
      <w:r>
        <w:rPr>
          <w:rFonts w:ascii="Arial" w:cs="Arial" w:eastAsia="Arial" w:hAnsi="Arial"/>
          <w:sz w:val="16"/>
          <w:szCs w:val="16"/>
          <w:color w:val="auto"/>
        </w:rPr>
        <w:t>If this form is a post-effective amendment filed pursuant to Rule 462(d)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69215</wp:posOffset>
            </wp:positionV>
            <wp:extent cx="1022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2985" cy="825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-38100</wp:posOffset>
            </wp:positionV>
            <wp:extent cx="678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115570</wp:posOffset>
            </wp:positionV>
            <wp:extent cx="33655" cy="149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14986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115570</wp:posOffset>
            </wp:positionV>
            <wp:extent cx="33655" cy="149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149860"/>
                    </a:xfrm>
                    <a:prstGeom prst="rect">
                      <a:avLst/>
                    </a:prstGeom>
                    <a:noFill/>
                  </pic:spPr>
                </pic:pic>
              </a:graphicData>
            </a:graphic>
          </wp:anchor>
        </w:drawing>
        <w:drawing>
          <wp:anchor simplePos="0" relativeHeight="251657728" behindDoc="1" locked="0" layoutInCell="0" allowOverlap="1">
            <wp:simplePos x="0" y="0"/>
            <wp:positionH relativeFrom="column">
              <wp:posOffset>4929505</wp:posOffset>
            </wp:positionH>
            <wp:positionV relativeFrom="paragraph">
              <wp:posOffset>115570</wp:posOffset>
            </wp:positionV>
            <wp:extent cx="33655" cy="149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14986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115570</wp:posOffset>
            </wp:positionV>
            <wp:extent cx="33655" cy="149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14986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760" w:type="dxa"/>
            <w:vAlign w:val="bottom"/>
            <w:tcBorders>
              <w:top w:val="single" w:sz="8" w:color="000003"/>
              <w:bottom w:val="single" w:sz="8" w:color="000003"/>
            </w:tcBorders>
          </w:tcPr>
          <w:p>
            <w:pPr>
              <w:spacing w:after="0"/>
              <w:rPr>
                <w:sz w:val="3"/>
                <w:szCs w:val="3"/>
                <w:color w:val="auto"/>
              </w:rPr>
            </w:pPr>
          </w:p>
        </w:tc>
        <w:tc>
          <w:tcPr>
            <w:tcW w:w="1500" w:type="dxa"/>
            <w:vAlign w:val="bottom"/>
            <w:tcBorders>
              <w:top w:val="single" w:sz="8" w:color="000003"/>
              <w:bottom w:val="single" w:sz="8" w:color="000003"/>
            </w:tcBorders>
          </w:tcPr>
          <w:p>
            <w:pPr>
              <w:spacing w:after="0"/>
              <w:rPr>
                <w:sz w:val="3"/>
                <w:szCs w:val="3"/>
                <w:color w:val="auto"/>
              </w:rPr>
            </w:pPr>
          </w:p>
        </w:tc>
        <w:tc>
          <w:tcPr>
            <w:tcW w:w="1540" w:type="dxa"/>
            <w:vAlign w:val="bottom"/>
            <w:tcBorders>
              <w:top w:val="single" w:sz="8" w:color="000003"/>
              <w:bottom w:val="single" w:sz="8" w:color="000003"/>
            </w:tcBorders>
          </w:tcPr>
          <w:p>
            <w:pPr>
              <w:spacing w:after="0"/>
              <w:rPr>
                <w:sz w:val="3"/>
                <w:szCs w:val="3"/>
                <w:color w:val="auto"/>
              </w:rPr>
            </w:pPr>
          </w:p>
        </w:tc>
        <w:tc>
          <w:tcPr>
            <w:tcW w:w="1540" w:type="dxa"/>
            <w:vAlign w:val="bottom"/>
            <w:tcBorders>
              <w:top w:val="single" w:sz="8" w:color="000003"/>
              <w:bottom w:val="single" w:sz="8" w:color="000003"/>
            </w:tcBorders>
          </w:tcPr>
          <w:p>
            <w:pPr>
              <w:spacing w:after="0"/>
              <w:rPr>
                <w:sz w:val="3"/>
                <w:szCs w:val="3"/>
                <w:color w:val="auto"/>
              </w:rPr>
            </w:pPr>
          </w:p>
        </w:tc>
        <w:tc>
          <w:tcPr>
            <w:tcW w:w="1380" w:type="dxa"/>
            <w:vAlign w:val="bottom"/>
            <w:tcBorders>
              <w:top w:val="single" w:sz="8" w:color="000003"/>
              <w:bottom w:val="single" w:sz="8" w:color="000003"/>
            </w:tcBorders>
          </w:tcPr>
          <w:p>
            <w:pPr>
              <w:spacing w:after="0"/>
              <w:rPr>
                <w:sz w:val="3"/>
                <w:szCs w:val="3"/>
                <w:color w:val="auto"/>
              </w:rPr>
            </w:pPr>
          </w:p>
        </w:tc>
      </w:tr>
      <w:tr>
        <w:trPr>
          <w:trHeight w:val="136"/>
        </w:trPr>
        <w:tc>
          <w:tcPr>
            <w:tcW w:w="4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Proposed Maximum</w:t>
            </w:r>
          </w:p>
        </w:tc>
        <w:tc>
          <w:tcPr>
            <w:tcW w:w="15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9"/>
              </w:rPr>
              <w:t>Proposed Maximum</w:t>
            </w:r>
          </w:p>
        </w:tc>
        <w:tc>
          <w:tcPr>
            <w:tcW w:w="1380" w:type="dxa"/>
            <w:vAlign w:val="bottom"/>
          </w:tcPr>
          <w:p>
            <w:pPr>
              <w:jc w:val="center"/>
              <w:ind w:left="50"/>
              <w:spacing w:after="0" w:line="137" w:lineRule="exact"/>
              <w:rPr>
                <w:sz w:val="20"/>
                <w:szCs w:val="20"/>
                <w:color w:val="auto"/>
              </w:rPr>
            </w:pPr>
            <w:r>
              <w:rPr>
                <w:rFonts w:ascii="Arial" w:cs="Arial" w:eastAsia="Arial" w:hAnsi="Arial"/>
                <w:sz w:val="14"/>
                <w:szCs w:val="14"/>
                <w:b w:val="1"/>
                <w:bCs w:val="1"/>
                <w:color w:val="auto"/>
                <w:w w:val="99"/>
              </w:rPr>
              <w:t>Amount of</w:t>
            </w:r>
          </w:p>
        </w:tc>
      </w:tr>
      <w:tr>
        <w:trPr>
          <w:trHeight w:val="146"/>
        </w:trPr>
        <w:tc>
          <w:tcPr>
            <w:tcW w:w="4760" w:type="dxa"/>
            <w:vAlign w:val="bottom"/>
            <w:tcBorders>
              <w:right w:val="single" w:sz="8" w:color="auto"/>
            </w:tcBorders>
          </w:tcPr>
          <w:p>
            <w:pPr>
              <w:jc w:val="center"/>
              <w:ind w:right="10"/>
              <w:spacing w:after="0" w:line="146" w:lineRule="exact"/>
              <w:rPr>
                <w:sz w:val="20"/>
                <w:szCs w:val="20"/>
                <w:color w:val="auto"/>
              </w:rPr>
            </w:pPr>
            <w:r>
              <w:rPr>
                <w:rFonts w:ascii="Arial" w:cs="Arial" w:eastAsia="Arial" w:hAnsi="Arial"/>
                <w:sz w:val="14"/>
                <w:szCs w:val="14"/>
                <w:b w:val="1"/>
                <w:bCs w:val="1"/>
                <w:color w:val="auto"/>
                <w:w w:val="98"/>
              </w:rPr>
              <w:t>Title of Each Class of</w:t>
            </w:r>
          </w:p>
        </w:tc>
        <w:tc>
          <w:tcPr>
            <w:tcW w:w="1500" w:type="dxa"/>
            <w:vAlign w:val="bottom"/>
            <w:tcBorders>
              <w:right w:val="single" w:sz="8" w:color="auto"/>
            </w:tcBorders>
          </w:tcPr>
          <w:p>
            <w:pPr>
              <w:ind w:left="300"/>
              <w:spacing w:after="0" w:line="146" w:lineRule="exact"/>
              <w:rPr>
                <w:sz w:val="20"/>
                <w:szCs w:val="20"/>
                <w:color w:val="auto"/>
              </w:rPr>
            </w:pPr>
            <w:r>
              <w:rPr>
                <w:rFonts w:ascii="Arial" w:cs="Arial" w:eastAsia="Arial" w:hAnsi="Arial"/>
                <w:sz w:val="14"/>
                <w:szCs w:val="14"/>
                <w:b w:val="1"/>
                <w:bCs w:val="1"/>
                <w:color w:val="auto"/>
              </w:rPr>
              <w:t>Amount to be</w:t>
            </w:r>
          </w:p>
        </w:tc>
        <w:tc>
          <w:tcPr>
            <w:tcW w:w="15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rPr>
              <w:t>Offering Price</w:t>
            </w:r>
          </w:p>
        </w:tc>
        <w:tc>
          <w:tcPr>
            <w:tcW w:w="15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rPr>
              <w:t>Aggregate Offering</w:t>
            </w:r>
          </w:p>
        </w:tc>
        <w:tc>
          <w:tcPr>
            <w:tcW w:w="1380" w:type="dxa"/>
            <w:vAlign w:val="bottom"/>
          </w:tcPr>
          <w:p>
            <w:pPr>
              <w:jc w:val="center"/>
              <w:ind w:left="50"/>
              <w:spacing w:after="0" w:line="146" w:lineRule="exact"/>
              <w:rPr>
                <w:sz w:val="20"/>
                <w:szCs w:val="20"/>
                <w:color w:val="auto"/>
              </w:rPr>
            </w:pPr>
            <w:r>
              <w:rPr>
                <w:rFonts w:ascii="Arial" w:cs="Arial" w:eastAsia="Arial" w:hAnsi="Arial"/>
                <w:sz w:val="14"/>
                <w:szCs w:val="14"/>
                <w:b w:val="1"/>
                <w:bCs w:val="1"/>
                <w:color w:val="auto"/>
              </w:rPr>
              <w:t>Registration</w:t>
            </w:r>
          </w:p>
        </w:tc>
      </w:tr>
      <w:tr>
        <w:trPr>
          <w:trHeight w:val="169"/>
        </w:trPr>
        <w:tc>
          <w:tcPr>
            <w:tcW w:w="47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99"/>
              </w:rPr>
              <w:t>Securities to be Registered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Per Share(2)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Price(2)</w:t>
            </w: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rPr>
              <w:t>Fee(3)</w:t>
            </w:r>
          </w:p>
        </w:tc>
      </w:tr>
      <w:tr>
        <w:trPr>
          <w:trHeight w:val="150"/>
        </w:trPr>
        <w:tc>
          <w:tcPr>
            <w:tcW w:w="4760" w:type="dxa"/>
            <w:vAlign w:val="bottom"/>
            <w:tcBorders>
              <w:bottom w:val="single" w:sz="8" w:color="auto"/>
              <w:right w:val="single" w:sz="8" w:color="auto"/>
            </w:tcBorders>
          </w:tcPr>
          <w:p>
            <w:pPr>
              <w:ind w:left="20"/>
              <w:spacing w:after="0" w:line="150" w:lineRule="exact"/>
              <w:rPr>
                <w:sz w:val="20"/>
                <w:szCs w:val="20"/>
                <w:color w:val="auto"/>
              </w:rPr>
            </w:pPr>
            <w:r>
              <w:rPr>
                <w:rFonts w:ascii="Arial" w:cs="Arial" w:eastAsia="Arial" w:hAnsi="Arial"/>
                <w:sz w:val="14"/>
                <w:szCs w:val="14"/>
                <w:color w:val="auto"/>
              </w:rPr>
              <w:t>Common stock, $0.001 par value per share</w:t>
            </w:r>
          </w:p>
        </w:tc>
        <w:tc>
          <w:tcPr>
            <w:tcW w:w="150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89"/>
              </w:rPr>
              <w:t>5,750,000</w:t>
            </w:r>
          </w:p>
        </w:tc>
        <w:tc>
          <w:tcPr>
            <w:tcW w:w="1540" w:type="dxa"/>
            <w:vAlign w:val="bottom"/>
            <w:tcBorders>
              <w:bottom w:val="single" w:sz="8" w:color="auto"/>
              <w:right w:val="single" w:sz="8" w:color="auto"/>
            </w:tcBorders>
          </w:tcPr>
          <w:p>
            <w:pPr>
              <w:jc w:val="right"/>
              <w:ind w:right="510"/>
              <w:spacing w:after="0" w:line="150" w:lineRule="exact"/>
              <w:rPr>
                <w:sz w:val="20"/>
                <w:szCs w:val="20"/>
                <w:color w:val="auto"/>
              </w:rPr>
            </w:pPr>
            <w:r>
              <w:rPr>
                <w:rFonts w:ascii="Arial" w:cs="Arial" w:eastAsia="Arial" w:hAnsi="Arial"/>
                <w:sz w:val="14"/>
                <w:szCs w:val="14"/>
                <w:color w:val="auto"/>
              </w:rPr>
              <w:t>$16.00</w:t>
            </w:r>
          </w:p>
        </w:tc>
        <w:tc>
          <w:tcPr>
            <w:tcW w:w="1540" w:type="dxa"/>
            <w:vAlign w:val="bottom"/>
            <w:tcBorders>
              <w:bottom w:val="single" w:sz="8" w:color="auto"/>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89"/>
              </w:rPr>
              <w:t>$92,000,000</w:t>
            </w:r>
          </w:p>
        </w:tc>
        <w:tc>
          <w:tcPr>
            <w:tcW w:w="1380" w:type="dxa"/>
            <w:vAlign w:val="bottom"/>
            <w:tcBorders>
              <w:bottom w:val="single" w:sz="8" w:color="auto"/>
            </w:tcBorders>
          </w:tcPr>
          <w:p>
            <w:pPr>
              <w:jc w:val="center"/>
              <w:ind w:left="50"/>
              <w:spacing w:after="0" w:line="150" w:lineRule="exact"/>
              <w:rPr>
                <w:sz w:val="20"/>
                <w:szCs w:val="20"/>
                <w:color w:val="auto"/>
              </w:rPr>
            </w:pPr>
            <w:r>
              <w:rPr>
                <w:rFonts w:ascii="Arial" w:cs="Arial" w:eastAsia="Arial" w:hAnsi="Arial"/>
                <w:sz w:val="14"/>
                <w:szCs w:val="14"/>
                <w:color w:val="auto"/>
                <w:w w:val="88"/>
              </w:rPr>
              <w:t>$9,844</w:t>
            </w:r>
          </w:p>
        </w:tc>
      </w:tr>
      <w:tr>
        <w:trPr>
          <w:trHeight w:val="150"/>
        </w:trPr>
        <w:tc>
          <w:tcPr>
            <w:tcW w:w="4760" w:type="dxa"/>
            <w:vAlign w:val="bottom"/>
            <w:tcBorders>
              <w:bottom w:val="single" w:sz="8" w:color="000003"/>
              <w:right w:val="single" w:sz="8" w:color="auto"/>
            </w:tcBorders>
          </w:tcPr>
          <w:p>
            <w:pPr>
              <w:ind w:left="20"/>
              <w:spacing w:after="0" w:line="150" w:lineRule="exact"/>
              <w:rPr>
                <w:sz w:val="20"/>
                <w:szCs w:val="20"/>
                <w:color w:val="auto"/>
              </w:rPr>
            </w:pPr>
            <w:r>
              <w:rPr>
                <w:rFonts w:ascii="Arial" w:cs="Arial" w:eastAsia="Arial" w:hAnsi="Arial"/>
                <w:sz w:val="14"/>
                <w:szCs w:val="14"/>
                <w:color w:val="auto"/>
              </w:rPr>
              <w:t>Series A junior participating preferred stock purchase rights(4)</w:t>
            </w:r>
          </w:p>
        </w:tc>
        <w:tc>
          <w:tcPr>
            <w:tcW w:w="1500" w:type="dxa"/>
            <w:vAlign w:val="bottom"/>
            <w:tcBorders>
              <w:bottom w:val="single" w:sz="8" w:color="000003"/>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000003"/>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000003"/>
              <w:right w:val="single" w:sz="8" w:color="auto"/>
            </w:tcBorders>
          </w:tcPr>
          <w:p>
            <w:pPr>
              <w:jc w:val="center"/>
              <w:spacing w:after="0" w:line="150"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000003"/>
            </w:tcBorders>
          </w:tcPr>
          <w:p>
            <w:pPr>
              <w:jc w:val="center"/>
              <w:ind w:left="50"/>
              <w:spacing w:after="0" w:line="150" w:lineRule="exact"/>
              <w:rPr>
                <w:sz w:val="20"/>
                <w:szCs w:val="20"/>
                <w:color w:val="auto"/>
              </w:rPr>
            </w:pPr>
            <w:r>
              <w:rPr>
                <w:rFonts w:ascii="Arial" w:cs="Arial" w:eastAsia="Arial" w:hAnsi="Arial"/>
                <w:sz w:val="14"/>
                <w:szCs w:val="14"/>
                <w:color w:val="auto"/>
                <w:w w:val="99"/>
              </w:rPr>
              <w:t>—</w:t>
            </w:r>
          </w:p>
        </w:tc>
      </w:tr>
      <w:tr>
        <w:trPr>
          <w:trHeight w:val="20"/>
        </w:trPr>
        <w:tc>
          <w:tcPr>
            <w:tcW w:w="4760" w:type="dxa"/>
            <w:vAlign w:val="bottom"/>
            <w:tcBorders>
              <w:bottom w:val="single" w:sz="8" w:color="000003"/>
            </w:tcBorders>
          </w:tcPr>
          <w:p>
            <w:pPr>
              <w:spacing w:after="0" w:line="20" w:lineRule="exact"/>
              <w:rPr>
                <w:sz w:val="1"/>
                <w:szCs w:val="1"/>
                <w:color w:val="auto"/>
              </w:rPr>
            </w:pPr>
          </w:p>
        </w:tc>
        <w:tc>
          <w:tcPr>
            <w:tcW w:w="1500" w:type="dxa"/>
            <w:vAlign w:val="bottom"/>
            <w:tcBorders>
              <w:bottom w:val="single" w:sz="8" w:color="000003"/>
            </w:tcBorders>
          </w:tcPr>
          <w:p>
            <w:pPr>
              <w:spacing w:after="0" w:line="20" w:lineRule="exact"/>
              <w:rPr>
                <w:sz w:val="1"/>
                <w:szCs w:val="1"/>
                <w:color w:val="auto"/>
              </w:rPr>
            </w:pPr>
          </w:p>
        </w:tc>
        <w:tc>
          <w:tcPr>
            <w:tcW w:w="1540" w:type="dxa"/>
            <w:vAlign w:val="bottom"/>
            <w:tcBorders>
              <w:bottom w:val="single" w:sz="8" w:color="000003"/>
            </w:tcBorders>
          </w:tcPr>
          <w:p>
            <w:pPr>
              <w:spacing w:after="0" w:line="20" w:lineRule="exact"/>
              <w:rPr>
                <w:sz w:val="1"/>
                <w:szCs w:val="1"/>
                <w:color w:val="auto"/>
              </w:rPr>
            </w:pPr>
          </w:p>
        </w:tc>
        <w:tc>
          <w:tcPr>
            <w:tcW w:w="1540" w:type="dxa"/>
            <w:vAlign w:val="bottom"/>
            <w:tcBorders>
              <w:bottom w:val="single" w:sz="8" w:color="000003"/>
            </w:tcBorders>
          </w:tcPr>
          <w:p>
            <w:pPr>
              <w:spacing w:after="0" w:line="20" w:lineRule="exact"/>
              <w:rPr>
                <w:sz w:val="1"/>
                <w:szCs w:val="1"/>
                <w:color w:val="auto"/>
              </w:rPr>
            </w:pPr>
          </w:p>
        </w:tc>
        <w:tc>
          <w:tcPr>
            <w:tcW w:w="1380" w:type="dxa"/>
            <w:vAlign w:val="bottom"/>
            <w:tcBorders>
              <w:bottom w:val="single" w:sz="8" w:color="000003"/>
            </w:tcBorders>
          </w:tcPr>
          <w:p>
            <w:pPr>
              <w:spacing w:after="0" w:line="20" w:lineRule="exact"/>
              <w:rPr>
                <w:sz w:val="1"/>
                <w:szCs w:val="1"/>
                <w:color w:val="auto"/>
              </w:rPr>
            </w:pPr>
          </w:p>
        </w:tc>
      </w:tr>
    </w:tbl>
    <w:p>
      <w:pPr>
        <w:spacing w:after="0" w:line="147" w:lineRule="exact"/>
        <w:rPr>
          <w:sz w:val="20"/>
          <w:szCs w:val="20"/>
          <w:color w:val="auto"/>
        </w:rPr>
      </w:pPr>
    </w:p>
    <w:p>
      <w:pPr>
        <w:ind w:left="340" w:hanging="333"/>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750,000 shares of common stock that may be purchased by the underwriters to cover over-allotments, if any.</w:t>
      </w:r>
    </w:p>
    <w:p>
      <w:pPr>
        <w:spacing w:after="0" w:line="64" w:lineRule="exact"/>
        <w:rPr>
          <w:rFonts w:ascii="Arial" w:cs="Arial" w:eastAsia="Arial" w:hAnsi="Arial"/>
          <w:sz w:val="16"/>
          <w:szCs w:val="16"/>
          <w:color w:val="auto"/>
        </w:rPr>
      </w:pPr>
    </w:p>
    <w:p>
      <w:pPr>
        <w:ind w:left="340" w:hanging="333"/>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computing the registration fee pursuant to Rule 457(a) under the Securities Act.</w:t>
      </w:r>
    </w:p>
    <w:p>
      <w:pPr>
        <w:spacing w:after="0" w:line="77" w:lineRule="exact"/>
        <w:rPr>
          <w:rFonts w:ascii="Arial" w:cs="Arial" w:eastAsia="Arial" w:hAnsi="Arial"/>
          <w:sz w:val="16"/>
          <w:szCs w:val="16"/>
          <w:color w:val="auto"/>
        </w:rPr>
      </w:pPr>
    </w:p>
    <w:p>
      <w:pPr>
        <w:ind w:left="340" w:hanging="333"/>
        <w:spacing w:after="0"/>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Calculated pursuant to Rule 457(a) based on an estimate of the proposed maximum aggregate offering price. This amount has been paid previously.</w:t>
      </w:r>
    </w:p>
    <w:p>
      <w:pPr>
        <w:spacing w:after="0" w:line="89" w:lineRule="exact"/>
        <w:rPr>
          <w:rFonts w:ascii="Arial" w:cs="Arial" w:eastAsia="Arial" w:hAnsi="Arial"/>
          <w:sz w:val="15"/>
          <w:szCs w:val="15"/>
          <w:color w:val="auto"/>
        </w:rPr>
      </w:pPr>
    </w:p>
    <w:p>
      <w:pPr>
        <w:ind w:left="340" w:right="180" w:hanging="333"/>
        <w:spacing w:after="0" w:line="355"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Each share of common stock includes one series A junior participating preferred stock purchase right pursuant to a rights agreement to be entered into between the Registrant and the rights agent. The series A junior participating preferred stock purchase rights will initially trade together with the common stock. The value attributable to the series A junior participating preferred stock purchase rights, if any, is reflected in the offering price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1022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spacing w:after="0" w:line="190" w:lineRule="exact"/>
        <w:rPr>
          <w:sz w:val="20"/>
          <w:szCs w:val="20"/>
          <w:color w:val="auto"/>
        </w:rPr>
      </w:pPr>
    </w:p>
    <w:p>
      <w:pPr>
        <w:ind w:right="120" w:firstLine="644"/>
        <w:spacing w:after="0" w:line="35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-42545</wp:posOffset>
            </wp:positionV>
            <wp:extent cx="681863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18630" cy="3302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121285</wp:posOffset>
            </wp:positionV>
            <wp:extent cx="725487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740"/>
          </w:cols>
          <w:pgMar w:left="580" w:top="623" w:right="579" w:bottom="772" w:gutter="0" w:footer="0" w:header="0"/>
        </w:sectPr>
      </w:pPr>
    </w:p>
    <w:bookmarkStart w:id="2" w:name="page3"/>
    <w:bookmarkEnd w:id="2"/>
    <w:p>
      <w:pPr>
        <w:ind w:left="120" w:right="140"/>
        <w:spacing w:after="0" w:line="256" w:lineRule="auto"/>
        <w:rPr>
          <w:sz w:val="20"/>
          <w:szCs w:val="20"/>
          <w:color w:val="auto"/>
        </w:rPr>
      </w:pPr>
      <w:r>
        <w:rPr>
          <w:rFonts w:ascii="Arial" w:cs="Arial" w:eastAsia="Arial" w:hAnsi="Arial"/>
          <w:sz w:val="17"/>
          <w:szCs w:val="17"/>
          <w:b w:val="1"/>
          <w:bCs w:val="1"/>
          <w:color w:val="A32638"/>
        </w:rPr>
        <w:drawing>
          <wp:anchor simplePos="0" relativeHeight="251657728" behindDoc="1" locked="0" layoutInCell="0" allowOverlap="1">
            <wp:simplePos x="0" y="0"/>
            <wp:positionH relativeFrom="page">
              <wp:posOffset>358775</wp:posOffset>
            </wp:positionH>
            <wp:positionV relativeFrom="page">
              <wp:posOffset>575310</wp:posOffset>
            </wp:positionV>
            <wp:extent cx="6835140" cy="673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5140" cy="673735"/>
                    </a:xfrm>
                    <a:prstGeom prst="rect">
                      <a:avLst/>
                    </a:prstGeom>
                    <a:noFill/>
                  </pic:spPr>
                </pic:pic>
              </a:graphicData>
            </a:graphic>
          </wp:anchor>
        </w:drawing>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where the offer or sale is not permitted.</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b w:val="1"/>
          <w:bCs w:val="1"/>
          <w:color w:val="A32638"/>
        </w:rPr>
        <w:t>Subject to completion, dated October 30, 2006</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Prospectus</w:t>
      </w:r>
    </w:p>
    <w:p>
      <w:pPr>
        <w:spacing w:after="0" w:line="207" w:lineRule="exact"/>
        <w:rPr>
          <w:sz w:val="20"/>
          <w:szCs w:val="20"/>
          <w:color w:val="auto"/>
        </w:rPr>
      </w:pPr>
    </w:p>
    <w:p>
      <w:pPr>
        <w:spacing w:after="0"/>
        <w:rPr>
          <w:sz w:val="20"/>
          <w:szCs w:val="20"/>
          <w:color w:val="auto"/>
        </w:rPr>
      </w:pPr>
      <w:r>
        <w:rPr>
          <w:rFonts w:ascii="Arial" w:cs="Arial" w:eastAsia="Arial" w:hAnsi="Arial"/>
          <w:sz w:val="31"/>
          <w:szCs w:val="31"/>
          <w:b w:val="1"/>
          <w:bCs w:val="1"/>
          <w:i w:val="1"/>
          <w:i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302895</wp:posOffset>
            </wp:positionV>
            <wp:extent cx="1555115" cy="648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5115" cy="64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1"/>
          <w:szCs w:val="31"/>
          <w:b w:val="1"/>
          <w:bCs w:val="1"/>
          <w:i w:val="1"/>
          <w:iCs w:val="1"/>
          <w:color w:val="auto"/>
        </w:rPr>
        <w:t>Common stock</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This is an initial public offering of common stock by Emergent BioSolutions Inc. No public market currently exists for our common stock. We are offering 5,000,000 shares of our common stock. The estimated initial public offering price is between $14.00 and $16.00 per share.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has been authorized for listing on the New York Stock Exchange under the symbol “EBS.”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Borders>
              <w:top w:val="single" w:sz="8" w:color="auto"/>
              <w:bottom w:val="single" w:sz="8" w:color="auto"/>
            </w:tcBorders>
          </w:tcPr>
          <w:p>
            <w:pPr>
              <w:spacing w:after="0"/>
              <w:rPr>
                <w:sz w:val="17"/>
                <w:szCs w:val="17"/>
                <w:color w:val="auto"/>
              </w:rPr>
            </w:pPr>
          </w:p>
        </w:tc>
        <w:tc>
          <w:tcPr>
            <w:tcW w:w="2960" w:type="dxa"/>
            <w:vAlign w:val="bottom"/>
            <w:tcBorders>
              <w:top w:val="single" w:sz="8" w:color="auto"/>
              <w:bottom w:val="single" w:sz="8" w:color="auto"/>
            </w:tcBorders>
          </w:tcPr>
          <w:p>
            <w:pPr>
              <w:ind w:left="1980"/>
              <w:spacing w:after="0"/>
              <w:rPr>
                <w:sz w:val="20"/>
                <w:szCs w:val="20"/>
                <w:color w:val="auto"/>
              </w:rPr>
            </w:pPr>
            <w:r>
              <w:rPr>
                <w:rFonts w:ascii="Arial" w:cs="Arial" w:eastAsia="Arial" w:hAnsi="Arial"/>
                <w:sz w:val="14"/>
                <w:szCs w:val="14"/>
                <w:b w:val="1"/>
                <w:bCs w:val="1"/>
                <w:color w:val="auto"/>
              </w:rPr>
              <w:t>Per share</w:t>
            </w:r>
          </w:p>
        </w:tc>
        <w:tc>
          <w:tcPr>
            <w:tcW w:w="26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Total</w:t>
            </w:r>
          </w:p>
        </w:tc>
      </w:tr>
      <w:tr>
        <w:trPr>
          <w:trHeight w:val="464"/>
        </w:trPr>
        <w:tc>
          <w:tcPr>
            <w:tcW w:w="5140" w:type="dxa"/>
            <w:vAlign w:val="bottom"/>
          </w:tcPr>
          <w:p>
            <w:pPr>
              <w:ind w:left="20"/>
              <w:spacing w:after="0"/>
              <w:rPr>
                <w:sz w:val="20"/>
                <w:szCs w:val="20"/>
                <w:color w:val="auto"/>
              </w:rPr>
            </w:pPr>
            <w:r>
              <w:rPr>
                <w:rFonts w:ascii="Arial" w:cs="Arial" w:eastAsia="Arial" w:hAnsi="Arial"/>
                <w:sz w:val="17"/>
                <w:szCs w:val="17"/>
                <w:color w:val="auto"/>
              </w:rPr>
              <w:t>Initial public offering price</w:t>
            </w:r>
          </w:p>
        </w:tc>
        <w:tc>
          <w:tcPr>
            <w:tcW w:w="2960" w:type="dxa"/>
            <w:vAlign w:val="bottom"/>
          </w:tcPr>
          <w:p>
            <w:pPr>
              <w:ind w:left="1960"/>
              <w:spacing w:after="0"/>
              <w:rPr>
                <w:sz w:val="20"/>
                <w:szCs w:val="20"/>
                <w:color w:val="auto"/>
              </w:rPr>
            </w:pPr>
            <w:r>
              <w:rPr>
                <w:rFonts w:ascii="Arial" w:cs="Arial" w:eastAsia="Arial" w:hAnsi="Arial"/>
                <w:sz w:val="17"/>
                <w:szCs w:val="17"/>
                <w:color w:val="auto"/>
              </w:rPr>
              <w:t>$</w:t>
            </w:r>
          </w:p>
        </w:tc>
        <w:tc>
          <w:tcPr>
            <w:tcW w:w="2620" w:type="dxa"/>
            <w:vAlign w:val="bottom"/>
          </w:tcPr>
          <w:p>
            <w:pPr>
              <w:ind w:left="320"/>
              <w:spacing w:after="0"/>
              <w:rPr>
                <w:sz w:val="20"/>
                <w:szCs w:val="20"/>
                <w:color w:val="auto"/>
              </w:rPr>
            </w:pPr>
            <w:r>
              <w:rPr>
                <w:rFonts w:ascii="Arial" w:cs="Arial" w:eastAsia="Arial" w:hAnsi="Arial"/>
                <w:sz w:val="17"/>
                <w:szCs w:val="17"/>
                <w:color w:val="auto"/>
              </w:rPr>
              <w:t>$</w:t>
            </w:r>
          </w:p>
        </w:tc>
      </w:tr>
      <w:tr>
        <w:trPr>
          <w:trHeight w:val="327"/>
        </w:trPr>
        <w:tc>
          <w:tcPr>
            <w:tcW w:w="5140" w:type="dxa"/>
            <w:vAlign w:val="bottom"/>
          </w:tcPr>
          <w:p>
            <w:pPr>
              <w:ind w:left="20"/>
              <w:spacing w:after="0"/>
              <w:rPr>
                <w:sz w:val="20"/>
                <w:szCs w:val="20"/>
                <w:color w:val="auto"/>
              </w:rPr>
            </w:pPr>
            <w:r>
              <w:rPr>
                <w:rFonts w:ascii="Arial" w:cs="Arial" w:eastAsia="Arial" w:hAnsi="Arial"/>
                <w:sz w:val="17"/>
                <w:szCs w:val="17"/>
                <w:color w:val="auto"/>
              </w:rPr>
              <w:t>Underwriting discounts and commissions</w:t>
            </w:r>
          </w:p>
        </w:tc>
        <w:tc>
          <w:tcPr>
            <w:tcW w:w="2960" w:type="dxa"/>
            <w:vAlign w:val="bottom"/>
          </w:tcPr>
          <w:p>
            <w:pPr>
              <w:ind w:left="1960"/>
              <w:spacing w:after="0"/>
              <w:rPr>
                <w:sz w:val="20"/>
                <w:szCs w:val="20"/>
                <w:color w:val="auto"/>
              </w:rPr>
            </w:pPr>
            <w:r>
              <w:rPr>
                <w:rFonts w:ascii="Arial" w:cs="Arial" w:eastAsia="Arial" w:hAnsi="Arial"/>
                <w:sz w:val="17"/>
                <w:szCs w:val="17"/>
                <w:color w:val="auto"/>
              </w:rPr>
              <w:t>$</w:t>
            </w:r>
          </w:p>
        </w:tc>
        <w:tc>
          <w:tcPr>
            <w:tcW w:w="2620" w:type="dxa"/>
            <w:vAlign w:val="bottom"/>
          </w:tcPr>
          <w:p>
            <w:pPr>
              <w:ind w:left="320"/>
              <w:spacing w:after="0"/>
              <w:rPr>
                <w:sz w:val="20"/>
                <w:szCs w:val="20"/>
                <w:color w:val="auto"/>
              </w:rPr>
            </w:pPr>
            <w:r>
              <w:rPr>
                <w:rFonts w:ascii="Arial" w:cs="Arial" w:eastAsia="Arial" w:hAnsi="Arial"/>
                <w:sz w:val="17"/>
                <w:szCs w:val="17"/>
                <w:color w:val="auto"/>
              </w:rPr>
              <w:t>$</w:t>
            </w:r>
          </w:p>
        </w:tc>
      </w:tr>
      <w:tr>
        <w:trPr>
          <w:trHeight w:val="327"/>
        </w:trPr>
        <w:tc>
          <w:tcPr>
            <w:tcW w:w="5140" w:type="dxa"/>
            <w:vAlign w:val="bottom"/>
          </w:tcPr>
          <w:p>
            <w:pPr>
              <w:ind w:left="20"/>
              <w:spacing w:after="0"/>
              <w:rPr>
                <w:sz w:val="20"/>
                <w:szCs w:val="20"/>
                <w:color w:val="auto"/>
              </w:rPr>
            </w:pPr>
            <w:r>
              <w:rPr>
                <w:rFonts w:ascii="Arial" w:cs="Arial" w:eastAsia="Arial" w:hAnsi="Arial"/>
                <w:sz w:val="17"/>
                <w:szCs w:val="17"/>
                <w:color w:val="auto"/>
              </w:rPr>
              <w:t>Proceeds to Emergent, before expenses</w:t>
            </w:r>
          </w:p>
        </w:tc>
        <w:tc>
          <w:tcPr>
            <w:tcW w:w="2960" w:type="dxa"/>
            <w:vAlign w:val="bottom"/>
          </w:tcPr>
          <w:p>
            <w:pPr>
              <w:ind w:left="1960"/>
              <w:spacing w:after="0"/>
              <w:rPr>
                <w:sz w:val="20"/>
                <w:szCs w:val="20"/>
                <w:color w:val="auto"/>
              </w:rPr>
            </w:pPr>
            <w:r>
              <w:rPr>
                <w:rFonts w:ascii="Arial" w:cs="Arial" w:eastAsia="Arial" w:hAnsi="Arial"/>
                <w:sz w:val="17"/>
                <w:szCs w:val="17"/>
                <w:color w:val="auto"/>
              </w:rPr>
              <w:t>$</w:t>
            </w:r>
          </w:p>
        </w:tc>
        <w:tc>
          <w:tcPr>
            <w:tcW w:w="2620" w:type="dxa"/>
            <w:vAlign w:val="bottom"/>
          </w:tcPr>
          <w:p>
            <w:pPr>
              <w:ind w:left="32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74930</wp:posOffset>
            </wp:positionV>
            <wp:extent cx="6693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3535" cy="8255"/>
                    </a:xfrm>
                    <a:prstGeom prst="rect">
                      <a:avLst/>
                    </a:prstGeom>
                    <a:noFill/>
                  </pic:spPr>
                </pic:pic>
              </a:graphicData>
            </a:graphic>
          </wp:anchor>
        </w:drawing>
      </w:r>
    </w:p>
    <w:p>
      <w:pPr>
        <w:spacing w:after="0" w:line="228"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The underwriters have an option for a period of 30 days to purchase up to 480,000 additional shares of common stock from the selling stockholders identified in this prospectus and up to 270,000 additional shares of common stock from us to cover over-allotments. We will not receive any proceeds from the sale of shares by the selling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in our common stock involves a high degree of risk. See “Risk factors” beginning on page 9.</w:t>
      </w:r>
    </w:p>
    <w:p>
      <w:pPr>
        <w:spacing w:after="0" w:line="184" w:lineRule="exact"/>
        <w:rPr>
          <w:sz w:val="20"/>
          <w:szCs w:val="20"/>
          <w:color w:val="auto"/>
        </w:rPr>
      </w:pPr>
    </w:p>
    <w:p>
      <w:pPr>
        <w:jc w:val="both"/>
        <w:ind w:right="300"/>
        <w:spacing w:after="0" w:line="285"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20"/>
                <w:szCs w:val="20"/>
                <w:color w:val="auto"/>
              </w:rPr>
            </w:pPr>
            <w:r>
              <w:rPr>
                <w:rFonts w:ascii="Arial" w:cs="Arial" w:eastAsia="Arial" w:hAnsi="Arial"/>
                <w:sz w:val="17"/>
                <w:szCs w:val="17"/>
                <w:color w:val="auto"/>
              </w:rPr>
              <w:t>The underwriters expect to deliver the shares on or about</w:t>
            </w:r>
          </w:p>
        </w:tc>
        <w:tc>
          <w:tcPr>
            <w:tcW w:w="760" w:type="dxa"/>
            <w:vAlign w:val="bottom"/>
          </w:tcPr>
          <w:p>
            <w:pPr>
              <w:jc w:val="right"/>
              <w:spacing w:after="0"/>
              <w:rPr>
                <w:sz w:val="20"/>
                <w:szCs w:val="20"/>
                <w:color w:val="auto"/>
              </w:rPr>
            </w:pPr>
            <w:r>
              <w:rPr>
                <w:rFonts w:ascii="Arial" w:cs="Arial" w:eastAsia="Arial" w:hAnsi="Arial"/>
                <w:sz w:val="17"/>
                <w:szCs w:val="17"/>
                <w:color w:val="auto"/>
              </w:rPr>
              <w:t>, 2006.</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JPMorgan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Cowen and Company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28"/>
          <w:szCs w:val="28"/>
          <w:b w:val="1"/>
          <w:bCs w:val="1"/>
          <w:color w:val="auto"/>
        </w:rPr>
        <w:t>HSBC</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127635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740"/>
          </w:cols>
          <w:pgMar w:left="580" w:top="1020" w:right="5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8"/>
          <w:szCs w:val="28"/>
          <w:b w:val="1"/>
          <w:bCs w:val="1"/>
          <w:color w:val="auto"/>
        </w:rPr>
        <w:t>Table of contents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9420" w:type="dxa"/>
            <w:vAlign w:val="bottom"/>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Prospectus summary</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Risk factors</w:t>
            </w:r>
          </w:p>
        </w:tc>
        <w:tc>
          <w:tcPr>
            <w:tcW w:w="40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Special note regarding forward-looking statements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Use of proceeds</w:t>
            </w:r>
          </w:p>
        </w:tc>
        <w:tc>
          <w:tcPr>
            <w:tcW w:w="40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Dividend policy</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Capitalization</w:t>
            </w:r>
          </w:p>
        </w:tc>
        <w:tc>
          <w:tcPr>
            <w:tcW w:w="400" w:type="dxa"/>
            <w:vAlign w:val="bottom"/>
          </w:tcPr>
          <w:p>
            <w:pPr>
              <w:jc w:val="right"/>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Dilution</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Selected consolidated financial data</w:t>
            </w:r>
          </w:p>
        </w:tc>
        <w:tc>
          <w:tcPr>
            <w:tcW w:w="400" w:type="dxa"/>
            <w:vAlign w:val="bottom"/>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Business</w:t>
            </w:r>
          </w:p>
        </w:tc>
        <w:tc>
          <w:tcPr>
            <w:tcW w:w="400" w:type="dxa"/>
            <w:vAlign w:val="bottom"/>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Management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Certain relationships and related party transactions</w:t>
            </w:r>
          </w:p>
        </w:tc>
        <w:tc>
          <w:tcPr>
            <w:tcW w:w="400" w:type="dxa"/>
            <w:vAlign w:val="bottom"/>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Principal and selling stockholders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Description of capital stock</w:t>
            </w:r>
          </w:p>
        </w:tc>
        <w:tc>
          <w:tcPr>
            <w:tcW w:w="40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Shares eligible for future sale</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Underwriting</w:t>
            </w:r>
          </w:p>
        </w:tc>
        <w:tc>
          <w:tcPr>
            <w:tcW w:w="400" w:type="dxa"/>
            <w:vAlign w:val="bottom"/>
          </w:tcPr>
          <w:p>
            <w:pPr>
              <w:jc w:val="right"/>
              <w:spacing w:after="0"/>
              <w:rPr>
                <w:sz w:val="20"/>
                <w:szCs w:val="20"/>
                <w:color w:val="auto"/>
              </w:rPr>
            </w:pPr>
            <w:r>
              <w:rPr>
                <w:rFonts w:ascii="Arial" w:cs="Arial" w:eastAsia="Arial" w:hAnsi="Arial"/>
                <w:sz w:val="17"/>
                <w:szCs w:val="17"/>
                <w:color w:val="auto"/>
              </w:rPr>
              <w:t>175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Legal matters</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Experts</w:t>
            </w:r>
          </w:p>
        </w:tc>
        <w:tc>
          <w:tcPr>
            <w:tcW w:w="400" w:type="dxa"/>
            <w:vAlign w:val="bottom"/>
          </w:tcPr>
          <w:p>
            <w:pPr>
              <w:jc w:val="right"/>
              <w:spacing w:after="0"/>
              <w:rPr>
                <w:sz w:val="20"/>
                <w:szCs w:val="20"/>
                <w:color w:val="auto"/>
              </w:rPr>
            </w:pPr>
            <w:r>
              <w:rPr>
                <w:rFonts w:ascii="Arial" w:cs="Arial" w:eastAsia="Arial" w:hAnsi="Arial"/>
                <w:sz w:val="17"/>
                <w:szCs w:val="17"/>
                <w:color w:val="auto"/>
              </w:rPr>
              <w:t>181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Where you can find more information</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Index to financial statements</w:t>
            </w:r>
          </w:p>
        </w:tc>
        <w:tc>
          <w:tcPr>
            <w:tcW w:w="480" w:type="dxa"/>
            <w:vAlign w:val="bottom"/>
            <w:gridSpan w:val="2"/>
          </w:tcPr>
          <w:p>
            <w:pPr>
              <w:ind w:left="1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1139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b w:val="1"/>
          <w:bCs w:val="1"/>
          <w:color w:val="auto"/>
        </w:rPr>
        <w:t>You should rely only on the information contained in this prospectus or to which we have referred you. We and the selling stockholders have not authorized anyone to provide you with different information. We and the selling stockholders are offering to sell, and are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 Our business, financial conditions, results of operations and prospects may have changed since that date.</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color w:val="auto"/>
        </w:rPr>
        <w:t>No action is being taken in any jurisdiction outside the United States to permit a public offering of the common stock or possession or distribution of this prospectus in that jurisdiction. Persons who come into possession of this prospectus in any jurisdictions outside the United States are required to inform themselves about and to observe any restrictions as to this offering and the distribution of this prospectus applicable to that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114935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6" w:right="1039" w:bottom="1440" w:gutter="0" w:footer="0" w:header="0"/>
        </w:sectPr>
      </w:pPr>
    </w:p>
    <w:bookmarkStart w:id="4" w:name="page5"/>
    <w:bookmarkEnd w:id="4"/>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Prospectus summary</w:t>
      </w:r>
    </w:p>
    <w:p>
      <w:pPr>
        <w:spacing w:after="0" w:line="14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may not contain all of the information that is important to you. Before investing in our common stock, you should read this prospectus carefully in its entirety, especially the risks of investing in our common stock that we discuss under “Risk factors,” and our financial statements and related notes beginning on page F-1.</w:t>
      </w:r>
    </w:p>
    <w:p>
      <w:pPr>
        <w:spacing w:after="0" w:line="1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business</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are a biopharmaceutical company focused on the development, manufacture and commercialization of immunobiotics. Immunobiotics are pharmaceutical products, such as vaccines and immune globulins, that induce or assist the body’s immune system to prevent or treat disease. We operate in two business segments: biodefense and commercial. In our biodefense business, we develop and commercialize immunobiotics for use against biological agents that are potential weapons of bioterrorism. In our commercial business, we develop immunobiotics for use against infectious diseases with significant unmet or underserved medical needs.</w:t>
      </w:r>
    </w:p>
    <w:p>
      <w:pPr>
        <w:spacing w:after="0" w:line="8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i w:val="1"/>
          <w:iCs w:val="1"/>
          <w:color w:val="auto"/>
        </w:rPr>
        <w:t xml:space="preserve">BioThrax. </w:t>
      </w:r>
      <w:r>
        <w:rPr>
          <w:rFonts w:ascii="Arial" w:cs="Arial" w:eastAsia="Arial" w:hAnsi="Arial"/>
          <w:sz w:val="17"/>
          <w:szCs w:val="17"/>
          <w:color w:val="auto"/>
        </w:rPr>
        <w:t>We manufacture and market BioThrax</w:t>
      </w:r>
      <w:r>
        <w:rPr>
          <w:rFonts w:ascii="Arial" w:cs="Arial" w:eastAsia="Arial" w:hAnsi="Arial"/>
          <w:sz w:val="14"/>
          <w:szCs w:val="14"/>
          <w:color w:val="auto"/>
        </w:rPr>
        <w:t>®</w:t>
      </w:r>
      <w:r>
        <w:rPr>
          <w:rFonts w:ascii="Arial" w:cs="Arial" w:eastAsia="Arial" w:hAnsi="Arial"/>
          <w:sz w:val="17"/>
          <w:szCs w:val="17"/>
          <w:color w:val="auto"/>
        </w:rPr>
        <w:t>, also referred to as anthrax vaccine adsorbed, the only anthrax vaccine</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by the U.S. Food and Drug Administration, or FDA. Our total revenues from BioThrax sales were $55.5 million in 2003, $81.0 million in 2004, $127.3 million in 2005 and $61.3 million in the nine months ended September 30, 2006. The</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U.S. Department of Defense, or DoD, and the U.S. Department of Health and Human Services, or HHS, have been the principal customers for BioThrax. Since 1998, we have been a party to two supply agreements for BioThrax with the DoD. Pursuant to these contracts, we have supplied over nine million doses of BioThrax through September 2006 to the DoD for immunization of military personnel. Since March 1998, the DoD has vaccinated more than 1.5 million military personnel with more than 5.7 million doses of BioThrax. Our current contract with the DoD provides for the supply of a minimum of approximately 1.5 million additional doses of BioThrax to the DoD through September 2007. In April 2006, the DoD issued a notice that it intends to negotiate a sole source fixed price contract for the purchase of up to an additional 11 million doses of BioThrax over one base contract year plus four option years. In May 2005, we entered into an agreement to supply five million doses of BioThrax to HHS for placement into the strategic national stockpile for a fixed price of $123 million. We completed delivery of all five million doses by February 2006, seven months earlier than required.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w:t>
      </w:r>
    </w:p>
    <w:p>
      <w:pPr>
        <w:spacing w:after="0" w:line="11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National Institutes of Health, or NIH, originally approved the manufacture and sale of BioThrax in 1970. In December 2005, in reaffirming the approval of BioThrax, the FDA concluded that BioThrax is safe and effective for the prevention of anthrax infection by all routes of exposure, including inhalation. A study published in 2002 by the Institute of Medicine, which is a component of The National Academy of Sciences, supports the FDA ruling. In its study, the Institute of Medicine found that BioThrax is an effective vaccine for protection against anthrax, including inhalational anthrax, caused by any known or plausible engineered strains.</w:t>
      </w:r>
    </w:p>
    <w:p>
      <w:pPr>
        <w:spacing w:after="0" w:line="285"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i w:val="1"/>
          <w:iCs w:val="1"/>
          <w:color w:val="auto"/>
        </w:rPr>
        <w:t xml:space="preserve">Biodefense market opportunity. </w:t>
      </w:r>
      <w:r>
        <w:rPr>
          <w:rFonts w:ascii="Arial" w:cs="Arial" w:eastAsia="Arial" w:hAnsi="Arial"/>
          <w:sz w:val="17"/>
          <w:szCs w:val="17"/>
          <w:color w:val="auto"/>
        </w:rPr>
        <w:t>The biodefense market for immunobiotics has grown dramatically as a result of the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awareness of the threat of global terror activity in the wake of the September 11, 2001 terrorist attacks and the October 2001 anthrax letter attacks. The letter attacks involved the delivery of mail contaminated with anthrax spores to government officials and members of the media in the United States. As a result of the letter attacks, 22 people became infected with anthrax, including 11 with inhalational anthrax, and five people died.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132080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1160" w:top="1437" w:right="819" w:bottom="1440" w:gutter="0" w:footer="0" w:header="0"/>
        </w:sectPr>
      </w:pPr>
    </w:p>
    <w:bookmarkStart w:id="5" w:name="page6"/>
    <w:bookmarkEnd w:id="5"/>
    <w:p>
      <w:pPr>
        <w:ind w:left="8" w:right="100"/>
        <w:spacing w:after="0" w:line="24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The U.S. government is the principal source of worldwide biodefense spending. Most U.S. government spending on biodefense programs results from procurement of countermeasures by HHS, the Centers for Disease Control and Prevention, or CDC, and the DoD and development funding from the National Institute of Allergy and Infectious Diseases of NIH, or NIAID, and the DoD. In 2004, the Project BioShield Act became law, providing $5.6 billion in appropriations over ten years and authorizing the procurement of countermeasures for biological, chemical, radiological and nuclear attacks.</w:t>
      </w:r>
    </w:p>
    <w:p>
      <w:pPr>
        <w:spacing w:after="0" w:line="84" w:lineRule="exact"/>
        <w:rPr>
          <w:sz w:val="20"/>
          <w:szCs w:val="20"/>
          <w:color w:val="auto"/>
        </w:rPr>
      </w:pPr>
    </w:p>
    <w:p>
      <w:pPr>
        <w:ind w:left="8" w:right="80"/>
        <w:spacing w:after="0" w:line="251" w:lineRule="auto"/>
        <w:rPr>
          <w:sz w:val="20"/>
          <w:szCs w:val="20"/>
          <w:color w:val="auto"/>
        </w:rPr>
      </w:pPr>
      <w:r>
        <w:rPr>
          <w:rFonts w:ascii="Arial" w:cs="Arial" w:eastAsia="Arial" w:hAnsi="Arial"/>
          <w:sz w:val="17"/>
          <w:szCs w:val="17"/>
          <w:i w:val="1"/>
          <w:iCs w:val="1"/>
          <w:color w:val="auto"/>
        </w:rPr>
        <w:t xml:space="preserve">Biodefense product development. </w:t>
      </w:r>
      <w:r>
        <w:rPr>
          <w:rFonts w:ascii="Arial" w:cs="Arial" w:eastAsia="Arial" w:hAnsi="Arial"/>
          <w:sz w:val="17"/>
          <w:szCs w:val="17"/>
          <w:color w:val="auto"/>
        </w:rPr>
        <w:t>In addition to BioThrax, our biodefense product portfolio includes three biodefense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 preclinical development and a next generation anthrax vaccine program with product candidates in preclinical and Phase I clinical development. We are developing all of our biodefense product candidates to address category A biological agents, which are the class of biological agents that the CDC has identified as the greatest possible threat to public health. Our biodefense product candidates in preclinical development are:</w:t>
      </w:r>
    </w:p>
    <w:p>
      <w:pPr>
        <w:spacing w:after="0" w:line="78" w:lineRule="exact"/>
        <w:rPr>
          <w:sz w:val="20"/>
          <w:szCs w:val="20"/>
          <w:color w:val="auto"/>
        </w:rPr>
      </w:pPr>
    </w:p>
    <w:p>
      <w:pPr>
        <w:ind w:left="208" w:right="320" w:hanging="208"/>
        <w:spacing w:after="0" w:line="281" w:lineRule="auto"/>
        <w:tabs>
          <w:tab w:leader="none" w:pos="208"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Anthrax immune globulin </w:t>
      </w:r>
      <w:r>
        <w:rPr>
          <w:rFonts w:ascii="Arial" w:cs="Arial" w:eastAsia="Arial" w:hAnsi="Arial"/>
          <w:sz w:val="17"/>
          <w:szCs w:val="17"/>
          <w:color w:val="auto"/>
        </w:rPr>
        <w:t>— for post-exposure treatment of anthrax infection, which we are developing in part with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NIAID;</w:t>
      </w:r>
    </w:p>
    <w:p>
      <w:pPr>
        <w:spacing w:after="0" w:line="39" w:lineRule="exact"/>
        <w:rPr>
          <w:rFonts w:ascii="Arial" w:cs="Arial" w:eastAsia="Arial" w:hAnsi="Arial"/>
          <w:sz w:val="17"/>
          <w:szCs w:val="17"/>
          <w:color w:val="auto"/>
        </w:rPr>
      </w:pPr>
    </w:p>
    <w:p>
      <w:pPr>
        <w:ind w:left="208" w:right="180" w:hanging="208"/>
        <w:spacing w:after="0" w:line="261" w:lineRule="auto"/>
        <w:tabs>
          <w:tab w:leader="none" w:pos="208"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Botulinum immune globulin </w:t>
      </w:r>
      <w:r>
        <w:rPr>
          <w:rFonts w:ascii="Arial" w:cs="Arial" w:eastAsia="Arial" w:hAnsi="Arial"/>
          <w:sz w:val="17"/>
          <w:szCs w:val="17"/>
          <w:color w:val="auto"/>
        </w:rPr>
        <w:t>— for post-exposure treatment of illness caused by botulinum toxin, which we are developing</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 new botulinum toxoid vaccine that we are developing in collaboration with the U.K. Health Protection Agency, or HPA; and</w:t>
      </w:r>
    </w:p>
    <w:p>
      <w:pPr>
        <w:spacing w:after="0" w:line="56" w:lineRule="exact"/>
        <w:rPr>
          <w:rFonts w:ascii="Arial" w:cs="Arial" w:eastAsia="Arial" w:hAnsi="Arial"/>
          <w:sz w:val="17"/>
          <w:szCs w:val="17"/>
          <w:color w:val="auto"/>
        </w:rPr>
      </w:pPr>
    </w:p>
    <w:p>
      <w:pPr>
        <w:ind w:left="208" w:right="40" w:hanging="208"/>
        <w:spacing w:after="0" w:line="281" w:lineRule="auto"/>
        <w:tabs>
          <w:tab w:leader="none" w:pos="208"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Recombinant bivalent botulinum vaccine </w:t>
      </w:r>
      <w:r>
        <w:rPr>
          <w:rFonts w:ascii="Arial" w:cs="Arial" w:eastAsia="Arial" w:hAnsi="Arial"/>
          <w:sz w:val="17"/>
          <w:szCs w:val="17"/>
          <w:color w:val="auto"/>
        </w:rPr>
        <w:t>— a prophylaxis for illness caused by botulinum toxin, which we also are developing</w:t>
      </w:r>
      <w:r>
        <w:rPr>
          <w:rFonts w:ascii="Arial" w:cs="Arial" w:eastAsia="Arial" w:hAnsi="Arial"/>
          <w:sz w:val="17"/>
          <w:szCs w:val="17"/>
          <w:i w:val="1"/>
          <w:iCs w:val="1"/>
          <w:color w:val="auto"/>
        </w:rPr>
        <w:t xml:space="preserve"> </w:t>
      </w:r>
      <w:r>
        <w:rPr>
          <w:rFonts w:ascii="Arial" w:cs="Arial" w:eastAsia="Arial" w:hAnsi="Arial"/>
          <w:sz w:val="17"/>
          <w:szCs w:val="17"/>
          <w:color w:val="auto"/>
        </w:rPr>
        <w:t>in collaboration with HPA.</w:t>
      </w:r>
    </w:p>
    <w:p>
      <w:pPr>
        <w:spacing w:after="0" w:line="71" w:lineRule="exact"/>
        <w:rPr>
          <w:sz w:val="20"/>
          <w:szCs w:val="20"/>
          <w:color w:val="auto"/>
        </w:rPr>
      </w:pPr>
    </w:p>
    <w:p>
      <w:pPr>
        <w:ind w:left="8" w:right="140"/>
        <w:spacing w:after="0" w:line="245" w:lineRule="auto"/>
        <w:rPr>
          <w:sz w:val="20"/>
          <w:szCs w:val="20"/>
          <w:color w:val="auto"/>
        </w:rPr>
      </w:pPr>
      <w:r>
        <w:rPr>
          <w:rFonts w:ascii="Arial" w:cs="Arial" w:eastAsia="Arial" w:hAnsi="Arial"/>
          <w:sz w:val="17"/>
          <w:szCs w:val="17"/>
          <w:color w:val="auto"/>
        </w:rPr>
        <w:t>We are evaluating several potential product candidates in connection with development of a next generation anthrax vaccine, featuring attributes such as self administration and a longer shelf life. In September 2006, we submitted three separate proposals in response to a request for proposals issued by NIAID in June 2006 for the advanced development and testing of next generation anthrax vaccine candidates. One of our proposals relates to a vaccine candidate that has completed a Phase I clinical trial.</w:t>
      </w:r>
    </w:p>
    <w:p>
      <w:pPr>
        <w:spacing w:after="0" w:line="84" w:lineRule="exact"/>
        <w:rPr>
          <w:sz w:val="20"/>
          <w:szCs w:val="20"/>
          <w:color w:val="auto"/>
        </w:rPr>
      </w:pPr>
    </w:p>
    <w:p>
      <w:pPr>
        <w:ind w:left="8" w:right="120"/>
        <w:spacing w:after="0" w:line="249" w:lineRule="auto"/>
        <w:rPr>
          <w:sz w:val="20"/>
          <w:szCs w:val="20"/>
          <w:color w:val="auto"/>
        </w:rPr>
      </w:pPr>
      <w:r>
        <w:rPr>
          <w:rFonts w:ascii="Arial" w:cs="Arial" w:eastAsia="Arial" w:hAnsi="Arial"/>
          <w:sz w:val="17"/>
          <w:szCs w:val="17"/>
          <w:i w:val="1"/>
          <w:iCs w:val="1"/>
          <w:color w:val="auto"/>
        </w:rPr>
        <w:t xml:space="preserve">Commercial market opportunity. </w:t>
      </w:r>
      <w:r>
        <w:rPr>
          <w:rFonts w:ascii="Arial" w:cs="Arial" w:eastAsia="Arial" w:hAnsi="Arial"/>
          <w:sz w:val="17"/>
          <w:szCs w:val="17"/>
          <w:color w:val="auto"/>
        </w:rPr>
        <w:t>Vaccines have long been recognized as a safe and cost-effective method for preventing</w:t>
      </w:r>
      <w:r>
        <w:rPr>
          <w:rFonts w:ascii="Arial" w:cs="Arial" w:eastAsia="Arial" w:hAnsi="Arial"/>
          <w:sz w:val="17"/>
          <w:szCs w:val="17"/>
          <w:i w:val="1"/>
          <w:iCs w:val="1"/>
          <w:color w:val="auto"/>
        </w:rPr>
        <w:t xml:space="preserve"> </w:t>
      </w:r>
      <w:r>
        <w:rPr>
          <w:rFonts w:ascii="Arial" w:cs="Arial" w:eastAsia="Arial" w:hAnsi="Arial"/>
          <w:sz w:val="17"/>
          <w:szCs w:val="17"/>
          <w:color w:val="auto"/>
        </w:rPr>
        <w:t>infection caused by various bacteria and viruses. Because of an increased emphasis on preventative medicine in industrialized countries, vaccines are now well recognized as an important part of public health management strategies. According to Frost &amp; Sullivan, a market research organization, from 2002 to 2005, annual worldwide vaccine sales increased from $6.7 billion to $9.9 billion, a compound annual growth rate of approximately 14%. Frost &amp; Sullivan estimates that the worldwide sales of vaccines will grow at a compound annual rate of approximately 10.5% from 2005 through 2012.</w:t>
      </w:r>
    </w:p>
    <w:p>
      <w:pPr>
        <w:spacing w:after="0" w:line="80" w:lineRule="exact"/>
        <w:rPr>
          <w:sz w:val="20"/>
          <w:szCs w:val="20"/>
          <w:color w:val="auto"/>
        </w:rPr>
      </w:pPr>
    </w:p>
    <w:p>
      <w:pPr>
        <w:ind w:left="8"/>
        <w:spacing w:after="0" w:line="261" w:lineRule="auto"/>
        <w:rPr>
          <w:sz w:val="20"/>
          <w:szCs w:val="20"/>
          <w:color w:val="auto"/>
        </w:rPr>
      </w:pPr>
      <w:r>
        <w:rPr>
          <w:rFonts w:ascii="Arial" w:cs="Arial" w:eastAsia="Arial" w:hAnsi="Arial"/>
          <w:sz w:val="17"/>
          <w:szCs w:val="17"/>
          <w:i w:val="1"/>
          <w:iCs w:val="1"/>
          <w:color w:val="auto"/>
        </w:rPr>
        <w:t xml:space="preserve">Commercial product development. </w:t>
      </w:r>
      <w:r>
        <w:rPr>
          <w:rFonts w:ascii="Arial" w:cs="Arial" w:eastAsia="Arial" w:hAnsi="Arial"/>
          <w:sz w:val="17"/>
          <w:szCs w:val="17"/>
          <w:color w:val="auto"/>
        </w:rPr>
        <w:t>Our commercial product portfolio includes two product candidates in Phase II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one vaccine candidate in Phase I clinical development and two vaccine candidates in preclinical development. Our commercial product candidates in clinical development are:</w:t>
      </w:r>
    </w:p>
    <w:p>
      <w:pPr>
        <w:spacing w:after="0" w:line="69" w:lineRule="exact"/>
        <w:rPr>
          <w:sz w:val="20"/>
          <w:szCs w:val="20"/>
          <w:color w:val="auto"/>
        </w:rPr>
      </w:pPr>
    </w:p>
    <w:p>
      <w:pPr>
        <w:ind w:left="208" w:right="100" w:hanging="208"/>
        <w:spacing w:after="0" w:line="261"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Typhoid vaccine </w:t>
      </w:r>
      <w:r>
        <w:rPr>
          <w:rFonts w:ascii="Arial" w:cs="Arial" w:eastAsia="Arial" w:hAnsi="Arial"/>
          <w:sz w:val="17"/>
          <w:szCs w:val="17"/>
          <w:color w:val="auto"/>
        </w:rPr>
        <w:t>— a single dose, drinkable vaccine, for which we have completed a Phase I clinical program, including trials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States, the United Kingdom and Vietnam, and expect to initiate a Phase II clinical trial in Vietnam in the fourth quarter of 2006;</w:t>
      </w:r>
    </w:p>
    <w:p>
      <w:pPr>
        <w:spacing w:after="0" w:line="56" w:lineRule="exact"/>
        <w:rPr>
          <w:rFonts w:ascii="Arial" w:cs="Arial" w:eastAsia="Arial" w:hAnsi="Arial"/>
          <w:sz w:val="17"/>
          <w:szCs w:val="17"/>
          <w:color w:val="auto"/>
        </w:rPr>
      </w:pPr>
    </w:p>
    <w:p>
      <w:pPr>
        <w:jc w:val="both"/>
        <w:ind w:left="208" w:right="140" w:hanging="208"/>
        <w:spacing w:after="0" w:line="261"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 a multiple dose, drinkable vaccine for treatment of chronic carriers of hepatitis B infection,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we have completed a Phase I clinical trial in the United Kingdom and expect to initiate a Phase II clinical trial in the United Kingdom in the fourth quarter of 2006; and</w:t>
      </w:r>
    </w:p>
    <w:p>
      <w:pPr>
        <w:spacing w:after="0" w:line="56" w:lineRule="exact"/>
        <w:rPr>
          <w:rFonts w:ascii="Arial" w:cs="Arial" w:eastAsia="Arial" w:hAnsi="Arial"/>
          <w:sz w:val="17"/>
          <w:szCs w:val="17"/>
          <w:color w:val="auto"/>
        </w:rPr>
      </w:pPr>
    </w:p>
    <w:p>
      <w:pPr>
        <w:ind w:left="208" w:right="400" w:hanging="208"/>
        <w:spacing w:after="0" w:line="281" w:lineRule="auto"/>
        <w:tabs>
          <w:tab w:leader="none" w:pos="20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 a multiple dose, injectable vaccine for administration to women of childbearing age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of the fetus and newborn babies, for which we have completed a Phase I clinical trial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12"/>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8"/>
          </w:cols>
          <w:pgMar w:left="1152" w:top="1147" w:right="839" w:bottom="1440" w:gutter="0" w:footer="0" w:header="0"/>
        </w:sectPr>
      </w:pPr>
    </w:p>
    <w:bookmarkStart w:id="6" w:name="page7"/>
    <w:bookmarkEnd w:id="6"/>
    <w:p>
      <w:pPr>
        <w:ind w:left="8"/>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Our commercial product candidates in preclinical development are a chlamydia vaccine and a meningitis B vaccine.</w:t>
      </w:r>
    </w:p>
    <w:p>
      <w:pPr>
        <w:spacing w:after="0" w:line="119" w:lineRule="exact"/>
        <w:rPr>
          <w:sz w:val="20"/>
          <w:szCs w:val="20"/>
          <w:color w:val="auto"/>
        </w:rPr>
      </w:pPr>
    </w:p>
    <w:p>
      <w:pPr>
        <w:ind w:left="8" w:right="20"/>
        <w:spacing w:after="0" w:line="245" w:lineRule="auto"/>
        <w:rPr>
          <w:sz w:val="20"/>
          <w:szCs w:val="20"/>
          <w:color w:val="auto"/>
        </w:rPr>
      </w:pPr>
      <w:r>
        <w:rPr>
          <w:rFonts w:ascii="Arial" w:cs="Arial" w:eastAsia="Arial" w:hAnsi="Arial"/>
          <w:sz w:val="17"/>
          <w:szCs w:val="17"/>
          <w:color w:val="auto"/>
        </w:rPr>
        <w:t>The Wellcome Trust provided funding for our Phase I clinical trial of our typhoid vaccine candidate in Vietnam and has agreed to provide funding for our Phase II clinical trial of this vaccine candidate in Vietnam. In May 2006, we entered into a license and co-development agreement with Sanofi Pasteur, the vaccines business of Sanofi-Aventis, under which we granted Sanofi Pasteur an exclusive, worldwide license under our proprietary technology to develop and commercialize a meningitis B vaccine candidate.</w:t>
      </w:r>
    </w:p>
    <w:p>
      <w:pPr>
        <w:spacing w:after="0" w:line="284" w:lineRule="exact"/>
        <w:rPr>
          <w:sz w:val="20"/>
          <w:szCs w:val="20"/>
          <w:color w:val="auto"/>
        </w:rPr>
      </w:pPr>
    </w:p>
    <w:p>
      <w:pPr>
        <w:jc w:val="both"/>
        <w:ind w:left="8" w:right="200"/>
        <w:spacing w:after="0" w:line="281" w:lineRule="auto"/>
        <w:rPr>
          <w:sz w:val="20"/>
          <w:szCs w:val="20"/>
          <w:color w:val="auto"/>
        </w:rPr>
      </w:pPr>
      <w:r>
        <w:rPr>
          <w:rFonts w:ascii="Arial" w:cs="Arial" w:eastAsia="Arial" w:hAnsi="Arial"/>
          <w:sz w:val="17"/>
          <w:szCs w:val="17"/>
          <w:i w:val="1"/>
          <w:iCs w:val="1"/>
          <w:color w:val="auto"/>
        </w:rPr>
        <w:t xml:space="preserve">Our strategy. </w:t>
      </w:r>
      <w:r>
        <w:rPr>
          <w:rFonts w:ascii="Arial" w:cs="Arial" w:eastAsia="Arial" w:hAnsi="Arial"/>
          <w:sz w:val="17"/>
          <w:szCs w:val="17"/>
          <w:color w:val="auto"/>
        </w:rPr>
        <w:t>Our goal is to become a worldwide leader in developing, manufacturing and commercializing immunobiotics that</w:t>
      </w:r>
      <w:r>
        <w:rPr>
          <w:rFonts w:ascii="Arial" w:cs="Arial" w:eastAsia="Arial" w:hAnsi="Arial"/>
          <w:sz w:val="17"/>
          <w:szCs w:val="17"/>
          <w:i w:val="1"/>
          <w:iCs w:val="1"/>
          <w:color w:val="auto"/>
        </w:rPr>
        <w:t xml:space="preserve"> </w:t>
      </w:r>
      <w:r>
        <w:rPr>
          <w:rFonts w:ascii="Arial" w:cs="Arial" w:eastAsia="Arial" w:hAnsi="Arial"/>
          <w:sz w:val="17"/>
          <w:szCs w:val="17"/>
          <w:color w:val="auto"/>
        </w:rPr>
        <w:t>target diseases with significant unmet or underserved medical needs. Key elements of our strategy to achieve this goal are to:</w:t>
      </w:r>
    </w:p>
    <w:p>
      <w:pPr>
        <w:spacing w:after="0" w:line="71"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maximize the commercial potential of BioThrax;</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 to develop a balanced portfolio of immunobiotic products;</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focus on core capabilities in product development and manufacturing;</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build a large scale manufacturing infrastructure;</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selectively establish collaborations; and</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4"/>
        </w:numPr>
        <w:rPr>
          <w:rFonts w:ascii="Arial" w:cs="Arial" w:eastAsia="Arial" w:hAnsi="Arial"/>
          <w:sz w:val="17"/>
          <w:szCs w:val="17"/>
          <w:color w:val="auto"/>
        </w:rPr>
      </w:pPr>
      <w:r>
        <w:rPr>
          <w:rFonts w:ascii="Arial" w:cs="Arial" w:eastAsia="Arial" w:hAnsi="Arial"/>
          <w:sz w:val="17"/>
          <w:szCs w:val="17"/>
          <w:color w:val="auto"/>
        </w:rPr>
        <w:t>seek governmental and other third party grants and support.</w:t>
      </w:r>
    </w:p>
    <w:p>
      <w:pPr>
        <w:spacing w:after="0" w:line="101" w:lineRule="exact"/>
        <w:rPr>
          <w:sz w:val="20"/>
          <w:szCs w:val="20"/>
          <w:color w:val="auto"/>
        </w:rPr>
      </w:pPr>
    </w:p>
    <w:p>
      <w:pPr>
        <w:ind w:left="8" w:right="80"/>
        <w:spacing w:after="0" w:line="251" w:lineRule="auto"/>
        <w:rPr>
          <w:sz w:val="20"/>
          <w:szCs w:val="20"/>
          <w:color w:val="auto"/>
        </w:rPr>
      </w:pPr>
      <w:r>
        <w:rPr>
          <w:rFonts w:ascii="Arial" w:cs="Arial" w:eastAsia="Arial" w:hAnsi="Arial"/>
          <w:sz w:val="17"/>
          <w:szCs w:val="17"/>
          <w:i w:val="1"/>
          <w:iCs w:val="1"/>
          <w:color w:val="auto"/>
        </w:rPr>
        <w:t xml:space="preserve">Our history. </w:t>
      </w:r>
      <w:r>
        <w:rPr>
          <w:rFonts w:ascii="Arial" w:cs="Arial" w:eastAsia="Arial" w:hAnsi="Arial"/>
          <w:sz w:val="17"/>
          <w:szCs w:val="17"/>
          <w:color w:val="auto"/>
        </w:rPr>
        <w:t>We commenced operations in September 1998 through an acquisition from the Michigan Biologic Products Institute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of rights to BioThrax, vaccine manufacturing facilities at a multi-building campus on approximately 12.5 acres in Lansing, Michigan and vaccine development and production know-how. We acquired our pipeline of commercial vaccine candidates through our acquisition of Microscience Limited in 2005 and our acquisition of substantially all of the assets of Antex Biologics, Inc. in 2003.</w:t>
      </w:r>
    </w:p>
    <w:p>
      <w:pPr>
        <w:spacing w:after="0" w:line="374"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Risks associated with our business</w:t>
      </w:r>
    </w:p>
    <w:p>
      <w:pPr>
        <w:spacing w:after="0" w:line="144" w:lineRule="exact"/>
        <w:rPr>
          <w:sz w:val="20"/>
          <w:szCs w:val="20"/>
          <w:color w:val="auto"/>
        </w:rPr>
      </w:pPr>
    </w:p>
    <w:p>
      <w:pPr>
        <w:ind w:left="8"/>
        <w:spacing w:after="0" w:line="258" w:lineRule="auto"/>
        <w:rPr>
          <w:sz w:val="20"/>
          <w:szCs w:val="20"/>
          <w:color w:val="auto"/>
        </w:rPr>
      </w:pPr>
      <w:r>
        <w:rPr>
          <w:rFonts w:ascii="Arial" w:cs="Arial" w:eastAsia="Arial" w:hAnsi="Arial"/>
          <w:sz w:val="17"/>
          <w:szCs w:val="17"/>
          <w:color w:val="auto"/>
        </w:rPr>
        <w:t>Our business is subject to numerous risks, as more fully described in the section entitled “Risk factors” immediately following this prospectus summary, including the following:</w:t>
      </w:r>
    </w:p>
    <w:p>
      <w:pPr>
        <w:spacing w:after="0" w:line="90"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derived substantially all of our revenue from sales of BioThrax under contracts with the DoD and HHS.</w:t>
      </w:r>
    </w:p>
    <w:p>
      <w:pPr>
        <w:spacing w:after="0" w:line="105" w:lineRule="exact"/>
        <w:rPr>
          <w:rFonts w:ascii="Arial" w:cs="Arial" w:eastAsia="Arial" w:hAnsi="Arial"/>
          <w:sz w:val="17"/>
          <w:szCs w:val="17"/>
          <w:color w:val="auto"/>
        </w:rPr>
      </w:pPr>
    </w:p>
    <w:p>
      <w:pPr>
        <w:ind w:left="208" w:right="460" w:hanging="208"/>
        <w:spacing w:after="0" w:line="258"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U.S. government contracts do not necessarily increase the likelihood that we will secure future comparable contracts with the U.S. government.</w:t>
      </w:r>
    </w:p>
    <w:p>
      <w:pPr>
        <w:spacing w:after="0" w:line="77" w:lineRule="exact"/>
        <w:rPr>
          <w:rFonts w:ascii="Arial" w:cs="Arial" w:eastAsia="Arial" w:hAnsi="Arial"/>
          <w:sz w:val="17"/>
          <w:szCs w:val="17"/>
          <w:color w:val="auto"/>
        </w:rPr>
      </w:pPr>
    </w:p>
    <w:p>
      <w:pPr>
        <w:ind w:left="208" w:hanging="208"/>
        <w:spacing w:after="0" w:line="258"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expect that a significant portion of the business that we will seek in the near future, in particular for BioThrax, will be under government contracts that present a number of risks that are not typically present in the commercial contracting process.</w:t>
      </w:r>
    </w:p>
    <w:p>
      <w:pPr>
        <w:spacing w:after="0" w:line="77" w:lineRule="exact"/>
        <w:rPr>
          <w:rFonts w:ascii="Arial" w:cs="Arial" w:eastAsia="Arial" w:hAnsi="Arial"/>
          <w:sz w:val="17"/>
          <w:szCs w:val="17"/>
          <w:color w:val="auto"/>
        </w:rPr>
      </w:pPr>
    </w:p>
    <w:p>
      <w:pPr>
        <w:ind w:left="208" w:right="40" w:hanging="208"/>
        <w:spacing w:after="0" w:line="258"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U.S. government contracts for BioThrax require annual funding decisions by the government and are subject to unilateral termination and modification by the government.</w:t>
      </w:r>
    </w:p>
    <w:p>
      <w:pPr>
        <w:spacing w:after="0" w:line="77" w:lineRule="exact"/>
        <w:rPr>
          <w:rFonts w:ascii="Arial" w:cs="Arial" w:eastAsia="Arial" w:hAnsi="Arial"/>
          <w:sz w:val="17"/>
          <w:szCs w:val="17"/>
          <w:color w:val="auto"/>
        </w:rPr>
      </w:pPr>
    </w:p>
    <w:p>
      <w:pPr>
        <w:ind w:left="208" w:right="200" w:hanging="208"/>
        <w:spacing w:after="0" w:line="258"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fail to achieve significant sales of BioThrax to customers in addition to the U.S. government, which would harm our growth opportunities.</w:t>
      </w:r>
    </w:p>
    <w:p>
      <w:pPr>
        <w:spacing w:after="0" w:line="77" w:lineRule="exact"/>
        <w:rPr>
          <w:rFonts w:ascii="Arial" w:cs="Arial" w:eastAsia="Arial" w:hAnsi="Arial"/>
          <w:sz w:val="17"/>
          <w:szCs w:val="17"/>
          <w:color w:val="auto"/>
        </w:rPr>
      </w:pPr>
    </w:p>
    <w:p>
      <w:pPr>
        <w:ind w:left="208" w:hanging="208"/>
        <w:spacing w:after="0"/>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sustain or increase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12"/>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8"/>
          </w:cols>
          <w:pgMar w:left="1152" w:top="1265" w:right="839" w:bottom="1440" w:gutter="0" w:footer="0" w:header="0"/>
        </w:sectPr>
      </w:pPr>
    </w:p>
    <w:bookmarkStart w:id="7" w:name="page8"/>
    <w:bookmarkEnd w:id="7"/>
    <w:p>
      <w:pPr>
        <w:ind w:left="208" w:hanging="208"/>
        <w:spacing w:after="0"/>
        <w:tabs>
          <w:tab w:leader="none" w:pos="208"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We are spending significant amounts for the expansion of our manufacturing facilities.</w:t>
      </w:r>
    </w:p>
    <w:p>
      <w:pPr>
        <w:spacing w:after="0" w:line="105" w:lineRule="exact"/>
        <w:rPr>
          <w:rFonts w:ascii="Arial" w:cs="Arial" w:eastAsia="Arial" w:hAnsi="Arial"/>
          <w:sz w:val="17"/>
          <w:szCs w:val="17"/>
          <w:color w:val="auto"/>
        </w:rPr>
      </w:pPr>
    </w:p>
    <w:p>
      <w:pPr>
        <w:ind w:left="208" w:hanging="208"/>
        <w:spacing w:after="0"/>
        <w:tabs>
          <w:tab w:leader="none" w:pos="208"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not be able to manufacture BioThrax consistently in accordance with FDA specifications.</w:t>
      </w:r>
    </w:p>
    <w:p>
      <w:pPr>
        <w:spacing w:after="0" w:line="105" w:lineRule="exact"/>
        <w:rPr>
          <w:rFonts w:ascii="Arial" w:cs="Arial" w:eastAsia="Arial" w:hAnsi="Arial"/>
          <w:sz w:val="17"/>
          <w:szCs w:val="17"/>
          <w:color w:val="auto"/>
        </w:rPr>
      </w:pPr>
    </w:p>
    <w:p>
      <w:pPr>
        <w:ind w:left="208" w:right="340" w:hanging="208"/>
        <w:spacing w:after="0" w:line="258" w:lineRule="auto"/>
        <w:tabs>
          <w:tab w:leader="none" w:pos="208"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than BioThrax, all of our product candidates are undergoing clinical trials or are in early stages of development, and failure is common and can occur at any stage of development.</w:t>
      </w:r>
    </w:p>
    <w:p>
      <w:pPr>
        <w:spacing w:after="0" w:line="77" w:lineRule="exact"/>
        <w:rPr>
          <w:rFonts w:ascii="Arial" w:cs="Arial" w:eastAsia="Arial" w:hAnsi="Arial"/>
          <w:sz w:val="17"/>
          <w:szCs w:val="17"/>
          <w:color w:val="auto"/>
        </w:rPr>
      </w:pPr>
    </w:p>
    <w:p>
      <w:pPr>
        <w:ind w:left="208" w:hanging="208"/>
        <w:spacing w:after="0"/>
        <w:tabs>
          <w:tab w:leader="none" w:pos="208"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None of our product candidates other than BioThrax has received regulatory approval.</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21"/>
          <w:szCs w:val="21"/>
          <w:b w:val="1"/>
          <w:bCs w:val="1"/>
          <w:color w:val="auto"/>
        </w:rPr>
        <w:t>Our corporate information</w:t>
      </w:r>
    </w:p>
    <w:p>
      <w:pPr>
        <w:spacing w:after="0" w:line="144" w:lineRule="exact"/>
        <w:rPr>
          <w:sz w:val="20"/>
          <w:szCs w:val="20"/>
          <w:color w:val="auto"/>
        </w:rPr>
      </w:pPr>
    </w:p>
    <w:p>
      <w:pPr>
        <w:jc w:val="both"/>
        <w:ind w:left="8" w:right="60"/>
        <w:spacing w:after="0" w:line="241" w:lineRule="auto"/>
        <w:rPr>
          <w:sz w:val="20"/>
          <w:szCs w:val="20"/>
          <w:color w:val="auto"/>
        </w:rPr>
      </w:pPr>
      <w:r>
        <w:rPr>
          <w:rFonts w:ascii="Arial" w:cs="Arial" w:eastAsia="Arial" w:hAnsi="Arial"/>
          <w:sz w:val="17"/>
          <w:szCs w:val="17"/>
          <w:color w:val="auto"/>
        </w:rPr>
        <w:t>We were incorporated as BioPort Corporation under the laws of Michigan in May 1998. In June 2004, we completed a corporate reorganization in which Emergent BioSolutions Inc., a Delaware corporation formed in December 2003, issued shares of class A common stock to stockholders of BioPort in exchange for an equal number of outstanding shares of common stock of BioPort.</w:t>
      </w:r>
    </w:p>
    <w:p>
      <w:pPr>
        <w:ind w:left="8"/>
        <w:spacing w:after="0" w:line="258" w:lineRule="auto"/>
        <w:rPr>
          <w:sz w:val="20"/>
          <w:szCs w:val="20"/>
          <w:color w:val="auto"/>
        </w:rPr>
      </w:pPr>
      <w:r>
        <w:rPr>
          <w:rFonts w:ascii="Arial" w:cs="Arial" w:eastAsia="Arial" w:hAnsi="Arial"/>
          <w:sz w:val="17"/>
          <w:szCs w:val="17"/>
          <w:color w:val="auto"/>
        </w:rPr>
        <w:t>As a result of this reorganization, BioPort became a wholly owned subsidiary of Emergent. We subsequently renamed BioPort as Emergent BioDefense Operations Lansing Inc.</w:t>
      </w:r>
    </w:p>
    <w:p>
      <w:pPr>
        <w:spacing w:after="0" w:line="90" w:lineRule="exact"/>
        <w:rPr>
          <w:sz w:val="20"/>
          <w:szCs w:val="20"/>
          <w:color w:val="auto"/>
        </w:rPr>
      </w:pPr>
    </w:p>
    <w:p>
      <w:pPr>
        <w:ind w:left="8" w:right="80"/>
        <w:spacing w:after="0" w:line="247" w:lineRule="auto"/>
        <w:rPr>
          <w:sz w:val="20"/>
          <w:szCs w:val="20"/>
          <w:color w:val="auto"/>
        </w:rPr>
      </w:pPr>
      <w:r>
        <w:rPr>
          <w:rFonts w:ascii="Arial" w:cs="Arial" w:eastAsia="Arial" w:hAnsi="Arial"/>
          <w:sz w:val="17"/>
          <w:szCs w:val="17"/>
          <w:color w:val="auto"/>
        </w:rPr>
        <w:t>Our principal executive offices are located at 300 Professional Drive, Suite 250, Gaithersburg, Maryland 20879, and our telephone number is (301) 944-0290. Our website address is www.emergentbiosolutions.com. We have included our website address as an inactive textual reference only. The information contained on, or that can be accessed through, our website is not a part of this prospectus.</w:t>
      </w:r>
    </w:p>
    <w:p>
      <w:pPr>
        <w:spacing w:after="0" w:line="99" w:lineRule="exact"/>
        <w:rPr>
          <w:sz w:val="20"/>
          <w:szCs w:val="20"/>
          <w:color w:val="auto"/>
        </w:rPr>
      </w:pPr>
    </w:p>
    <w:p>
      <w:pPr>
        <w:ind w:left="8" w:right="20"/>
        <w:spacing w:after="0" w:line="250" w:lineRule="auto"/>
        <w:rPr>
          <w:sz w:val="20"/>
          <w:szCs w:val="20"/>
          <w:color w:val="auto"/>
        </w:rPr>
      </w:pPr>
      <w:r>
        <w:rPr>
          <w:rFonts w:ascii="Arial" w:cs="Arial" w:eastAsia="Arial" w:hAnsi="Arial"/>
          <w:sz w:val="17"/>
          <w:szCs w:val="17"/>
          <w:color w:val="auto"/>
        </w:rPr>
        <w:t>In this prospectus, unless otherwise stated or the context otherwise requires, references to “Emergent,” “we,” “us,” “our” and similar references refer to Emergent BioSolutions Inc. BioThrax</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spi</w:t>
      </w:r>
      <w:r>
        <w:rPr>
          <w:rFonts w:ascii="Arial" w:cs="Arial" w:eastAsia="Arial" w:hAnsi="Arial"/>
          <w:sz w:val="17"/>
          <w:szCs w:val="17"/>
          <w:color w:val="auto"/>
        </w:rPr>
        <w:t>-Vec</w:t>
      </w:r>
      <w:r>
        <w:rPr>
          <w:rFonts w:ascii="Arial" w:cs="Arial" w:eastAsia="Arial" w:hAnsi="Arial"/>
          <w:sz w:val="14"/>
          <w:szCs w:val="14"/>
          <w:color w:val="auto"/>
        </w:rPr>
        <w:t>®</w:t>
      </w:r>
      <w:r>
        <w:rPr>
          <w:rFonts w:ascii="Arial" w:cs="Arial" w:eastAsia="Arial" w:hAnsi="Arial"/>
          <w:sz w:val="17"/>
          <w:szCs w:val="17"/>
          <w:color w:val="auto"/>
        </w:rPr>
        <w:t xml:space="preserve"> are our registered trademarks. Other trademarks, trade names or service marks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32"/>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8"/>
          </w:cols>
          <w:pgMar w:left="1152" w:top="1265" w:right="819" w:bottom="1440" w:gutter="0" w:footer="0" w:header="0"/>
        </w:sectPr>
      </w:pPr>
    </w:p>
    <w:bookmarkStart w:id="8" w:name="page9"/>
    <w:bookmarkEnd w:id="8"/>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r>
    </w:p>
    <w:p>
      <w:pPr>
        <w:jc w:val="center"/>
        <w:ind w:right="-87"/>
        <w:spacing w:after="0"/>
        <w:rPr>
          <w:sz w:val="20"/>
          <w:szCs w:val="20"/>
          <w:color w:val="auto"/>
        </w:rPr>
      </w:pPr>
      <w:r>
        <w:rPr>
          <w:rFonts w:ascii="Arial" w:cs="Arial" w:eastAsia="Arial" w:hAnsi="Arial"/>
          <w:sz w:val="27"/>
          <w:szCs w:val="27"/>
          <w:b w:val="1"/>
          <w:bCs w:val="1"/>
          <w:color w:val="auto"/>
        </w:rPr>
        <w:t>The offering</w:t>
      </w:r>
    </w:p>
    <w:p>
      <w:pPr>
        <w:sectPr>
          <w:pgSz w:w="11900" w:h="16838" w:orient="portrait"/>
          <w:cols w:equalWidth="0" w:num="1">
            <w:col w:w="9848"/>
          </w:cols>
          <w:pgMar w:left="1152" w:top="1440"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8"/>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expect to use the net proceeds from this offering to fund development of our biodefense and commercial product candidates, a portion of the construction, validation and qualification costs for our new manufacturing facility in Lansing, Michigan and initial engineering design and utility build out of our manufacturing facilities in Frederick, Maryland and the balance for general corporate purposes. See “Use of proceeds.”</w:t>
      </w:r>
    </w:p>
    <w:p>
      <w:pPr>
        <w:spacing w:after="0" w:line="200" w:lineRule="exact"/>
        <w:rPr>
          <w:sz w:val="20"/>
          <w:szCs w:val="20"/>
          <w:color w:val="auto"/>
        </w:rPr>
      </w:pPr>
    </w:p>
    <w:p>
      <w:pPr>
        <w:sectPr>
          <w:pgSz w:w="11900" w:h="16838" w:orient="portrait"/>
          <w:cols w:equalWidth="0" w:num="2">
            <w:col w:w="2968" w:space="720"/>
            <w:col w:w="6160"/>
          </w:cols>
          <w:pgMar w:left="1152" w:top="1440" w:right="899" w:bottom="1440" w:gutter="0" w:footer="0" w:header="0"/>
          <w:type w:val="continuous"/>
        </w:sectPr>
      </w:pPr>
    </w:p>
    <w:p>
      <w:pPr>
        <w:spacing w:after="0" w:line="9" w:lineRule="exact"/>
        <w:rPr>
          <w:sz w:val="20"/>
          <w:szCs w:val="20"/>
          <w:color w:val="auto"/>
        </w:rPr>
      </w:pPr>
    </w:p>
    <w:p>
      <w:pPr>
        <w:jc w:val="both"/>
        <w:ind w:left="3688" w:right="200"/>
        <w:spacing w:after="0" w:line="250" w:lineRule="auto"/>
        <w:rPr>
          <w:sz w:val="20"/>
          <w:szCs w:val="20"/>
          <w:color w:val="auto"/>
        </w:rPr>
      </w:pPr>
      <w:r>
        <w:rPr>
          <w:rFonts w:ascii="Arial" w:cs="Arial" w:eastAsia="Arial" w:hAnsi="Arial"/>
          <w:sz w:val="17"/>
          <w:szCs w:val="17"/>
          <w:color w:val="auto"/>
        </w:rPr>
        <w:t>We will not receive any proceeds from the sale of shares of common stock by the selling stockholders as a result of the exercise by the underwriters of their over-allotment option.</w:t>
      </w:r>
    </w:p>
    <w:p>
      <w:pPr>
        <w:sectPr>
          <w:pgSz w:w="11900" w:h="16838" w:orient="portrait"/>
          <w:cols w:equalWidth="0" w:num="1">
            <w:col w:w="9848"/>
          </w:cols>
          <w:pgMar w:left="1152" w:top="1440" w:right="899" w:bottom="1440" w:gutter="0" w:footer="0" w:header="0"/>
          <w:type w:val="continuous"/>
        </w:sectPr>
      </w:pPr>
    </w:p>
    <w:p>
      <w:pPr>
        <w:spacing w:after="0" w:line="188" w:lineRule="exact"/>
        <w:rPr>
          <w:sz w:val="20"/>
          <w:szCs w:val="20"/>
          <w:color w:val="auto"/>
        </w:rPr>
      </w:pPr>
    </w:p>
    <w:p>
      <w:pPr>
        <w:ind w:left="8"/>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See “Risk factors” and other information in this prospectus for a discussion of factors you should carefully consider before deciding to invest in shares of our common stock.</w:t>
      </w:r>
    </w:p>
    <w:p>
      <w:pPr>
        <w:spacing w:after="0" w:line="200" w:lineRule="exact"/>
        <w:rPr>
          <w:sz w:val="20"/>
          <w:szCs w:val="20"/>
          <w:color w:val="auto"/>
        </w:rPr>
      </w:pPr>
    </w:p>
    <w:p>
      <w:pPr>
        <w:sectPr>
          <w:pgSz w:w="11900" w:h="16838" w:orient="portrait"/>
          <w:cols w:equalWidth="0" w:num="2">
            <w:col w:w="2968" w:space="720"/>
            <w:col w:w="6160"/>
          </w:cols>
          <w:pgMar w:left="1152" w:top="1440" w:right="899"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Arial" w:cs="Arial" w:eastAsia="Arial" w:hAnsi="Arial"/>
          <w:sz w:val="17"/>
          <w:szCs w:val="17"/>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EBS</w:t>
      </w:r>
    </w:p>
    <w:p>
      <w:pPr>
        <w:spacing w:after="0" w:line="211" w:lineRule="exact"/>
        <w:rPr>
          <w:sz w:val="20"/>
          <w:szCs w:val="20"/>
          <w:color w:val="auto"/>
        </w:rPr>
      </w:pPr>
    </w:p>
    <w:p>
      <w:pPr>
        <w:sectPr>
          <w:pgSz w:w="11900" w:h="16838" w:orient="portrait"/>
          <w:cols w:equalWidth="0" w:num="2">
            <w:col w:w="2968" w:space="720"/>
            <w:col w:w="6160"/>
          </w:cols>
          <w:pgMar w:left="1152" w:top="1440" w:right="899" w:bottom="1440" w:gutter="0" w:footer="0" w:header="0"/>
          <w:type w:val="continuous"/>
        </w:sectPr>
      </w:pPr>
    </w:p>
    <w:p>
      <w:pPr>
        <w:spacing w:after="0" w:line="24" w:lineRule="exact"/>
        <w:rPr>
          <w:sz w:val="20"/>
          <w:szCs w:val="20"/>
          <w:color w:val="auto"/>
        </w:rPr>
      </w:pPr>
    </w:p>
    <w:p>
      <w:pPr>
        <w:ind w:left="8" w:right="320"/>
        <w:spacing w:after="0" w:line="258" w:lineRule="auto"/>
        <w:rPr>
          <w:sz w:val="20"/>
          <w:szCs w:val="20"/>
          <w:color w:val="auto"/>
        </w:rPr>
      </w:pPr>
      <w:r>
        <w:rPr>
          <w:rFonts w:ascii="Arial" w:cs="Arial" w:eastAsia="Arial" w:hAnsi="Arial"/>
          <w:sz w:val="17"/>
          <w:szCs w:val="17"/>
          <w:color w:val="auto"/>
        </w:rPr>
        <w:t>The number of shares of our common stock to be outstanding immediately after this offering is based on 22,420,404 shares outstanding as of October 20, 2006, and excludes:</w:t>
      </w:r>
    </w:p>
    <w:p>
      <w:pPr>
        <w:spacing w:after="0" w:line="195" w:lineRule="exact"/>
        <w:rPr>
          <w:sz w:val="20"/>
          <w:szCs w:val="20"/>
          <w:color w:val="auto"/>
        </w:rPr>
      </w:pPr>
    </w:p>
    <w:p>
      <w:pPr>
        <w:ind w:left="208" w:right="440" w:hanging="208"/>
        <w:spacing w:after="0" w:line="258" w:lineRule="auto"/>
        <w:tabs>
          <w:tab w:leader="none" w:pos="208" w:val="left"/>
        </w:tabs>
        <w:numPr>
          <w:ilvl w:val="0"/>
          <w:numId w:val="7"/>
        </w:numPr>
        <w:rPr>
          <w:rFonts w:ascii="Arial" w:cs="Arial" w:eastAsia="Arial" w:hAnsi="Arial"/>
          <w:sz w:val="17"/>
          <w:szCs w:val="17"/>
          <w:color w:val="auto"/>
        </w:rPr>
      </w:pPr>
      <w:r>
        <w:rPr>
          <w:rFonts w:ascii="Arial" w:cs="Arial" w:eastAsia="Arial" w:hAnsi="Arial"/>
          <w:sz w:val="17"/>
          <w:szCs w:val="17"/>
          <w:color w:val="auto"/>
        </w:rPr>
        <w:t>3,109,932 shares of common stock issuable upon the exercise of stock options outstanding as of October 20, 2006 at a weighted average exercise price of $2.54 per share;</w:t>
      </w:r>
    </w:p>
    <w:p>
      <w:pPr>
        <w:spacing w:after="0" w:line="182" w:lineRule="exact"/>
        <w:rPr>
          <w:rFonts w:ascii="Arial" w:cs="Arial" w:eastAsia="Arial" w:hAnsi="Arial"/>
          <w:sz w:val="17"/>
          <w:szCs w:val="17"/>
          <w:color w:val="auto"/>
        </w:rPr>
      </w:pPr>
    </w:p>
    <w:p>
      <w:pPr>
        <w:ind w:left="208" w:right="200" w:hanging="208"/>
        <w:spacing w:after="0" w:line="258" w:lineRule="auto"/>
        <w:tabs>
          <w:tab w:leader="none" w:pos="208" w:val="left"/>
        </w:tabs>
        <w:numPr>
          <w:ilvl w:val="0"/>
          <w:numId w:val="7"/>
        </w:numPr>
        <w:rPr>
          <w:rFonts w:ascii="Arial" w:cs="Arial" w:eastAsia="Arial" w:hAnsi="Arial"/>
          <w:sz w:val="17"/>
          <w:szCs w:val="17"/>
          <w:color w:val="auto"/>
        </w:rPr>
      </w:pPr>
      <w:r>
        <w:rPr>
          <w:rFonts w:ascii="Arial" w:cs="Arial" w:eastAsia="Arial" w:hAnsi="Arial"/>
          <w:sz w:val="17"/>
          <w:szCs w:val="17"/>
          <w:color w:val="auto"/>
        </w:rPr>
        <w:t>369,319 additional shares of common stock reserved for issuance under our employee stock option plan as of October 20, 2006; and</w:t>
      </w:r>
    </w:p>
    <w:p>
      <w:pPr>
        <w:spacing w:after="0" w:line="182" w:lineRule="exact"/>
        <w:rPr>
          <w:rFonts w:ascii="Arial" w:cs="Arial" w:eastAsia="Arial" w:hAnsi="Arial"/>
          <w:sz w:val="17"/>
          <w:szCs w:val="17"/>
          <w:color w:val="auto"/>
        </w:rPr>
      </w:pPr>
    </w:p>
    <w:p>
      <w:pPr>
        <w:ind w:left="208" w:right="880" w:hanging="208"/>
        <w:spacing w:after="0" w:line="258" w:lineRule="auto"/>
        <w:tabs>
          <w:tab w:leader="none" w:pos="208" w:val="left"/>
        </w:tabs>
        <w:numPr>
          <w:ilvl w:val="0"/>
          <w:numId w:val="7"/>
        </w:numPr>
        <w:rPr>
          <w:rFonts w:ascii="Arial" w:cs="Arial" w:eastAsia="Arial" w:hAnsi="Arial"/>
          <w:sz w:val="17"/>
          <w:szCs w:val="17"/>
          <w:color w:val="auto"/>
        </w:rPr>
      </w:pPr>
      <w:r>
        <w:rPr>
          <w:rFonts w:ascii="Arial" w:cs="Arial" w:eastAsia="Arial" w:hAnsi="Arial"/>
          <w:sz w:val="17"/>
          <w:szCs w:val="17"/>
          <w:color w:val="auto"/>
        </w:rPr>
        <w:t>503,500 additional shares of common stock that will be reserved for issuance under our 2006 stock incentive plan immediately prior to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52"/>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48"/>
          </w:cols>
          <w:pgMar w:left="1152" w:top="1440" w:right="899" w:bottom="1440" w:gutter="0" w:footer="0" w:header="0"/>
          <w:type w:val="continuous"/>
        </w:sectPr>
      </w:pPr>
    </w:p>
    <w:bookmarkStart w:id="9" w:name="page10"/>
    <w:bookmarkEnd w:id="9"/>
    <w:p>
      <w:pPr>
        <w:ind w:left="8"/>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Unless otherwise indicated, all information in this prospectus assumes:</w:t>
      </w:r>
    </w:p>
    <w:p>
      <w:pPr>
        <w:spacing w:after="0" w:line="119"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exercise of the outstanding options described above; and</w:t>
      </w:r>
    </w:p>
    <w:p>
      <w:pPr>
        <w:spacing w:after="0" w:line="105" w:lineRule="exact"/>
        <w:rPr>
          <w:rFonts w:ascii="Arial" w:cs="Arial" w:eastAsia="Arial" w:hAnsi="Arial"/>
          <w:sz w:val="17"/>
          <w:szCs w:val="17"/>
          <w:color w:val="auto"/>
        </w:rPr>
      </w:pPr>
    </w:p>
    <w:p>
      <w:pPr>
        <w:ind w:left="208" w:right="120" w:hanging="208"/>
        <w:spacing w:after="0" w:line="258" w:lineRule="auto"/>
        <w:tabs>
          <w:tab w:leader="none" w:pos="208"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750,000 additional shares of common stock to cover over-allotments.</w:t>
      </w:r>
    </w:p>
    <w:p>
      <w:pPr>
        <w:spacing w:after="0" w:line="90" w:lineRule="exact"/>
        <w:rPr>
          <w:sz w:val="20"/>
          <w:szCs w:val="20"/>
          <w:color w:val="auto"/>
        </w:rPr>
      </w:pPr>
    </w:p>
    <w:p>
      <w:pPr>
        <w:ind w:left="8"/>
        <w:spacing w:after="0" w:line="245" w:lineRule="auto"/>
        <w:rPr>
          <w:sz w:val="20"/>
          <w:szCs w:val="20"/>
          <w:color w:val="auto"/>
        </w:rPr>
      </w:pPr>
      <w:r>
        <w:rPr>
          <w:rFonts w:ascii="Arial" w:cs="Arial" w:eastAsia="Arial" w:hAnsi="Arial"/>
          <w:sz w:val="17"/>
          <w:szCs w:val="17"/>
          <w:color w:val="auto"/>
        </w:rPr>
        <w:t>Except in our financial statements included in this prospectus, in the table set forth under “Capitalization,” in “Certain relationships and related party transactions” or where otherwise expressly indicated, all information in this prospectus assumes that, prior to the completion of this offering, our previously existing class A common stock has been reclassified as common stock, all previously outstanding shares of class B common stock have been converted into shares of common stock and each outstanding option to purchase class B common stock has become an option to purchase common stock.</w:t>
      </w:r>
    </w:p>
    <w:p>
      <w:pPr>
        <w:spacing w:after="0" w:line="102" w:lineRule="exact"/>
        <w:rPr>
          <w:sz w:val="20"/>
          <w:szCs w:val="20"/>
          <w:color w:val="auto"/>
        </w:rPr>
      </w:pPr>
    </w:p>
    <w:p>
      <w:pPr>
        <w:ind w:left="8" w:right="480"/>
        <w:spacing w:after="0" w:line="258" w:lineRule="auto"/>
        <w:rPr>
          <w:sz w:val="20"/>
          <w:szCs w:val="20"/>
          <w:color w:val="auto"/>
        </w:rPr>
      </w:pPr>
      <w:r>
        <w:rPr>
          <w:rFonts w:ascii="Arial" w:cs="Arial" w:eastAsia="Arial" w:hAnsi="Arial"/>
          <w:sz w:val="17"/>
          <w:szCs w:val="17"/>
          <w:color w:val="auto"/>
        </w:rPr>
        <w:t>In addition, unless otherwise indicated, all information in this prospectus gives effect to a 2.8771-for-one stock split of our common stock that was effected on October 27,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92"/>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132080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788"/>
          </w:cols>
          <w:pgMar w:left="1152" w:top="1265" w:right="959" w:bottom="1440" w:gutter="0" w:footer="0" w:header="0"/>
        </w:sectPr>
      </w:pPr>
    </w:p>
    <w:bookmarkStart w:id="10" w:name="page11"/>
    <w:bookmarkEnd w:id="1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t>Summary consolidated financial data</w:t>
      </w:r>
    </w:p>
    <w:p>
      <w:pPr>
        <w:spacing w:after="0" w:line="160"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the related notes appearing at the end of this prospectus and the “Management’s discussion and analysis of financial condition and results of operations” section of this prospectus.</w:t>
      </w:r>
    </w:p>
    <w:p>
      <w:pPr>
        <w:spacing w:after="0" w:line="96"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The summary consolidated financial data for the years ended December 31, 2003, 2004 and 2005 have been derived from our historical audited consolidated financial statements. The summary consolidated financial data for the nine-month periods ended September 30, 2005 and 2006 and as of September 30, 2006 have been derived from our unaudited consolidated financial statements. The unaudited summary consolidated financial data include, in the opinion of our management, all adjustments, consisting only of normal recurring adjustments, that are necessary for a fair presentation of our financial position and results of operations for these periods. Our historical results for any prior period are not necessarily indicative of results to be expected in any future period, and our results for any interim period are not necessarily indicative of results for a full fiscal year. The as adjusted consolidated balance sheet data set forth below give effect to the sale by us of 5,000,000 shares of common stock in this offering at an assumed initial public offering price of $15.00 per share, which is the midpoint of the price range set forth on the cover page of this prospectus, after deducting estimated underwriting discounts and commissions and offering expenses payable by us.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7"/>
        </w:trPr>
        <w:tc>
          <w:tcPr>
            <w:tcW w:w="396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2003</w:t>
            </w: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2004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2005</w:t>
            </w:r>
          </w:p>
        </w:tc>
        <w:tc>
          <w:tcPr>
            <w:tcW w:w="4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Statements of operations data:</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60" w:type="dxa"/>
            <w:vAlign w:val="bottom"/>
            <w:gridSpan w:val="2"/>
          </w:tcPr>
          <w:p>
            <w:pPr>
              <w:spacing w:after="0" w:line="157" w:lineRule="exact"/>
              <w:rPr>
                <w:sz w:val="20"/>
                <w:szCs w:val="20"/>
                <w:color w:val="auto"/>
              </w:rPr>
            </w:pPr>
            <w:r>
              <w:rPr>
                <w:rFonts w:ascii="Arial" w:cs="Arial" w:eastAsia="Arial" w:hAnsi="Arial"/>
                <w:sz w:val="14"/>
                <w:szCs w:val="14"/>
                <w:color w:val="auto"/>
              </w:rPr>
              <w:t>Revenues: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Product sales</w:t>
            </w:r>
          </w:p>
        </w:tc>
        <w:tc>
          <w:tcPr>
            <w:tcW w:w="9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55,536</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81,014</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   127,271</w:t>
            </w:r>
          </w:p>
        </w:tc>
        <w:tc>
          <w:tcPr>
            <w:tcW w:w="1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85,807</w:t>
            </w:r>
          </w:p>
        </w:tc>
        <w:tc>
          <w:tcPr>
            <w:tcW w:w="42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61,263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Arial" w:cs="Arial" w:eastAsia="Arial" w:hAnsi="Arial"/>
                <w:sz w:val="14"/>
                <w:szCs w:val="14"/>
                <w:color w:val="auto"/>
              </w:rPr>
              <w:t>Contracts and grants</w:t>
            </w: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233</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2,480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1,093</w:t>
            </w: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4,580</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 revenues</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55,769</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83,494</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130,688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86,900</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65,843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960" w:type="dxa"/>
            <w:vAlign w:val="bottom"/>
            <w:gridSpan w:val="2"/>
          </w:tcPr>
          <w:p>
            <w:pPr>
              <w:spacing w:after="0" w:line="157" w:lineRule="exact"/>
              <w:rPr>
                <w:sz w:val="20"/>
                <w:szCs w:val="20"/>
                <w:color w:val="auto"/>
              </w:rPr>
            </w:pPr>
            <w:r>
              <w:rPr>
                <w:rFonts w:ascii="Arial" w:cs="Arial" w:eastAsia="Arial" w:hAnsi="Arial"/>
                <w:sz w:val="14"/>
                <w:szCs w:val="14"/>
                <w:color w:val="auto"/>
              </w:rPr>
              <w:t>Operating expenses (income):</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Cost of product sales</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22,342</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30,102</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31,603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23,147</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11,645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tcPr>
          <w:p>
            <w:pPr>
              <w:ind w:left="180"/>
              <w:spacing w:after="0" w:line="157" w:lineRule="exact"/>
              <w:rPr>
                <w:sz w:val="20"/>
                <w:szCs w:val="20"/>
                <w:color w:val="auto"/>
              </w:rPr>
            </w:pPr>
            <w:r>
              <w:rPr>
                <w:rFonts w:ascii="Arial" w:cs="Arial" w:eastAsia="Arial" w:hAnsi="Arial"/>
                <w:sz w:val="14"/>
                <w:szCs w:val="14"/>
                <w:color w:val="auto"/>
              </w:rPr>
              <w:t>Research and development</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70"/>
              <w:spacing w:after="0" w:line="157" w:lineRule="exact"/>
              <w:rPr>
                <w:sz w:val="20"/>
                <w:szCs w:val="20"/>
                <w:color w:val="auto"/>
              </w:rPr>
            </w:pPr>
            <w:r>
              <w:rPr>
                <w:rFonts w:ascii="Arial" w:cs="Arial" w:eastAsia="Arial" w:hAnsi="Arial"/>
                <w:sz w:val="14"/>
                <w:szCs w:val="14"/>
                <w:color w:val="auto"/>
              </w:rPr>
              <w:t>6,327</w:t>
            </w:r>
          </w:p>
        </w:tc>
        <w:tc>
          <w:tcPr>
            <w:tcW w:w="280" w:type="dxa"/>
            <w:vAlign w:val="bottom"/>
          </w:tcPr>
          <w:p>
            <w:pPr>
              <w:spacing w:after="0"/>
              <w:rPr>
                <w:sz w:val="13"/>
                <w:szCs w:val="13"/>
                <w:color w:val="auto"/>
              </w:rPr>
            </w:pPr>
          </w:p>
        </w:tc>
        <w:tc>
          <w:tcPr>
            <w:tcW w:w="84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10,117</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18,381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0"/>
              <w:spacing w:after="0" w:line="157" w:lineRule="exact"/>
              <w:rPr>
                <w:sz w:val="20"/>
                <w:szCs w:val="20"/>
                <w:color w:val="auto"/>
              </w:rPr>
            </w:pPr>
            <w:r>
              <w:rPr>
                <w:rFonts w:ascii="Arial" w:cs="Arial" w:eastAsia="Arial" w:hAnsi="Arial"/>
                <w:sz w:val="14"/>
                <w:szCs w:val="14"/>
                <w:color w:val="auto"/>
              </w:rPr>
              <w:t>9,632</w:t>
            </w:r>
          </w:p>
        </w:tc>
        <w:tc>
          <w:tcPr>
            <w:tcW w:w="4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26,640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Selling, general &amp; administrative</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19,547</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30,323</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42,793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28,924</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32,952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tcPr>
          <w:p>
            <w:pPr>
              <w:ind w:left="180"/>
              <w:spacing w:after="0" w:line="157" w:lineRule="exact"/>
              <w:rPr>
                <w:sz w:val="20"/>
                <w:szCs w:val="20"/>
                <w:color w:val="auto"/>
              </w:rPr>
            </w:pPr>
            <w:r>
              <w:rPr>
                <w:rFonts w:ascii="Arial" w:cs="Arial" w:eastAsia="Arial" w:hAnsi="Arial"/>
                <w:sz w:val="14"/>
                <w:szCs w:val="14"/>
                <w:color w:val="auto"/>
              </w:rPr>
              <w:t>Purchased in-process research and development</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70"/>
              <w:spacing w:after="0" w:line="157" w:lineRule="exact"/>
              <w:rPr>
                <w:sz w:val="20"/>
                <w:szCs w:val="20"/>
                <w:color w:val="auto"/>
              </w:rPr>
            </w:pPr>
            <w:r>
              <w:rPr>
                <w:rFonts w:ascii="Arial" w:cs="Arial" w:eastAsia="Arial" w:hAnsi="Arial"/>
                <w:sz w:val="14"/>
                <w:szCs w:val="14"/>
                <w:color w:val="auto"/>
              </w:rPr>
              <w:t>1,824</w:t>
            </w:r>
          </w:p>
        </w:tc>
        <w:tc>
          <w:tcPr>
            <w:tcW w:w="280" w:type="dxa"/>
            <w:vAlign w:val="bottom"/>
          </w:tcPr>
          <w:p>
            <w:pPr>
              <w:spacing w:after="0"/>
              <w:rPr>
                <w:sz w:val="13"/>
                <w:szCs w:val="13"/>
                <w:color w:val="auto"/>
              </w:rPr>
            </w:pPr>
          </w:p>
        </w:tc>
        <w:tc>
          <w:tcPr>
            <w:tcW w:w="84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26,575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0"/>
              <w:spacing w:after="0" w:line="157" w:lineRule="exact"/>
              <w:rPr>
                <w:sz w:val="20"/>
                <w:szCs w:val="20"/>
                <w:color w:val="auto"/>
              </w:rPr>
            </w:pPr>
            <w:r>
              <w:rPr>
                <w:rFonts w:ascii="Arial" w:cs="Arial" w:eastAsia="Arial" w:hAnsi="Arial"/>
                <w:sz w:val="14"/>
                <w:szCs w:val="14"/>
                <w:color w:val="auto"/>
              </w:rPr>
              <w:t>26,575</w:t>
            </w:r>
          </w:p>
        </w:tc>
        <w:tc>
          <w:tcPr>
            <w:tcW w:w="42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477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Settlement of State of Michigan obligation</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(3,819)</w:t>
            </w:r>
          </w:p>
        </w:tc>
        <w:tc>
          <w:tcPr>
            <w:tcW w:w="10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ind w:left="180"/>
              <w:spacing w:after="0"/>
              <w:rPr>
                <w:sz w:val="20"/>
                <w:szCs w:val="20"/>
                <w:color w:val="auto"/>
              </w:rPr>
            </w:pPr>
            <w:r>
              <w:rPr>
                <w:rFonts w:ascii="Arial" w:cs="Arial" w:eastAsia="Arial" w:hAnsi="Arial"/>
                <w:sz w:val="14"/>
                <w:szCs w:val="14"/>
                <w:color w:val="auto"/>
              </w:rPr>
              <w:t>Litigation settlement</w:t>
            </w: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(10,000)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w:t>
            </w: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 operating expenses</w:t>
            </w: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50,040</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66,723</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109,352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78,278</w:t>
            </w: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71,714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6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5,729</w:t>
            </w:r>
          </w:p>
        </w:tc>
        <w:tc>
          <w:tcPr>
            <w:tcW w:w="280" w:type="dxa"/>
            <w:vAlign w:val="bottom"/>
          </w:tcPr>
          <w:p>
            <w:pPr>
              <w:spacing w:after="0"/>
              <w:rPr>
                <w:sz w:val="14"/>
                <w:szCs w:val="14"/>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16,771</w:t>
            </w:r>
          </w:p>
        </w:tc>
        <w:tc>
          <w:tcPr>
            <w:tcW w:w="920" w:type="dxa"/>
            <w:vAlign w:val="bottom"/>
          </w:tcPr>
          <w:p>
            <w:pPr>
              <w:jc w:val="right"/>
              <w:spacing w:after="0"/>
              <w:rPr>
                <w:sz w:val="20"/>
                <w:szCs w:val="20"/>
                <w:color w:val="auto"/>
              </w:rPr>
            </w:pPr>
            <w:r>
              <w:rPr>
                <w:rFonts w:ascii="Arial" w:cs="Arial" w:eastAsia="Arial" w:hAnsi="Arial"/>
                <w:sz w:val="14"/>
                <w:szCs w:val="14"/>
                <w:color w:val="auto"/>
              </w:rPr>
              <w:t>21,336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8,622</w:t>
            </w:r>
          </w:p>
        </w:tc>
        <w:tc>
          <w:tcPr>
            <w:tcW w:w="4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(5,871)</w:t>
            </w:r>
          </w:p>
        </w:tc>
        <w:tc>
          <w:tcPr>
            <w:tcW w:w="0" w:type="dxa"/>
            <w:vAlign w:val="bottom"/>
          </w:tcPr>
          <w:p>
            <w:pPr>
              <w:spacing w:after="0"/>
              <w:rPr>
                <w:sz w:val="1"/>
                <w:szCs w:val="1"/>
                <w:color w:val="auto"/>
              </w:rPr>
            </w:pPr>
          </w:p>
        </w:tc>
      </w:tr>
    </w:tbl>
    <w:p>
      <w:pPr>
        <w:spacing w:after="0" w:line="24" w:lineRule="exact"/>
        <w:rPr>
          <w:sz w:val="20"/>
          <w:szCs w:val="20"/>
          <w:color w:val="auto"/>
        </w:rPr>
      </w:pPr>
    </w:p>
    <w:p>
      <w:pPr>
        <w:sectPr>
          <w:pgSz w:w="11900" w:h="16838" w:orient="portrait"/>
          <w:cols w:equalWidth="0" w:num="1">
            <w:col w:w="9920"/>
          </w:cols>
          <w:pgMar w:left="1160" w:top="1110" w:right="819" w:bottom="1440" w:gutter="0" w:footer="0" w:header="0"/>
        </w:sectPr>
      </w:pPr>
    </w:p>
    <w:p>
      <w:pPr>
        <w:spacing w:after="0"/>
        <w:rPr>
          <w:sz w:val="20"/>
          <w:szCs w:val="20"/>
          <w:color w:val="auto"/>
        </w:rPr>
      </w:pPr>
      <w:r>
        <w:rPr>
          <w:rFonts w:ascii="Arial" w:cs="Arial" w:eastAsia="Arial" w:hAnsi="Arial"/>
          <w:sz w:val="14"/>
          <w:szCs w:val="14"/>
          <w:color w:val="auto"/>
        </w:rPr>
        <w:t>Other income (expense):</w:t>
      </w:r>
    </w:p>
    <w:p>
      <w:pPr>
        <w:ind w:left="200"/>
        <w:spacing w:after="0" w:line="234" w:lineRule="auto"/>
        <w:rPr>
          <w:sz w:val="20"/>
          <w:szCs w:val="20"/>
          <w:color w:val="auto"/>
        </w:rPr>
      </w:pPr>
      <w:r>
        <w:rPr>
          <w:rFonts w:ascii="Arial" w:cs="Arial" w:eastAsia="Arial" w:hAnsi="Arial"/>
          <w:sz w:val="14"/>
          <w:szCs w:val="14"/>
          <w:color w:val="auto"/>
        </w:rPr>
        <w:t>Interest income</w:t>
      </w:r>
    </w:p>
    <w:p>
      <w:pPr>
        <w:ind w:left="200"/>
        <w:spacing w:after="0" w:line="234" w:lineRule="auto"/>
        <w:rPr>
          <w:sz w:val="20"/>
          <w:szCs w:val="20"/>
          <w:color w:val="auto"/>
        </w:rPr>
      </w:pPr>
      <w:r>
        <w:rPr>
          <w:rFonts w:ascii="Arial" w:cs="Arial" w:eastAsia="Arial" w:hAnsi="Arial"/>
          <w:sz w:val="14"/>
          <w:szCs w:val="14"/>
          <w:color w:val="auto"/>
        </w:rPr>
        <w:t>Interest expense</w:t>
      </w:r>
    </w:p>
    <w:p>
      <w:pPr>
        <w:ind w:left="200"/>
        <w:spacing w:after="0"/>
        <w:rPr>
          <w:sz w:val="20"/>
          <w:szCs w:val="20"/>
          <w:color w:val="auto"/>
        </w:rPr>
      </w:pPr>
      <w:r>
        <w:rPr>
          <w:rFonts w:ascii="Arial" w:cs="Arial" w:eastAsia="Arial" w:hAnsi="Arial"/>
          <w:sz w:val="14"/>
          <w:szCs w:val="14"/>
          <w:color w:val="auto"/>
        </w:rPr>
        <w:t>Other income (expense), net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other income (expense)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Income (loss) before provision for (benefit from) income taxes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Provision for (benefit from) income taxes</w:t>
      </w:r>
    </w:p>
    <w:p>
      <w:pPr>
        <w:spacing w:after="0"/>
        <w:rPr>
          <w:sz w:val="20"/>
          <w:szCs w:val="20"/>
          <w:color w:val="auto"/>
        </w:rPr>
      </w:pPr>
      <w:r>
        <w:rPr>
          <w:rFonts w:ascii="Arial" w:cs="Arial" w:eastAsia="Arial" w:hAnsi="Arial"/>
          <w:sz w:val="14"/>
          <w:szCs w:val="14"/>
          <w:color w:val="auto"/>
        </w:rPr>
        <w:t>Net income (loss)</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Earnings (loss) per share — basic</w:t>
      </w:r>
    </w:p>
    <w:p>
      <w:pPr>
        <w:spacing w:after="0" w:line="234" w:lineRule="auto"/>
        <w:rPr>
          <w:sz w:val="20"/>
          <w:szCs w:val="20"/>
          <w:color w:val="auto"/>
        </w:rPr>
      </w:pPr>
      <w:r>
        <w:rPr>
          <w:rFonts w:ascii="Arial" w:cs="Arial" w:eastAsia="Arial" w:hAnsi="Arial"/>
          <w:sz w:val="14"/>
          <w:szCs w:val="14"/>
          <w:color w:val="auto"/>
        </w:rPr>
        <w:t>Earnings (loss) per share — diluted</w:t>
      </w:r>
    </w:p>
    <w:p>
      <w:pPr>
        <w:spacing w:after="0" w:line="234" w:lineRule="auto"/>
        <w:rPr>
          <w:sz w:val="20"/>
          <w:szCs w:val="20"/>
          <w:color w:val="auto"/>
        </w:rPr>
      </w:pPr>
      <w:r>
        <w:rPr>
          <w:rFonts w:ascii="Arial" w:cs="Arial" w:eastAsia="Arial" w:hAnsi="Arial"/>
          <w:sz w:val="14"/>
          <w:szCs w:val="14"/>
          <w:color w:val="auto"/>
        </w:rPr>
        <w:t>Weighted average number of shares — basic</w:t>
      </w:r>
    </w:p>
    <w:p>
      <w:pPr>
        <w:spacing w:after="0"/>
        <w:rPr>
          <w:sz w:val="20"/>
          <w:szCs w:val="20"/>
          <w:color w:val="auto"/>
        </w:rPr>
      </w:pPr>
      <w:r>
        <w:rPr>
          <w:rFonts w:ascii="Arial" w:cs="Arial" w:eastAsia="Arial" w:hAnsi="Arial"/>
          <w:sz w:val="14"/>
          <w:szCs w:val="14"/>
          <w:color w:val="auto"/>
        </w:rPr>
        <w:t>Weighted average number of shares — diluted</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100</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485</w:t>
            </w:r>
          </w:p>
        </w:tc>
        <w:tc>
          <w:tcPr>
            <w:tcW w:w="220" w:type="dxa"/>
            <w:vAlign w:val="bottom"/>
          </w:tcPr>
          <w:p>
            <w:pPr>
              <w:spacing w:after="0"/>
              <w:rPr>
                <w:sz w:val="14"/>
                <w:szCs w:val="14"/>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338</w:t>
            </w:r>
          </w:p>
        </w:tc>
        <w:tc>
          <w:tcPr>
            <w:tcW w:w="20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405</w:t>
            </w:r>
          </w:p>
        </w:tc>
      </w:tr>
      <w:tr>
        <w:trPr>
          <w:trHeight w:val="157"/>
        </w:trPr>
        <w:tc>
          <w:tcPr>
            <w:tcW w:w="80" w:type="dxa"/>
            <w:vAlign w:val="bottom"/>
          </w:tcPr>
          <w:p>
            <w:pPr>
              <w:spacing w:after="0"/>
              <w:rPr>
                <w:sz w:val="13"/>
                <w:szCs w:val="13"/>
                <w:color w:val="auto"/>
              </w:rPr>
            </w:pPr>
          </w:p>
        </w:tc>
        <w:tc>
          <w:tcPr>
            <w:tcW w:w="900" w:type="dxa"/>
            <w:vAlign w:val="bottom"/>
          </w:tcPr>
          <w:p>
            <w:pPr>
              <w:jc w:val="right"/>
              <w:ind w:right="70"/>
              <w:spacing w:after="0" w:line="157" w:lineRule="exact"/>
              <w:rPr>
                <w:sz w:val="20"/>
                <w:szCs w:val="20"/>
                <w:color w:val="auto"/>
              </w:rPr>
            </w:pPr>
            <w:r>
              <w:rPr>
                <w:rFonts w:ascii="Arial" w:cs="Arial" w:eastAsia="Arial" w:hAnsi="Arial"/>
                <w:sz w:val="14"/>
                <w:szCs w:val="14"/>
                <w:color w:val="auto"/>
              </w:rPr>
              <w:t>(293)</w:t>
            </w:r>
          </w:p>
        </w:tc>
        <w:tc>
          <w:tcPr>
            <w:tcW w:w="200" w:type="dxa"/>
            <w:vAlign w:val="bottom"/>
          </w:tcPr>
          <w:p>
            <w:pPr>
              <w:spacing w:after="0"/>
              <w:rPr>
                <w:sz w:val="13"/>
                <w:szCs w:val="13"/>
                <w:color w:val="auto"/>
              </w:rPr>
            </w:pPr>
          </w:p>
        </w:tc>
        <w:tc>
          <w:tcPr>
            <w:tcW w:w="880" w:type="dxa"/>
            <w:vAlign w:val="bottom"/>
          </w:tcPr>
          <w:p>
            <w:pPr>
              <w:jc w:val="right"/>
              <w:ind w:right="50"/>
              <w:spacing w:after="0" w:line="157" w:lineRule="exact"/>
              <w:rPr>
                <w:sz w:val="20"/>
                <w:szCs w:val="20"/>
                <w:color w:val="auto"/>
              </w:rPr>
            </w:pPr>
            <w:r>
              <w:rPr>
                <w:rFonts w:ascii="Arial" w:cs="Arial" w:eastAsia="Arial" w:hAnsi="Arial"/>
                <w:sz w:val="14"/>
                <w:szCs w:val="14"/>
                <w:color w:val="auto"/>
              </w:rPr>
              <w:t>(241)</w:t>
            </w:r>
          </w:p>
        </w:tc>
        <w:tc>
          <w:tcPr>
            <w:tcW w:w="200" w:type="dxa"/>
            <w:vAlign w:val="bottom"/>
          </w:tcPr>
          <w:p>
            <w:pPr>
              <w:spacing w:after="0"/>
              <w:rPr>
                <w:sz w:val="13"/>
                <w:szCs w:val="13"/>
                <w:color w:val="auto"/>
              </w:rPr>
            </w:pPr>
          </w:p>
        </w:tc>
        <w:tc>
          <w:tcPr>
            <w:tcW w:w="880" w:type="dxa"/>
            <w:vAlign w:val="bottom"/>
          </w:tcPr>
          <w:p>
            <w:pPr>
              <w:jc w:val="right"/>
              <w:ind w:right="50"/>
              <w:spacing w:after="0" w:line="157" w:lineRule="exact"/>
              <w:rPr>
                <w:sz w:val="20"/>
                <w:szCs w:val="20"/>
                <w:color w:val="auto"/>
              </w:rPr>
            </w:pPr>
            <w:r>
              <w:rPr>
                <w:rFonts w:ascii="Arial" w:cs="Arial" w:eastAsia="Arial" w:hAnsi="Arial"/>
                <w:sz w:val="14"/>
                <w:szCs w:val="14"/>
                <w:color w:val="auto"/>
              </w:rPr>
              <w:t>(767)</w:t>
            </w:r>
          </w:p>
        </w:tc>
        <w:tc>
          <w:tcPr>
            <w:tcW w:w="220" w:type="dxa"/>
            <w:vAlign w:val="bottom"/>
          </w:tcPr>
          <w:p>
            <w:pPr>
              <w:spacing w:after="0"/>
              <w:rPr>
                <w:sz w:val="13"/>
                <w:szCs w:val="13"/>
                <w:color w:val="auto"/>
              </w:rPr>
            </w:pPr>
          </w:p>
        </w:tc>
        <w:tc>
          <w:tcPr>
            <w:tcW w:w="880" w:type="dxa"/>
            <w:vAlign w:val="bottom"/>
          </w:tcPr>
          <w:p>
            <w:pPr>
              <w:jc w:val="right"/>
              <w:ind w:right="50"/>
              <w:spacing w:after="0" w:line="157" w:lineRule="exact"/>
              <w:rPr>
                <w:sz w:val="20"/>
                <w:szCs w:val="20"/>
                <w:color w:val="auto"/>
              </w:rPr>
            </w:pPr>
            <w:r>
              <w:rPr>
                <w:rFonts w:ascii="Arial" w:cs="Arial" w:eastAsia="Arial" w:hAnsi="Arial"/>
                <w:sz w:val="14"/>
                <w:szCs w:val="14"/>
                <w:color w:val="auto"/>
              </w:rPr>
              <w:t>(575)</w:t>
            </w:r>
          </w:p>
        </w:tc>
        <w:tc>
          <w:tcPr>
            <w:tcW w:w="2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(778)</w:t>
            </w:r>
          </w:p>
        </w:tc>
      </w:tr>
      <w:tr>
        <w:trPr>
          <w:trHeight w:val="166"/>
        </w:trPr>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168</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291</w:t>
            </w:r>
          </w:p>
        </w:tc>
      </w:tr>
      <w:tr>
        <w:trPr>
          <w:trHeight w:val="176"/>
        </w:trPr>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(170)</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(227)</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(261)</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168"/>
        </w:trPr>
        <w:tc>
          <w:tcPr>
            <w:tcW w:w="80" w:type="dxa"/>
            <w:vAlign w:val="bottom"/>
          </w:tcPr>
          <w:p>
            <w:pPr>
              <w:spacing w:after="0"/>
              <w:rPr>
                <w:sz w:val="14"/>
                <w:szCs w:val="14"/>
                <w:color w:val="auto"/>
              </w:rPr>
            </w:pP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5,704</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16,601</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21,109</w:t>
            </w:r>
          </w:p>
        </w:tc>
        <w:tc>
          <w:tcPr>
            <w:tcW w:w="220" w:type="dxa"/>
            <w:vAlign w:val="bottom"/>
          </w:tcPr>
          <w:p>
            <w:pPr>
              <w:spacing w:after="0"/>
              <w:rPr>
                <w:sz w:val="14"/>
                <w:szCs w:val="14"/>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8,361</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(5,953)</w:t>
            </w:r>
          </w:p>
        </w:tc>
      </w:tr>
      <w:tr>
        <w:trPr>
          <w:trHeight w:val="157"/>
        </w:trPr>
        <w:tc>
          <w:tcPr>
            <w:tcW w:w="80" w:type="dxa"/>
            <w:vAlign w:val="bottom"/>
          </w:tcPr>
          <w:p>
            <w:pPr>
              <w:spacing w:after="0"/>
              <w:rPr>
                <w:sz w:val="13"/>
                <w:szCs w:val="13"/>
                <w:color w:val="auto"/>
              </w:rPr>
            </w:pPr>
          </w:p>
        </w:tc>
        <w:tc>
          <w:tcPr>
            <w:tcW w:w="90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1,250</w:t>
            </w:r>
          </w:p>
        </w:tc>
        <w:tc>
          <w:tcPr>
            <w:tcW w:w="200" w:type="dxa"/>
            <w:vAlign w:val="bottom"/>
          </w:tcPr>
          <w:p>
            <w:pPr>
              <w:spacing w:after="0"/>
              <w:rPr>
                <w:sz w:val="13"/>
                <w:szCs w:val="13"/>
                <w:color w:val="auto"/>
              </w:rPr>
            </w:pP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rPr>
              <w:t>5,129</w:t>
            </w:r>
          </w:p>
        </w:tc>
        <w:tc>
          <w:tcPr>
            <w:tcW w:w="200" w:type="dxa"/>
            <w:vAlign w:val="bottom"/>
          </w:tcPr>
          <w:p>
            <w:pPr>
              <w:spacing w:after="0"/>
              <w:rPr>
                <w:sz w:val="13"/>
                <w:szCs w:val="13"/>
                <w:color w:val="auto"/>
              </w:rPr>
            </w:pP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rPr>
              <w:t>5,325</w:t>
            </w:r>
          </w:p>
        </w:tc>
        <w:tc>
          <w:tcPr>
            <w:tcW w:w="220" w:type="dxa"/>
            <w:vAlign w:val="bottom"/>
          </w:tcPr>
          <w:p>
            <w:pPr>
              <w:spacing w:after="0"/>
              <w:rPr>
                <w:sz w:val="13"/>
                <w:szCs w:val="13"/>
                <w:color w:val="auto"/>
              </w:rPr>
            </w:pPr>
          </w:p>
        </w:tc>
        <w:tc>
          <w:tcPr>
            <w:tcW w:w="88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2,109</w:t>
            </w:r>
          </w:p>
        </w:tc>
        <w:tc>
          <w:tcPr>
            <w:tcW w:w="2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(2,617)</w:t>
            </w:r>
          </w:p>
        </w:tc>
      </w:tr>
      <w:tr>
        <w:trPr>
          <w:trHeight w:val="168"/>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4,454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11,472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15,784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6,252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(3,336)</w:t>
            </w:r>
          </w:p>
        </w:tc>
      </w:tr>
      <w:tr>
        <w:trPr>
          <w:trHeight w:val="121"/>
        </w:trPr>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r>
        <w:trPr>
          <w:trHeight w:val="293"/>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0.24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0.61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0.77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0.31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(0.15)</w:t>
            </w:r>
          </w:p>
        </w:tc>
      </w:tr>
      <w:tr>
        <w:trPr>
          <w:trHeight w:val="157"/>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0.22</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rPr>
              <w:t>0.56</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rPr>
              <w:t>0.69</w:t>
            </w:r>
          </w:p>
        </w:tc>
        <w:tc>
          <w:tcPr>
            <w:tcW w:w="2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0.28</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(0.15)</w:t>
            </w:r>
          </w:p>
        </w:tc>
      </w:tr>
      <w:tr>
        <w:trPr>
          <w:trHeight w:val="157"/>
        </w:trPr>
        <w:tc>
          <w:tcPr>
            <w:tcW w:w="80" w:type="dxa"/>
            <w:vAlign w:val="bottom"/>
          </w:tcPr>
          <w:p>
            <w:pPr>
              <w:spacing w:after="0"/>
              <w:rPr>
                <w:sz w:val="13"/>
                <w:szCs w:val="13"/>
                <w:color w:val="auto"/>
              </w:rPr>
            </w:pPr>
          </w:p>
        </w:tc>
        <w:tc>
          <w:tcPr>
            <w:tcW w:w="900" w:type="dxa"/>
            <w:vAlign w:val="bottom"/>
          </w:tcPr>
          <w:p>
            <w:pPr>
              <w:jc w:val="right"/>
              <w:ind w:right="110"/>
              <w:spacing w:after="0" w:line="157" w:lineRule="exact"/>
              <w:rPr>
                <w:sz w:val="20"/>
                <w:szCs w:val="20"/>
                <w:color w:val="auto"/>
              </w:rPr>
            </w:pPr>
            <w:r>
              <w:rPr>
                <w:rFonts w:ascii="Arial" w:cs="Arial" w:eastAsia="Arial" w:hAnsi="Arial"/>
                <w:sz w:val="14"/>
                <w:szCs w:val="14"/>
                <w:color w:val="auto"/>
                <w:w w:val="99"/>
              </w:rPr>
              <w:t>18,904,992</w:t>
            </w:r>
          </w:p>
        </w:tc>
        <w:tc>
          <w:tcPr>
            <w:tcW w:w="200" w:type="dxa"/>
            <w:vAlign w:val="bottom"/>
          </w:tcPr>
          <w:p>
            <w:pPr>
              <w:spacing w:after="0"/>
              <w:rPr>
                <w:sz w:val="13"/>
                <w:szCs w:val="13"/>
                <w:color w:val="auto"/>
              </w:rPr>
            </w:pP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w w:val="99"/>
              </w:rPr>
              <w:t>18,919,850</w:t>
            </w:r>
          </w:p>
        </w:tc>
        <w:tc>
          <w:tcPr>
            <w:tcW w:w="200" w:type="dxa"/>
            <w:vAlign w:val="bottom"/>
          </w:tcPr>
          <w:p>
            <w:pPr>
              <w:spacing w:after="0"/>
              <w:rPr>
                <w:sz w:val="13"/>
                <w:szCs w:val="13"/>
                <w:color w:val="auto"/>
              </w:rPr>
            </w:pPr>
          </w:p>
        </w:tc>
        <w:tc>
          <w:tcPr>
            <w:tcW w:w="880" w:type="dxa"/>
            <w:vAlign w:val="bottom"/>
          </w:tcPr>
          <w:p>
            <w:pPr>
              <w:jc w:val="right"/>
              <w:ind w:right="90"/>
              <w:spacing w:after="0" w:line="157" w:lineRule="exact"/>
              <w:rPr>
                <w:sz w:val="20"/>
                <w:szCs w:val="20"/>
                <w:color w:val="auto"/>
              </w:rPr>
            </w:pPr>
            <w:r>
              <w:rPr>
                <w:rFonts w:ascii="Arial" w:cs="Arial" w:eastAsia="Arial" w:hAnsi="Arial"/>
                <w:sz w:val="14"/>
                <w:szCs w:val="14"/>
                <w:color w:val="auto"/>
                <w:w w:val="99"/>
              </w:rPr>
              <w:t>20,533,471</w:t>
            </w:r>
          </w:p>
        </w:tc>
        <w:tc>
          <w:tcPr>
            <w:tcW w:w="220" w:type="dxa"/>
            <w:vAlign w:val="bottom"/>
          </w:tcPr>
          <w:p>
            <w:pPr>
              <w:spacing w:after="0"/>
              <w:rPr>
                <w:sz w:val="13"/>
                <w:szCs w:val="13"/>
                <w:color w:val="auto"/>
              </w:rPr>
            </w:pPr>
          </w:p>
        </w:tc>
        <w:tc>
          <w:tcPr>
            <w:tcW w:w="880" w:type="dxa"/>
            <w:vAlign w:val="bottom"/>
          </w:tcPr>
          <w:p>
            <w:pPr>
              <w:jc w:val="right"/>
              <w:ind w:right="110"/>
              <w:spacing w:after="0" w:line="157" w:lineRule="exact"/>
              <w:rPr>
                <w:sz w:val="20"/>
                <w:szCs w:val="20"/>
                <w:color w:val="auto"/>
              </w:rPr>
            </w:pPr>
            <w:r>
              <w:rPr>
                <w:rFonts w:ascii="Arial" w:cs="Arial" w:eastAsia="Arial" w:hAnsi="Arial"/>
                <w:sz w:val="14"/>
                <w:szCs w:val="14"/>
                <w:color w:val="auto"/>
                <w:w w:val="96"/>
              </w:rPr>
              <w:t>19,930,498</w:t>
            </w:r>
          </w:p>
        </w:tc>
        <w:tc>
          <w:tcPr>
            <w:tcW w:w="200" w:type="dxa"/>
            <w:vAlign w:val="bottom"/>
          </w:tcPr>
          <w:p>
            <w:pPr>
              <w:spacing w:after="0"/>
              <w:rPr>
                <w:sz w:val="13"/>
                <w:szCs w:val="13"/>
                <w:color w:val="auto"/>
              </w:rPr>
            </w:pPr>
          </w:p>
        </w:tc>
        <w:tc>
          <w:tcPr>
            <w:tcW w:w="800" w:type="dxa"/>
            <w:vAlign w:val="bottom"/>
          </w:tcPr>
          <w:p>
            <w:pPr>
              <w:jc w:val="right"/>
              <w:ind w:right="10"/>
              <w:spacing w:after="0" w:line="157" w:lineRule="exact"/>
              <w:rPr>
                <w:sz w:val="20"/>
                <w:szCs w:val="20"/>
                <w:color w:val="auto"/>
              </w:rPr>
            </w:pPr>
            <w:r>
              <w:rPr>
                <w:rFonts w:ascii="Arial" w:cs="Arial" w:eastAsia="Arial" w:hAnsi="Arial"/>
                <w:sz w:val="14"/>
                <w:szCs w:val="14"/>
                <w:color w:val="auto"/>
                <w:w w:val="99"/>
              </w:rPr>
              <w:t>22,370,191</w:t>
            </w:r>
          </w:p>
        </w:tc>
      </w:tr>
      <w:tr>
        <w:trPr>
          <w:trHeight w:val="168"/>
        </w:trPr>
        <w:tc>
          <w:tcPr>
            <w:tcW w:w="80" w:type="dxa"/>
            <w:vAlign w:val="bottom"/>
          </w:tcPr>
          <w:p>
            <w:pPr>
              <w:spacing w:after="0"/>
              <w:rPr>
                <w:sz w:val="14"/>
                <w:szCs w:val="14"/>
                <w:color w:val="auto"/>
              </w:rPr>
            </w:pPr>
          </w:p>
        </w:tc>
        <w:tc>
          <w:tcPr>
            <w:tcW w:w="900" w:type="dxa"/>
            <w:vAlign w:val="bottom"/>
          </w:tcPr>
          <w:p>
            <w:pPr>
              <w:jc w:val="right"/>
              <w:ind w:right="110"/>
              <w:spacing w:after="0"/>
              <w:rPr>
                <w:sz w:val="20"/>
                <w:szCs w:val="20"/>
                <w:color w:val="auto"/>
              </w:rPr>
            </w:pPr>
            <w:r>
              <w:rPr>
                <w:rFonts w:ascii="Arial" w:cs="Arial" w:eastAsia="Arial" w:hAnsi="Arial"/>
                <w:sz w:val="14"/>
                <w:szCs w:val="14"/>
                <w:color w:val="auto"/>
                <w:w w:val="99"/>
              </w:rPr>
              <w:t>20,316,752</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w w:val="99"/>
              </w:rPr>
              <w:t>20,439,252</w:t>
            </w:r>
          </w:p>
        </w:tc>
        <w:tc>
          <w:tcPr>
            <w:tcW w:w="200" w:type="dxa"/>
            <w:vAlign w:val="bottom"/>
          </w:tcPr>
          <w:p>
            <w:pPr>
              <w:spacing w:after="0"/>
              <w:rPr>
                <w:sz w:val="14"/>
                <w:szCs w:val="14"/>
                <w:color w:val="auto"/>
              </w:rPr>
            </w:pPr>
          </w:p>
        </w:tc>
        <w:tc>
          <w:tcPr>
            <w:tcW w:w="880" w:type="dxa"/>
            <w:vAlign w:val="bottom"/>
          </w:tcPr>
          <w:p>
            <w:pPr>
              <w:jc w:val="right"/>
              <w:ind w:right="90"/>
              <w:spacing w:after="0"/>
              <w:rPr>
                <w:sz w:val="20"/>
                <w:szCs w:val="20"/>
                <w:color w:val="auto"/>
              </w:rPr>
            </w:pPr>
            <w:r>
              <w:rPr>
                <w:rFonts w:ascii="Arial" w:cs="Arial" w:eastAsia="Arial" w:hAnsi="Arial"/>
                <w:sz w:val="14"/>
                <w:szCs w:val="14"/>
                <w:color w:val="auto"/>
                <w:w w:val="99"/>
              </w:rPr>
              <w:t>22,751,733</w:t>
            </w:r>
          </w:p>
        </w:tc>
        <w:tc>
          <w:tcPr>
            <w:tcW w:w="220" w:type="dxa"/>
            <w:vAlign w:val="bottom"/>
          </w:tcPr>
          <w:p>
            <w:pPr>
              <w:spacing w:after="0"/>
              <w:rPr>
                <w:sz w:val="14"/>
                <w:szCs w:val="14"/>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w w:val="96"/>
              </w:rPr>
              <w:t>22,048,412</w:t>
            </w:r>
          </w:p>
        </w:tc>
        <w:tc>
          <w:tcPr>
            <w:tcW w:w="200" w:type="dxa"/>
            <w:vAlign w:val="bottom"/>
          </w:tcPr>
          <w:p>
            <w:pPr>
              <w:spacing w:after="0"/>
              <w:rPr>
                <w:sz w:val="14"/>
                <w:szCs w:val="14"/>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w w:val="99"/>
              </w:rPr>
              <w:t>22,370,191</w:t>
            </w:r>
          </w:p>
        </w:tc>
      </w:tr>
    </w:tbl>
    <w:p>
      <w:pPr>
        <w:spacing w:after="0" w:line="200" w:lineRule="exact"/>
        <w:rPr>
          <w:sz w:val="20"/>
          <w:szCs w:val="20"/>
          <w:color w:val="auto"/>
        </w:rPr>
      </w:pPr>
    </w:p>
    <w:p>
      <w:pPr>
        <w:sectPr>
          <w:pgSz w:w="11900" w:h="16838" w:orient="portrait"/>
          <w:cols w:equalWidth="0" w:num="2">
            <w:col w:w="3960" w:space="720"/>
            <w:col w:w="5240"/>
          </w:cols>
          <w:pgMar w:left="1160" w:top="1110"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132080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1160" w:top="1110" w:right="8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4340" w:type="dxa"/>
            <w:vAlign w:val="bottom"/>
            <w:shd w:val="clear" w:color="auto" w:fill="000000"/>
          </w:tcPr>
          <w:p>
            <w:pPr>
              <w:spacing w:after="0"/>
              <w:rPr>
                <w:sz w:val="3"/>
                <w:szCs w:val="3"/>
                <w:color w:val="auto"/>
              </w:rPr>
            </w:pPr>
          </w:p>
        </w:tc>
        <w:tc>
          <w:tcPr>
            <w:tcW w:w="27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80" w:type="dxa"/>
            <w:vAlign w:val="bottom"/>
            <w:gridSpan w:val="3"/>
          </w:tcPr>
          <w:p>
            <w:pPr>
              <w:ind w:left="260"/>
              <w:spacing w:after="0" w:line="157" w:lineRule="exact"/>
              <w:rPr>
                <w:sz w:val="20"/>
                <w:szCs w:val="20"/>
                <w:color w:val="auto"/>
              </w:rPr>
            </w:pPr>
            <w:r>
              <w:rPr>
                <w:rFonts w:ascii="Arial" w:cs="Arial" w:eastAsia="Arial" w:hAnsi="Arial"/>
                <w:sz w:val="14"/>
                <w:szCs w:val="14"/>
                <w:b w:val="1"/>
                <w:bCs w:val="1"/>
                <w:color w:val="auto"/>
              </w:rPr>
              <w:t>As of September 30, 2006</w:t>
            </w:r>
          </w:p>
        </w:tc>
        <w:tc>
          <w:tcPr>
            <w:tcW w:w="0" w:type="dxa"/>
            <w:vAlign w:val="bottom"/>
          </w:tcPr>
          <w:p>
            <w:pPr>
              <w:spacing w:after="0"/>
              <w:rPr>
                <w:sz w:val="1"/>
                <w:szCs w:val="1"/>
                <w:color w:val="auto"/>
              </w:rPr>
            </w:pPr>
          </w:p>
        </w:tc>
      </w:tr>
      <w:tr>
        <w:trPr>
          <w:trHeight w:val="177"/>
        </w:trPr>
        <w:tc>
          <w:tcPr>
            <w:tcW w:w="4360" w:type="dxa"/>
            <w:vAlign w:val="bottom"/>
            <w:gridSpan w:val="2"/>
            <w:vMerge w:val="continue"/>
          </w:tcPr>
          <w:p>
            <w:pPr>
              <w:spacing w:after="0"/>
              <w:rPr>
                <w:sz w:val="15"/>
                <w:szCs w:val="15"/>
                <w:color w:val="auto"/>
              </w:rPr>
            </w:pPr>
          </w:p>
        </w:tc>
        <w:tc>
          <w:tcPr>
            <w:tcW w:w="2720" w:type="dxa"/>
            <w:vAlign w:val="bottom"/>
          </w:tcPr>
          <w:p>
            <w:pPr>
              <w:spacing w:after="0"/>
              <w:rPr>
                <w:sz w:val="15"/>
                <w:szCs w:val="15"/>
                <w:color w:val="auto"/>
              </w:rPr>
            </w:pPr>
          </w:p>
        </w:tc>
        <w:tc>
          <w:tcPr>
            <w:tcW w:w="860" w:type="dxa"/>
            <w:vAlign w:val="bottom"/>
            <w:tcBorders>
              <w:top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Actual</w:t>
            </w:r>
          </w:p>
        </w:tc>
        <w:tc>
          <w:tcPr>
            <w:tcW w:w="1940" w:type="dxa"/>
            <w:vAlign w:val="bottom"/>
            <w:tcBorders>
              <w:top w:val="single" w:sz="8" w:color="auto"/>
            </w:tcBorders>
            <w:gridSpan w:val="2"/>
          </w:tcPr>
          <w:p>
            <w:pPr>
              <w:ind w:left="1160"/>
              <w:spacing w:after="0"/>
              <w:rPr>
                <w:sz w:val="20"/>
                <w:szCs w:val="20"/>
                <w:color w:val="auto"/>
              </w:rPr>
            </w:pPr>
            <w:r>
              <w:rPr>
                <w:rFonts w:ascii="Arial" w:cs="Arial" w:eastAsia="Arial" w:hAnsi="Arial"/>
                <w:sz w:val="14"/>
                <w:szCs w:val="14"/>
                <w:b w:val="1"/>
                <w:bCs w:val="1"/>
                <w:color w:val="auto"/>
                <w:w w:val="95"/>
              </w:rPr>
              <w:t>As adjusted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3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Balance sheet data:</w:t>
            </w:r>
          </w:p>
        </w:tc>
        <w:tc>
          <w:tcPr>
            <w:tcW w:w="27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line="157" w:lineRule="exact"/>
              <w:rPr>
                <w:sz w:val="20"/>
                <w:szCs w:val="20"/>
                <w:color w:val="auto"/>
              </w:rPr>
            </w:pPr>
            <w:r>
              <w:rPr>
                <w:rFonts w:ascii="Arial" w:cs="Arial" w:eastAsia="Arial" w:hAnsi="Arial"/>
                <w:sz w:val="14"/>
                <w:szCs w:val="14"/>
                <w:color w:val="auto"/>
              </w:rPr>
              <w:t>Cash and cash equivalents</w:t>
            </w:r>
          </w:p>
        </w:tc>
        <w:tc>
          <w:tcPr>
            <w:tcW w:w="3580" w:type="dxa"/>
            <w:vAlign w:val="bottom"/>
            <w:gridSpan w:val="2"/>
          </w:tcPr>
          <w:p>
            <w:pPr>
              <w:jc w:val="right"/>
              <w:ind w:right="190"/>
              <w:spacing w:after="0" w:line="157" w:lineRule="exact"/>
              <w:rPr>
                <w:sz w:val="20"/>
                <w:szCs w:val="20"/>
                <w:color w:val="auto"/>
              </w:rPr>
            </w:pPr>
            <w:r>
              <w:rPr>
                <w:rFonts w:ascii="Arial" w:cs="Arial" w:eastAsia="Arial" w:hAnsi="Arial"/>
                <w:sz w:val="14"/>
                <w:szCs w:val="14"/>
                <w:color w:val="auto"/>
              </w:rPr>
              <w:t>$  19,906</w:t>
            </w:r>
          </w:p>
        </w:tc>
        <w:tc>
          <w:tcPr>
            <w:tcW w:w="1340" w:type="dxa"/>
            <w:vAlign w:val="bottom"/>
          </w:tcPr>
          <w:p>
            <w:pPr>
              <w:ind w:left="1160"/>
              <w:spacing w:after="0" w:line="157"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86,206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Working capital</w:t>
            </w:r>
          </w:p>
        </w:tc>
        <w:tc>
          <w:tcPr>
            <w:tcW w:w="3580" w:type="dxa"/>
            <w:vAlign w:val="bottom"/>
            <w:gridSpan w:val="2"/>
            <w:shd w:val="clear" w:color="auto" w:fill="CCEEFF"/>
          </w:tcPr>
          <w:p>
            <w:pPr>
              <w:jc w:val="right"/>
              <w:ind w:right="190"/>
              <w:spacing w:after="0" w:line="157" w:lineRule="exact"/>
              <w:rPr>
                <w:sz w:val="20"/>
                <w:szCs w:val="20"/>
                <w:color w:val="auto"/>
              </w:rPr>
            </w:pPr>
            <w:r>
              <w:rPr>
                <w:rFonts w:ascii="Arial" w:cs="Arial" w:eastAsia="Arial" w:hAnsi="Arial"/>
                <w:sz w:val="14"/>
                <w:szCs w:val="14"/>
                <w:color w:val="auto"/>
              </w:rPr>
              <w:t>18,726</w:t>
            </w:r>
          </w:p>
        </w:tc>
        <w:tc>
          <w:tcPr>
            <w:tcW w:w="1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85,026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line="157" w:lineRule="exact"/>
              <w:rPr>
                <w:sz w:val="20"/>
                <w:szCs w:val="20"/>
                <w:color w:val="auto"/>
              </w:rPr>
            </w:pPr>
            <w:r>
              <w:rPr>
                <w:rFonts w:ascii="Arial" w:cs="Arial" w:eastAsia="Arial" w:hAnsi="Arial"/>
                <w:sz w:val="14"/>
                <w:szCs w:val="14"/>
                <w:color w:val="auto"/>
              </w:rPr>
              <w:t>Total assets</w:t>
            </w:r>
          </w:p>
        </w:tc>
        <w:tc>
          <w:tcPr>
            <w:tcW w:w="3580" w:type="dxa"/>
            <w:vAlign w:val="bottom"/>
            <w:gridSpan w:val="2"/>
          </w:tcPr>
          <w:p>
            <w:pPr>
              <w:jc w:val="right"/>
              <w:ind w:right="190"/>
              <w:spacing w:after="0" w:line="157" w:lineRule="exact"/>
              <w:rPr>
                <w:sz w:val="20"/>
                <w:szCs w:val="20"/>
                <w:color w:val="auto"/>
              </w:rPr>
            </w:pPr>
            <w:r>
              <w:rPr>
                <w:rFonts w:ascii="Arial" w:cs="Arial" w:eastAsia="Arial" w:hAnsi="Arial"/>
                <w:sz w:val="14"/>
                <w:szCs w:val="14"/>
                <w:color w:val="auto"/>
              </w:rPr>
              <w:t>130,831</w:t>
            </w:r>
          </w:p>
        </w:tc>
        <w:tc>
          <w:tcPr>
            <w:tcW w:w="13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197,131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Total long-term liabilities</w:t>
            </w:r>
          </w:p>
        </w:tc>
        <w:tc>
          <w:tcPr>
            <w:tcW w:w="3580" w:type="dxa"/>
            <w:vAlign w:val="bottom"/>
            <w:gridSpan w:val="2"/>
            <w:shd w:val="clear" w:color="auto" w:fill="CCEEFF"/>
          </w:tcPr>
          <w:p>
            <w:pPr>
              <w:jc w:val="right"/>
              <w:ind w:right="190"/>
              <w:spacing w:after="0" w:line="157" w:lineRule="exact"/>
              <w:rPr>
                <w:sz w:val="20"/>
                <w:szCs w:val="20"/>
                <w:color w:val="auto"/>
              </w:rPr>
            </w:pPr>
            <w:r>
              <w:rPr>
                <w:rFonts w:ascii="Arial" w:cs="Arial" w:eastAsia="Arial" w:hAnsi="Arial"/>
                <w:sz w:val="14"/>
                <w:szCs w:val="14"/>
                <w:color w:val="auto"/>
              </w:rPr>
              <w:t>35,606</w:t>
            </w:r>
          </w:p>
        </w:tc>
        <w:tc>
          <w:tcPr>
            <w:tcW w:w="1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35,606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6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3580" w:type="dxa"/>
            <w:vAlign w:val="bottom"/>
            <w:gridSpan w:val="2"/>
          </w:tcPr>
          <w:p>
            <w:pPr>
              <w:jc w:val="right"/>
              <w:ind w:right="190"/>
              <w:spacing w:after="0"/>
              <w:rPr>
                <w:sz w:val="20"/>
                <w:szCs w:val="20"/>
                <w:color w:val="auto"/>
              </w:rPr>
            </w:pPr>
            <w:r>
              <w:rPr>
                <w:rFonts w:ascii="Arial" w:cs="Arial" w:eastAsia="Arial" w:hAnsi="Arial"/>
                <w:sz w:val="14"/>
                <w:szCs w:val="14"/>
                <w:color w:val="auto"/>
              </w:rPr>
              <w:t>56,759</w:t>
            </w:r>
          </w:p>
        </w:tc>
        <w:tc>
          <w:tcPr>
            <w:tcW w:w="13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123,059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585470</wp:posOffset>
            </wp:positionH>
            <wp:positionV relativeFrom="page">
              <wp:posOffset>585470</wp:posOffset>
            </wp:positionV>
            <wp:extent cx="6598285" cy="74714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98285" cy="7471410"/>
                    </a:xfrm>
                    <a:prstGeom prst="rect">
                      <a:avLst/>
                    </a:prstGeom>
                    <a:noFill/>
                  </pic:spPr>
                </pic:pic>
              </a:graphicData>
            </a:graphic>
          </wp:anchor>
        </w:drawing>
      </w:r>
    </w:p>
    <w:p>
      <w:pPr>
        <w:ind w:right="320"/>
        <w:spacing w:after="0" w:line="241" w:lineRule="auto"/>
        <w:rPr>
          <w:sz w:val="20"/>
          <w:szCs w:val="20"/>
          <w:color w:val="auto"/>
        </w:rPr>
      </w:pPr>
      <w:r>
        <w:rPr>
          <w:rFonts w:ascii="Arial" w:cs="Arial" w:eastAsia="Arial" w:hAnsi="Arial"/>
          <w:sz w:val="17"/>
          <w:szCs w:val="17"/>
          <w:color w:val="auto"/>
        </w:rPr>
        <w:t>A $1.00 increase (decrease) in the assumed initial public offering price of $15.00 per share would increase (decrease) the as adjusted amount of each of cash and cash equivalents, working capital, total assets and total stockholders’ equity by</w:t>
      </w:r>
    </w:p>
    <w:p>
      <w:pPr>
        <w:ind w:right="280"/>
        <w:spacing w:after="0" w:line="258" w:lineRule="auto"/>
        <w:rPr>
          <w:sz w:val="20"/>
          <w:szCs w:val="20"/>
          <w:color w:val="auto"/>
        </w:rPr>
      </w:pPr>
      <w:r>
        <w:rPr>
          <w:rFonts w:ascii="Arial" w:cs="Arial" w:eastAsia="Arial" w:hAnsi="Arial"/>
          <w:sz w:val="17"/>
          <w:szCs w:val="17"/>
          <w:color w:val="auto"/>
        </w:rPr>
        <w:t>$4.7 million, assuming that the number of shares offered by us, as set forth on the cover page of this prospectus, remains the same and after deducting estimated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132080</wp:posOffset>
            </wp:positionV>
            <wp:extent cx="725487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1160" w:top="1279" w:right="8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8"/>
          <w:szCs w:val="28"/>
          <w:b w:val="1"/>
          <w:bCs w:val="1"/>
          <w:color w:val="auto"/>
        </w:rPr>
        <w:t>Risk factors</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included in this prospectus, including the financial statements and related notes appearing at the end of this prospectus, before deciding to invest in our common stock. If any of the following risks actually occurs, our business, prospects, financial condition and operating results could be materially harmed. In that event, the market price of our common stock could decline and you could lose part or all of your investment.</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dependence on U.S. government contracts for BioThrax</w:t>
      </w:r>
    </w:p>
    <w:p>
      <w:pPr>
        <w:spacing w:after="0" w:line="12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b w:val="1"/>
          <w:bCs w:val="1"/>
          <w:i w:val="1"/>
          <w:iCs w:val="1"/>
          <w:color w:val="auto"/>
        </w:rPr>
        <w:t>We have derived substantially all of our revenue from sales of our BioThrax anthrax vaccine, our only marketed product, under contracts with the U.S. Department of Defense and the U.S. Department of Health and Human Services. If we are unable to obtain new contracts with and deliver BioThrax to these customers, our business, financial condition and operating results could be materially harmed.</w:t>
      </w:r>
    </w:p>
    <w:p>
      <w:pPr>
        <w:spacing w:after="0" w:line="9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derived and expect for the foreseeable future to continue to derive substantially all of our revenue from sales of BioThrax, our FDA approved anthrax vaccine and our only marketed product. We currently supply BioThrax to the DoD for immunization of military personnel and to HHS for placement into the strategic national stockpile. In 2005 and the nine months ended September 30, 2006, we derived substantially all of our revenue from our BioThrax contracts with the DoD and HHS. Our current contract with the DoD provides for the supply of BioThrax to the DoD through September 2007. Although the DoD has issued a notice that it intends to pursue a sole source fixed price contract to purchase up to an additional 11 million doses of BioThrax over one base contract year plus four option years, the DoD has not issued a formal request for proposals for such a contract. We may not be awarded a follow-on contract on favorable terms or at all. For example, the DoD’s minimum purchase obligations under any follow-on contract could be less than under our current contract with the DoD. We have delivered all of the five million doses of BioThrax that HHS agreed to purchase under a contract that we entered into with HHS in May 2005. In May 2006, we entered into a contract modification with HHS for the delivery of an additional five million doses of BioThrax to HHS by May 2007. Our ongoing contracts do not necessarily increase the likelihood that we will secure future comparable contracts with the U.S. government. The success of our business and our operating results for the foreseeable future are substantially dependent on the number of doses of BioThrax that the U.S. government purchases from us.</w:t>
      </w:r>
    </w:p>
    <w:p>
      <w:pPr>
        <w:spacing w:after="0" w:line="193" w:lineRule="exact"/>
        <w:rPr>
          <w:sz w:val="20"/>
          <w:szCs w:val="20"/>
          <w:color w:val="auto"/>
        </w:rPr>
      </w:pPr>
    </w:p>
    <w:p>
      <w:pPr>
        <w:ind w:right="640"/>
        <w:spacing w:after="0" w:line="283" w:lineRule="auto"/>
        <w:rPr>
          <w:sz w:val="20"/>
          <w:szCs w:val="20"/>
          <w:color w:val="auto"/>
        </w:rPr>
      </w:pPr>
      <w:r>
        <w:rPr>
          <w:rFonts w:ascii="Arial" w:cs="Arial" w:eastAsia="Arial" w:hAnsi="Arial"/>
          <w:sz w:val="17"/>
          <w:szCs w:val="17"/>
          <w:b w:val="1"/>
          <w:bCs w:val="1"/>
          <w:i w:val="1"/>
          <w:iCs w:val="1"/>
          <w:color w:val="auto"/>
        </w:rPr>
        <w:t>Our business may be harmed as a result of the government contracting process, which is a competitive bidding process that involves risks not present in the commercial contracting process.</w:t>
      </w:r>
    </w:p>
    <w:p>
      <w:pPr>
        <w:spacing w:after="0" w:line="70" w:lineRule="exact"/>
        <w:rPr>
          <w:sz w:val="20"/>
          <w:szCs w:val="20"/>
          <w:color w:val="auto"/>
        </w:rPr>
      </w:pPr>
    </w:p>
    <w:p>
      <w:pPr>
        <w:jc w:val="both"/>
        <w:ind w:right="300"/>
        <w:spacing w:after="0" w:line="250" w:lineRule="auto"/>
        <w:rPr>
          <w:sz w:val="20"/>
          <w:szCs w:val="20"/>
          <w:color w:val="auto"/>
        </w:rPr>
      </w:pPr>
      <w:r>
        <w:rPr>
          <w:rFonts w:ascii="Arial" w:cs="Arial" w:eastAsia="Arial" w:hAnsi="Arial"/>
          <w:sz w:val="17"/>
          <w:szCs w:val="17"/>
          <w:color w:val="auto"/>
        </w:rPr>
        <w:t>We expect that a significant portion of the business that we will seek in the near future will be under government contracts or subcontracts awarded through competitive bidding. Competitive bidding for government contracts presents a number of risks that are not typically present in the commercial contracting process, including:</w:t>
      </w:r>
    </w:p>
    <w:p>
      <w:pPr>
        <w:spacing w:after="0" w:line="44" w:lineRule="exact"/>
        <w:rPr>
          <w:sz w:val="20"/>
          <w:szCs w:val="20"/>
          <w:color w:val="auto"/>
        </w:rPr>
      </w:pPr>
    </w:p>
    <w:p>
      <w:pPr>
        <w:ind w:left="220" w:hanging="210"/>
        <w:spacing w:after="0" w:line="258" w:lineRule="auto"/>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need to devote substantial time and attention of management and key employees to the preparation of bids and proposals for contracts that may not be awarded to us;</w:t>
      </w:r>
    </w:p>
    <w:p>
      <w:pPr>
        <w:spacing w:after="0" w:line="24"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need to accurately estimate the resources and cost structure that will be required to perform any contract that we might be awarded; and</w:t>
      </w:r>
    </w:p>
    <w:p>
      <w:pPr>
        <w:spacing w:after="0" w:line="24" w:lineRule="exact"/>
        <w:rPr>
          <w:rFonts w:ascii="Arial" w:cs="Arial" w:eastAsia="Arial" w:hAnsi="Arial"/>
          <w:sz w:val="17"/>
          <w:szCs w:val="17"/>
          <w:color w:val="auto"/>
        </w:rPr>
      </w:pPr>
    </w:p>
    <w:p>
      <w:pPr>
        <w:ind w:left="220" w:right="140" w:hanging="210"/>
        <w:spacing w:after="0" w:line="258" w:lineRule="auto"/>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expenses that we might incur and the delays that we might suffer if our competitors protest or challenge contract awards made to us pursuant to competitive bidding, and the risk that any such</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6" w:right="1059" w:bottom="1440" w:gutter="0" w:footer="0" w:header="0"/>
        </w:sectPr>
      </w:pPr>
    </w:p>
    <w:bookmarkStart w:id="13" w:name="page14"/>
    <w:bookmarkEnd w:id="13"/>
    <w:p>
      <w:pPr>
        <w:ind w:left="220" w:right="200"/>
        <w:spacing w:after="0" w:line="258" w:lineRule="auto"/>
        <w:rPr>
          <w:sz w:val="20"/>
          <w:szCs w:val="20"/>
          <w:color w:val="auto"/>
        </w:rPr>
      </w:pPr>
      <w:r>
        <w:rPr>
          <w:rFonts w:ascii="Arial" w:cs="Arial" w:eastAsia="Arial" w:hAnsi="Arial"/>
          <w:sz w:val="17"/>
          <w:szCs w:val="17"/>
          <w:color w:val="auto"/>
        </w:rPr>
        <w:t>protest or challenge could result in the resubmission of bids based on modified specifications, or in termination, reduction or modification of the awarded contract.</w:t>
      </w:r>
    </w:p>
    <w:p>
      <w:pPr>
        <w:spacing w:after="0" w:line="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U.S. government may choose to award future contracts for the supply of anthrax vaccines and other biodefense product candidates that we are developing to our competitors instead of to us. If we are unable to win particular contracts, we may not be able to operate in the market for products that are provided under those contracts for a number of years. For example, in November 2004, HHS awarded VaxGen, Inc., one of our competitors in the anthrax vaccine market, a contract for the supply of 75 million doses of a recombinant protective antigen anthrax vaccine for inclusion in the strategic national stockpile. If VaxGen is able to deliver product under its contract, HHS may eliminate or reduce future orders for other anthrax vaccines, including BioThrax. If any other company is successful in developing a next generation anthrax vaccine, U.S. government customers may purchase only the next generation vaccine and not BioThrax.</w:t>
      </w:r>
    </w:p>
    <w:p>
      <w:pPr>
        <w:spacing w:after="0" w:line="106" w:lineRule="exact"/>
        <w:rPr>
          <w:sz w:val="20"/>
          <w:szCs w:val="20"/>
          <w:color w:val="auto"/>
        </w:rPr>
      </w:pPr>
    </w:p>
    <w:p>
      <w:pPr>
        <w:jc w:val="both"/>
        <w:ind w:right="220"/>
        <w:spacing w:after="0" w:line="250" w:lineRule="auto"/>
        <w:rPr>
          <w:sz w:val="20"/>
          <w:szCs w:val="20"/>
          <w:color w:val="auto"/>
        </w:rPr>
      </w:pPr>
      <w:r>
        <w:rPr>
          <w:rFonts w:ascii="Arial" w:cs="Arial" w:eastAsia="Arial" w:hAnsi="Arial"/>
          <w:sz w:val="17"/>
          <w:szCs w:val="17"/>
          <w:color w:val="auto"/>
        </w:rPr>
        <w:t>If we are unable to consistently win new contract awards over an extended period, or if we fail to anticipate all of the costs and resources that will be required to secure such contract awards, our growth strategy and our business, financial condition, and operating results could be materially adversely affected.</w:t>
      </w:r>
    </w:p>
    <w:p>
      <w:pPr>
        <w:spacing w:after="0" w:line="181"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b w:val="1"/>
          <w:bCs w:val="1"/>
          <w:i w:val="1"/>
          <w:iCs w:val="1"/>
          <w:color w:val="auto"/>
        </w:rPr>
        <w:t>Our U.S. government contracts for BioThrax require annual funding decisions by the government. The failure to fund one or more of these contracts could cause our financial condition and operating results to suffer materially.</w:t>
      </w:r>
    </w:p>
    <w:p>
      <w:pPr>
        <w:spacing w:after="0" w:line="70"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Our principal customer for BioThrax, our only marketed product, is the U.S. government. We sell to the U.S. government under contracts with the DoD and HHS. In addition, we anticipate that the U.S. government will be the principal customer for any other biodefense products that we successfully develop. Accordingly, we are subject to a range of risks arising out of being a contractor to the U.S. government under U.S. government programs.</w:t>
      </w:r>
    </w:p>
    <w:p>
      <w:pPr>
        <w:spacing w:after="0" w:line="9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Over its lifetime, a U.S. government program may be implemented through the award of many different individual contracts and subcontracts. The funding of government programs is subject to Congressional appropriations. Congress generally appropriates funds on a fiscal year basis even though a program may continue for several years. For example, our DoD contracts for BioThrax have been structured with one base year during which the DoD agrees to purchase a minimum number of doses of BioThrax with options for the DoD to purchase further quantities in future years. We expect that any future contract that we enter into with the DoD will be structured in a similar manner. Government programs are often only partially funded initially, and additional funds are committed only as Congress makes further appropriations. The termination of a program or failure to commit funds to a program would result in a loss of anticipated future revenues attributable to that program, which could materially harm our business. Our government customers are subject to stringent budgetary constraints and political considerations. If annual levels of government expenditures and authorizations for biodefense decrease or shift to programs in areas where we do not offer products or are not developing product candidates, our business, revenues and operating results may suffer.</w:t>
      </w:r>
    </w:p>
    <w:p>
      <w:pPr>
        <w:spacing w:after="0" w:line="195"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b w:val="1"/>
          <w:bCs w:val="1"/>
          <w:i w:val="1"/>
          <w:iCs w:val="1"/>
          <w:color w:val="auto"/>
        </w:rPr>
        <w:t>The success of our business with the U.S. government depends on our compliance with additional regulations and obligations under our U.S. government contracts.</w:t>
      </w:r>
    </w:p>
    <w:p>
      <w:pPr>
        <w:spacing w:after="0" w:line="70"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Our business with the U.S. government is subject to specific procurement regulations and a variety of other legal compliance obligations. These obligations include those related to:</w:t>
      </w:r>
    </w:p>
    <w:p>
      <w:pPr>
        <w:spacing w:after="0" w:line="38" w:lineRule="exact"/>
        <w:rPr>
          <w:sz w:val="20"/>
          <w:szCs w:val="20"/>
          <w:color w:val="auto"/>
        </w:rPr>
      </w:pPr>
    </w:p>
    <w:p>
      <w:pPr>
        <w:ind w:left="220" w:hanging="210"/>
        <w:spacing w:after="0"/>
        <w:tabs>
          <w:tab w:leader="none" w:pos="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procurement integrity;</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export control;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4" w:name="page15"/>
    <w:bookmarkEnd w:id="14"/>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government security regulations;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employment practices;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protection of the environment;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accuracy of records and the recording of costs; and</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foreign corrupt practices.</w:t>
      </w:r>
    </w:p>
    <w:p>
      <w:pPr>
        <w:spacing w:after="0" w:line="119"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In addition, before awarding us any future contracts, the U.S. government could require that we respond satisfactorily to a request to substantiate our commercial viability and industrial capabilities. Compliance with these obligations increases our performance and compliance costs. Failure to comply with these regulations and requirements could lead to suspension or debarment, for cause, from government contracting or subcontracting for a period of time. The termination of a government contract or relationship as a result of our failure to satisfy any of these obligations would have a negative impact on our operations and harm our reputation and ability to procure other government contracts in the future.</w:t>
      </w:r>
    </w:p>
    <w:p>
      <w:pPr>
        <w:spacing w:after="0" w:line="136" w:lineRule="exact"/>
        <w:rPr>
          <w:sz w:val="20"/>
          <w:szCs w:val="20"/>
          <w:color w:val="auto"/>
        </w:rPr>
      </w:pPr>
    </w:p>
    <w:p>
      <w:pPr>
        <w:jc w:val="both"/>
        <w:ind w:right="320"/>
        <w:spacing w:after="0" w:line="262" w:lineRule="auto"/>
        <w:rPr>
          <w:sz w:val="20"/>
          <w:szCs w:val="20"/>
          <w:color w:val="auto"/>
        </w:rPr>
      </w:pPr>
      <w:r>
        <w:rPr>
          <w:rFonts w:ascii="Arial" w:cs="Arial" w:eastAsia="Arial" w:hAnsi="Arial"/>
          <w:sz w:val="17"/>
          <w:szCs w:val="17"/>
          <w:b w:val="1"/>
          <w:bCs w:val="1"/>
          <w:i w:val="1"/>
          <w:iCs w:val="1"/>
          <w:color w:val="auto"/>
        </w:rPr>
        <w:t>The pricing under our fixed price government contracts is based on estimates of the time, resources and expenses required to deliver the specified doses of BioThrax. If our estimates are not accurate, we may not be able to earn an adequate return under these contracts.</w:t>
      </w:r>
    </w:p>
    <w:p>
      <w:pPr>
        <w:spacing w:after="0" w:line="87"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Our current contracts for the supply of BioThrax with the DoD and HHS are fixed price contracts. In addition, we expect that our future contracts with the U.S. government for biodefense product candidates that we successfully develop may be fixed price contracts. Under a fixed price contract, we are required to deliver our products at a fixed price regardless of the actual costs we incur and absorb any costs in excess of the fixed price. Estimating costs that are related to performance in accordance with contract specifications is difficult. Our failure to anticipate technical problems, estimate costs accurately or control costs during performance of a fixed price contract could reduce the profitability of a fixed price contract or cause a loss.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provisions in government contracts may harm our business, financial condition and operating results.</w:t>
      </w:r>
    </w:p>
    <w:p>
      <w:pPr>
        <w:spacing w:after="0" w:line="139"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Government contracts customarily contain provisions that give the government substantial rights and remedies, many of which are not typically found in commercial contracts, including provisions that allow the government to:</w:t>
      </w:r>
    </w:p>
    <w:p>
      <w:pPr>
        <w:spacing w:after="0" w:line="38" w:lineRule="exact"/>
        <w:rPr>
          <w:sz w:val="20"/>
          <w:szCs w:val="20"/>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terminate existing contracts, in whole or in part, for any reason or no reason;</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reduce or modify contracts or subcontracts;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cancel multi-year contracts and related orders if funds for contract performance for any subsequent year become unavailable;</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decline to exercise an option to renew a contract;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exercise an option to purchase only the minimum amount specified in a contract;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decline to exercise an option to purchase the maximum amount specified in a contract;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claim rights in products, including intellectual property, developed under the contract;</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suspend or debar the contractor from doing business with the government or a specific government agency;</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15" w:name="page16"/>
    <w:bookmarkEnd w:id="15"/>
    <w:p>
      <w:pPr>
        <w:ind w:left="220" w:hanging="210"/>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pursue criminal or civil remedies under the False Claims Act and False Statements Act; and</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control or prohibit the export of products.</w:t>
      </w:r>
    </w:p>
    <w:p>
      <w:pPr>
        <w:spacing w:after="0" w:line="11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Generally, government contracts, including our U.S. government contracts for BioThrax, contain provisions permitting unilateral termination or modification, in whole or in part, at the government’s convenience. Under general principles of government contracting law, if the government terminates a contract for convenience, the terminated company may recover only its incurred or committed costs, settlement expenses and profit on work completed prior to the termination. If the government terminates a contract for default, the defaulting company is entitled to recover costs incurred and associated profits on accepted items only and may be liable for excess costs incurred by the government in procuring undelivered items from another source. One or more of our government contracts could be terminated under these circumstances.</w:t>
      </w:r>
    </w:p>
    <w:p>
      <w:pPr>
        <w:spacing w:after="0" w:line="102" w:lineRule="exact"/>
        <w:rPr>
          <w:sz w:val="20"/>
          <w:szCs w:val="20"/>
          <w:color w:val="auto"/>
        </w:rPr>
      </w:pPr>
    </w:p>
    <w:p>
      <w:pPr>
        <w:ind w:right="300"/>
        <w:spacing w:after="0" w:line="247" w:lineRule="auto"/>
        <w:rPr>
          <w:sz w:val="20"/>
          <w:szCs w:val="20"/>
          <w:color w:val="auto"/>
        </w:rPr>
      </w:pPr>
      <w:r>
        <w:rPr>
          <w:rFonts w:ascii="Arial" w:cs="Arial" w:eastAsia="Arial" w:hAnsi="Arial"/>
          <w:sz w:val="17"/>
          <w:szCs w:val="17"/>
          <w:color w:val="auto"/>
        </w:rPr>
        <w:t>Some government contracts grant the government the right to use, for or on behalf of the U.S. government, any technologies developed by the contractor under the government contract. If we were to develop technology under a contract with such a provision, we might not be able to prohibit third parties, including our competitors, from using that technology in providing products and services to the government.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Ongoing legal proceedings or any future similar lawsuits could limit future purchases of BioThrax by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w:t>
      </w:r>
    </w:p>
    <w:p>
      <w:pPr>
        <w:spacing w:after="0" w:line="11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results of ongoing or future legal proceedings could reduce demand for BioThrax by the U.S. government. Prior to the issuance of an order in December 2005 by the FDA and an appellate court ruling in February 2006, the DoD had been enjoined by a court order from administering BioThrax on a mandatory basis without informed consent of the recipient or a Presidential waiver. Although we are not a party to this lawsuit, if further proceedings or any similar lawsuits result in another injunction or otherwise restrict the administration of BioThrax by the DoD, the amount of future purchases of BioThrax by the DoD could be limited. In October 2006, the DoD announced that it is resuming a mandatory vaccination program for BioThrax for designated military personnel and emergency-essential and comparable civilian personnel. Lawsuits brought against us by third parties, even if not successful, require us to spend time and money defending the related litigation. Furthermore, contractual indemnification provisions and statutory liability protections may not fully protect us from all related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financial position and need for additional financing</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may not maintain profitability in future periods or on a consistent basis.</w:t>
      </w:r>
    </w:p>
    <w:p>
      <w:pPr>
        <w:spacing w:after="0" w:line="13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have a limited operating history. We commenced operations in 1998, and the FDA approved the manufacture of BioThrax at our renovated facilities in Lansing, Michigan in December 2001. Although we were profitable for each of the last three fiscal years, we have not been profitable for every quarter during that time. In addition, we were not profitable for the nine months ended September 30, 2006. We may not be able to achieve consistent profitability on a quarterly basis or sustain or increase profitability on an annual basis. Our profitability is substantially dependent on revenues from BioThrax product sales. Revenues from BioThrax product sales have fluctuated significantly in recent quarters and may continue to fluctuate significantly from quarter to quarter based on the timing of our fulfilling orders from the U.S. government. If we are unable to maintain profitability on a consistent basis, the market price of our common stock may decline, and you could lose part or all of your investment.</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7" w:right="105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Our indebtedness may limit cash flow available to invest in the ongoing needs of our business.</w:t>
      </w:r>
    </w:p>
    <w:p>
      <w:pPr>
        <w:spacing w:after="0" w:line="139"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As of September 30, 2006, we had $ 36.5 million principal amount of debt outstanding and remaining borrowing availability of $7.8 million under our revolving lines of credit. Our business plan also contemplates that we will raise $10 million to $20 million of additional external debt financing to fund our facility expansion in Lansing, Michigan and to provide additional financial flexibility. We also may incur additional indebtedness beyond such amount.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Our leverage could have significant adverse consequences, including:</w:t>
      </w:r>
    </w:p>
    <w:p>
      <w:pPr>
        <w:spacing w:after="0" w:line="66" w:lineRule="exact"/>
        <w:rPr>
          <w:sz w:val="20"/>
          <w:szCs w:val="20"/>
          <w:color w:val="auto"/>
        </w:rPr>
      </w:pPr>
    </w:p>
    <w:p>
      <w:pPr>
        <w:ind w:left="220" w:right="140" w:hanging="210"/>
        <w:spacing w:after="0" w:line="250" w:lineRule="auto"/>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any cash flow from operations to the payment of interest on, and principal of, our debt, which will reduce the amounts available to fund working capital, capital expenditures, product development efforts and other general corporate purposes;</w:t>
      </w:r>
    </w:p>
    <w:p>
      <w:pPr>
        <w:spacing w:after="0" w:line="30" w:lineRule="exact"/>
        <w:rPr>
          <w:rFonts w:ascii="Arial" w:cs="Arial" w:eastAsia="Arial" w:hAnsi="Arial"/>
          <w:sz w:val="17"/>
          <w:szCs w:val="17"/>
          <w:color w:val="auto"/>
        </w:rPr>
      </w:pPr>
    </w:p>
    <w:p>
      <w:pPr>
        <w:ind w:left="220" w:hanging="210"/>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increasing the amount of interest that we have to pay on debt with variable interest rates if market rates of interest increase;</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the industry in which we compete; and</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to our competitors that have less debt.</w:t>
      </w:r>
    </w:p>
    <w:p>
      <w:pPr>
        <w:spacing w:after="0" w:line="11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may not have sufficient funds or may be unable to arrange for additional financing to pay the amounts due under our existing debt. In addition, a failure to comply with the covenants under our existing debt instruments could result in an event of default under those instruments. In the event of an acceleration of amounts due under our debt instruments as a result of an event of default, we may not have sufficient funds or may be unable to arrange for additional financing to repay our indebtedness or to make any accelerated payments, and the lenders could seek to enforce security interests in the collateral securing such indebtedness. Because of the covenants under our existing debt instruments and the pledge of our existing assets as collateral, we have a limited ability to obtain additional debt financing.</w:t>
      </w:r>
    </w:p>
    <w:p>
      <w:pPr>
        <w:spacing w:after="0" w:line="134" w:lineRule="exact"/>
        <w:rPr>
          <w:sz w:val="20"/>
          <w:szCs w:val="20"/>
          <w:color w:val="auto"/>
        </w:rPr>
      </w:pPr>
    </w:p>
    <w:p>
      <w:pPr>
        <w:ind w:right="660"/>
        <w:spacing w:after="0" w:line="283" w:lineRule="auto"/>
        <w:rPr>
          <w:sz w:val="20"/>
          <w:szCs w:val="20"/>
          <w:color w:val="auto"/>
        </w:rPr>
      </w:pPr>
      <w:r>
        <w:rPr>
          <w:rFonts w:ascii="Arial" w:cs="Arial" w:eastAsia="Arial" w:hAnsi="Arial"/>
          <w:sz w:val="17"/>
          <w:szCs w:val="17"/>
          <w:b w:val="1"/>
          <w:bCs w:val="1"/>
          <w:i w:val="1"/>
          <w:iCs w:val="1"/>
          <w:color w:val="auto"/>
        </w:rPr>
        <w:t>We expect to require additional funding and may be unable to raise capital when needed, which would harm our business, financial condition and operating results.</w:t>
      </w:r>
    </w:p>
    <w:p>
      <w:pPr>
        <w:spacing w:after="0" w:line="7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expect our development expenses to increase in connection with our ongoing activities, particularly as we conduct additional and later stage clinical trials for our product candidates. In addition, we incur significant commercialization expenses for BioThrax product sales, marketing and manufacturing. We expect these commercialization expenses to increase in the future as we seek to broaden the market for BioThrax and if we receive marketing approval for additional products. We also are committed to substantial capital expenditures in connection with our facility expansion in Lansing, Michigan.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anticipate that we will incur up to approximately $35 million for these purposes during 2006, of which we had incurred approximately $21 million through September 2006. In addition, we expect to incur substantial capital expenditures in connection with our planned build out of two buildings in Frederick, Maryland as future manufacturing facilities. We anticipate that we will incur up to $1 million related to initial engineering design and preliminary utility build out for these facilities during 2006, of which we had incurred approximately $234,000 through September 30, 2006.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17" w:name="page18"/>
    <w:bookmarkEnd w:id="17"/>
    <w:p>
      <w:pPr>
        <w:spacing w:after="0" w:line="244" w:lineRule="auto"/>
        <w:rPr>
          <w:sz w:val="20"/>
          <w:szCs w:val="20"/>
          <w:color w:val="auto"/>
        </w:rPr>
      </w:pPr>
      <w:r>
        <w:rPr>
          <w:rFonts w:ascii="Arial" w:cs="Arial" w:eastAsia="Arial" w:hAnsi="Arial"/>
          <w:sz w:val="17"/>
          <w:szCs w:val="17"/>
          <w:color w:val="auto"/>
        </w:rPr>
        <w:t>We expect to continue to fund a significant portion of our development and commercialization costs for our product candidates with internally generated funds from sales of BioThrax. If we do not obtain future contracts with, and deliver BioThrax to, the DoD and HHS, we may be forced to find additional sources of funding and to do so earlier than we currently anticipate. Our business plan currently contemplates that we will raise $ 10 million to $20 million of additional external debt financing to fund our facility expansion in Lansing and to provide additional financial flexibility. We may not be able to obtain this financing or otherwise be able to raise capital when needed or on attractive terms, which would force us to delay, reduce the scope of or eliminate our research and development programs or reduce our planned commercialization efforts.</w:t>
      </w:r>
    </w:p>
    <w:p>
      <w:pPr>
        <w:spacing w:after="0" w:line="102"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color w:val="auto"/>
        </w:rPr>
        <w:t>As of September 30, 2006, we had $19.9 million of cash and cash equivalents. We believe that the net proceeds from this offering, together with our existing cash and cash equivalents, revenues from BioThrax product sales and other committed sources of funds, will be sufficient to enable us to fund our anticipated operating expenses and capital expenditure and debt service requirements for at least the next 24 months. Our future capital requirements will depend on many factors, including:</w:t>
      </w:r>
    </w:p>
    <w:p>
      <w:pPr>
        <w:spacing w:after="0" w:line="99" w:lineRule="exact"/>
        <w:rPr>
          <w:sz w:val="20"/>
          <w:szCs w:val="20"/>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level and timing of BioThrax product sales and cost of product sales;</w:t>
      </w:r>
    </w:p>
    <w:p>
      <w:pPr>
        <w:spacing w:after="0" w:line="105" w:lineRule="exact"/>
        <w:rPr>
          <w:rFonts w:ascii="Arial" w:cs="Arial" w:eastAsia="Arial" w:hAnsi="Arial"/>
          <w:sz w:val="17"/>
          <w:szCs w:val="17"/>
          <w:color w:val="auto"/>
        </w:rPr>
      </w:pPr>
    </w:p>
    <w:p>
      <w:pPr>
        <w:ind w:left="220" w:right="200" w:hanging="210"/>
        <w:spacing w:after="0" w:line="258"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of, and the costs involved in, constructing our new manufacturing facility in Lansing, Michigan and the build out of our manufacturing facilities in Frederick, Maryland;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scope, progress, results and costs of our preclinical and clinical development activities;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and development requirements for, other product candidates that we may pursue;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commercialization activities, including product marketing, sales and distribution;</w:t>
      </w:r>
    </w:p>
    <w:p>
      <w:pPr>
        <w:spacing w:after="0" w:line="105" w:lineRule="exact"/>
        <w:rPr>
          <w:rFonts w:ascii="Arial" w:cs="Arial" w:eastAsia="Arial" w:hAnsi="Arial"/>
          <w:sz w:val="17"/>
          <w:szCs w:val="17"/>
          <w:color w:val="auto"/>
        </w:rPr>
      </w:pPr>
    </w:p>
    <w:p>
      <w:pPr>
        <w:ind w:left="220" w:right="320" w:hanging="210"/>
        <w:spacing w:after="0" w:line="258"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and enforcing patent claims and other patent-related costs, including litigation costs and the results of such litigation;</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obtain development funding from government entities and non-government and philanthropic organizations;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such as our collaboration with Sanofi Pasteur.</w:t>
      </w:r>
    </w:p>
    <w:p>
      <w:pPr>
        <w:spacing w:after="0" w:line="11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To the extent our capital resources are insufficient to meet our future capital requirements, we will need to finance our cash needs through public or private equity offerings, debt financings or corporate collaboration and licensing arrangements. In addition to purchase obligations and orders under our contracts with the DoD and HHS for BioThrax sales, our only committed external sources of funds are remaining borrowing availability under our revolving lines of credit, development funding under our collaboration agreement with Sanofi Pasteur, funding from NIAID for animal efficacy studies of our anthrax immune globulin candidate and funding from the Wellcome Trust for our Phase II clinical trial of our typhoid vaccine candidate in Vietnam. Our ability to borrow additional amounts under our loan agreements is subject to our satisfaction of specified conditions. Additional equity or debt financing, grants, or corporate collaboration and licensing arrangements, may not be available on acceptable terms, if at all.</w:t>
      </w:r>
    </w:p>
    <w:p>
      <w:pPr>
        <w:spacing w:after="0" w:line="302"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8" w:name="page19"/>
    <w:bookmarkEnd w:id="18"/>
    <w:p>
      <w:pPr>
        <w:spacing w:after="0" w:line="247" w:lineRule="auto"/>
        <w:rPr>
          <w:sz w:val="20"/>
          <w:szCs w:val="20"/>
          <w:color w:val="auto"/>
        </w:rPr>
      </w:pPr>
      <w:r>
        <w:rPr>
          <w:rFonts w:ascii="Arial" w:cs="Arial" w:eastAsia="Arial" w:hAnsi="Arial"/>
          <w:sz w:val="17"/>
          <w:szCs w:val="17"/>
          <w:color w:val="auto"/>
        </w:rPr>
        <w:t>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manufacturing and manufacturing facilities</w:t>
      </w:r>
    </w:p>
    <w:p>
      <w:pPr>
        <w:spacing w:after="0" w:line="124"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i w:val="1"/>
          <w:iCs w:val="1"/>
          <w:color w:val="auto"/>
        </w:rPr>
        <w:t>We have initiated a manufacturing facility expansion program. Delays in completing and receiving regulatory approvals for these manufacturing facility projects could limit our potential revenues and growth.</w:t>
      </w:r>
    </w:p>
    <w:p>
      <w:pPr>
        <w:spacing w:after="0" w:line="70"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are spending significant amounts for the construction of a new 50,000 square foot manufacturing facility on our Lansing, Michigan campus, which is being designed to enable us to manufacture BioThrax on a large scale for our existing and potential future customers. We are also constructing this new facility to accommodate large scale commercial manufacturing of multiple vaccine products, subject to complying with appropriate change-over procedures.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anticipate that we will incur up to approximately $35 million for these purposes during 2006, of which we had incurred approximately $21 million through September 30, 2006. In addition, we own two buildings in Frederick, Maryland that we plan to build out as future manufacturing facilities. We anticipate that we will incur up to $1 million related to initial engineering design and preliminary utility build out for these facilities during 2006, of which we had incurred approximately $234,000 through September 30, 2006.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w:t>
      </w:r>
    </w:p>
    <w:p>
      <w:pPr>
        <w:spacing w:after="0" w:line="10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Constructing and preparing a facility for commercial vaccine manufacturing is a significant project. For example, constructing the new Lansing facility with increased manufacturing capacity requires that we scale up both fermentation and downstream processing compared to levels at our existing production facility. These projects may result in unanticipated delays and cost more than expected due to a number of factors, including regulatory requirements. The FDA must approve our new manufacturing facilities before they can be used to commercially manufacture our products. For example, we are required to show that the product we manufacture in our new Lansing facility is comparable to BioThrax manufactured at our existing facility. The costs and time required to comply with the FDA’s current Good Manufacturing Practice, or cGMP, regulations, or similar regulatory requirements for sales of our products outside the United States, may be significant. If construction or regulatory approval of our new facility in Lansing is delayed, we may not be able to manufacture sufficient quantities of BioThrax to allow us to increase sales of BioThrax to the U.S. government and other customers, which would limit our opportunities for growth. If construction or regulatory approval of our new manufacturing facilities at our Frederick site is delayed, we may not be able to independently manufacture our commercial product candidates for clinical trials or commercial sale. Cost overruns associated with constructing either our Lansing or Frederick facilities could require us to raise additional funds from external sources. We may not be able to do so on favorable terms or at all.</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9" w:name="page20"/>
    <w:bookmarkEnd w:id="19"/>
    <w:p>
      <w:pPr>
        <w:ind w:right="420"/>
        <w:spacing w:after="0" w:line="283" w:lineRule="auto"/>
        <w:rPr>
          <w:sz w:val="20"/>
          <w:szCs w:val="20"/>
          <w:color w:val="auto"/>
        </w:rPr>
      </w:pPr>
      <w:r>
        <w:rPr>
          <w:rFonts w:ascii="Arial" w:cs="Arial" w:eastAsia="Arial" w:hAnsi="Arial"/>
          <w:sz w:val="17"/>
          <w:szCs w:val="17"/>
          <w:b w:val="1"/>
          <w:bCs w:val="1"/>
          <w:i w:val="1"/>
          <w:iCs w:val="1"/>
          <w:color w:val="auto"/>
        </w:rPr>
        <w:t>BioThrax and our immunobiotic product candidates are difficult to manufacture on a large scale commercial basis, which could cause us to delay product launches or experience shortages of products.</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BioThrax and all our product candidates are biologics. Manufacturing biologic products, especially in large quantities, is complex. The products must be made consistently and in substantial compliance with a clearly defined manufacturing process. Accordingly, it is essential to be able to validate and control the manufacturing process to assure that it is reproducible. Slight deviations anywhere in the manufacturing process, including filling, labeling and packaging and quality control and testing, may result in lot failures or product recalls. From time to time, we experience deviations during the manufacturing process of BioThrax that can affect our release of the production lot according to our release protocols and other acceptance criteria. Lot failures or product recalls could cause us to fail to satisfy customer orders or contractual commitments, lead to a termination of one or more of our contracts or result in litigation or regulatory action against us, any of which could be costly to us and otherwise harm our business.</w:t>
      </w:r>
    </w:p>
    <w:p>
      <w:pPr>
        <w:spacing w:after="0" w:line="3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For example, in late 2005, our standard product release testing identified BioThrax production lots for which follow up testing was required to determine whether we can submit these lots to the FDA for release for sale. We waited to conduct final release testing of these lots pending FDA review of an application that we submitted to amend the BioThrax release specifications. The FDA approved our amendment to the release specifications in May 2006, and we subsequently reinitiated release testing of these BioThrax lots. All of these BioThrax lots have since been released for sale by the FDA. We will not be able to sell any lots that in the future fail to satisfy release testing specifications or that are not released for sale by the FDA.</w:t>
      </w:r>
    </w:p>
    <w:p>
      <w:pPr>
        <w:spacing w:after="0" w:line="189" w:lineRule="exact"/>
        <w:rPr>
          <w:sz w:val="20"/>
          <w:szCs w:val="20"/>
          <w:color w:val="auto"/>
        </w:rPr>
      </w:pPr>
    </w:p>
    <w:p>
      <w:pPr>
        <w:ind w:right="740"/>
        <w:spacing w:after="0" w:line="283" w:lineRule="auto"/>
        <w:rPr>
          <w:sz w:val="20"/>
          <w:szCs w:val="20"/>
          <w:color w:val="auto"/>
        </w:rPr>
      </w:pPr>
      <w:r>
        <w:rPr>
          <w:rFonts w:ascii="Arial" w:cs="Arial" w:eastAsia="Arial" w:hAnsi="Arial"/>
          <w:sz w:val="17"/>
          <w:szCs w:val="17"/>
          <w:b w:val="1"/>
          <w:bCs w:val="1"/>
          <w:i w:val="1"/>
          <w:iCs w:val="1"/>
          <w:color w:val="auto"/>
        </w:rPr>
        <w:t>Disruption at, damage to or destruction of our manufacturing facilities could impede our ability to manufacture BioThrax, which would harm our business, financial condition and operating results.</w:t>
      </w:r>
    </w:p>
    <w:p>
      <w:pPr>
        <w:spacing w:after="0" w:line="70"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color w:val="auto"/>
        </w:rPr>
        <w:t>We currently rely on our manufacturing facilities at a single location in Lansing, Michigan for the production of BioThrax. Any interruption in manufacturing operations at this location could result in our inability to satisfy the product demands of our customers. A number of factors could cause interruptions, including:</w:t>
      </w:r>
    </w:p>
    <w:p>
      <w:pPr>
        <w:spacing w:after="0" w:line="96" w:lineRule="exact"/>
        <w:rPr>
          <w:sz w:val="20"/>
          <w:szCs w:val="20"/>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equipment malfunctions or failures;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technology malfunctions;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work stoppages;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damage to or destruction of the facility due to natural disasters;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regional power shortages;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tampering; or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terrorist activities.</w:t>
      </w:r>
    </w:p>
    <w:p>
      <w:pPr>
        <w:spacing w:after="0" w:line="119"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Any disruption that impedes our ability to manufacture and ship BioThrax in a timely manner could reduce our revenues and materially harm our business, financial condition and operating results.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Our business may be harmed if we do not adequately forecast customer demand.</w:t>
      </w:r>
    </w:p>
    <w:p>
      <w:pPr>
        <w:spacing w:after="0" w:line="13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timing and amount of customer demand is difficult to predict. We may not be able to scale up our production quickly enough to fill any new customer orders on a timely basis. This could cause us to lose new business and possibly existing business. For example, under our BioThrax supply contract with the DoD, the DoD is obligated to acquire a minimum number of doses of BioThrax and has the right to acquire up to a maximum number of doses. If the DoD elects to purchase the maximum number of doses of BioThrax under the contract, we may not have sufficient available production capacity at our existing manufacturing facility in Lansing to allow us to increase sales of BioThrax to customers other than the U.S. government. In addition, we may not be able to scale up manufacturing processes for our product candidates to allow production of commercial quantities at a reasonable cost or at all. Furthermore, if we overestimate customer demand, we could incur significant unrecoverable costs from creating excess capacity. For example, if we do not maintain and increase sales of BioThrax to the U.S. government and other customers, we may not be able to generate an adequate return on the significant amounts that we are spending for construction of our new manufacturing facility in Lansing. In addition, if we do not successfully develop and commercialize any of our product candidates, we may never require the production capacity that we expect to have available at our Frederick site.</w:t>
      </w:r>
    </w:p>
    <w:p>
      <w:pPr>
        <w:spacing w:after="0" w:line="194"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b w:val="1"/>
          <w:bCs w:val="1"/>
          <w:i w:val="1"/>
          <w:iCs w:val="1"/>
          <w:color w:val="auto"/>
        </w:rPr>
        <w:t>If third parties do not manufacture our product candidates in sufficient quantities and at an acceptable cost or in compliance with regulatory requirements and specifications, the development and commercialization of our product candidates could be delayed, prevented or impaired.</w:t>
      </w:r>
    </w:p>
    <w:p>
      <w:pPr>
        <w:spacing w:after="0" w:line="8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currently rely on third parties to manufacture the supplies of our immunobiotic product candidates that we require for preclinical and clinical development. Any significant delay in obtaining adequate supplies of our product candidates could adversely affect our ability to develop or commercialize these product candidates. Although we recently commissioned a new pilot plant manufacturing facility on our Lansing campus and plan to construct a pilot plant in Maryland for production of preclinical and clinical supplies of our product candidates, we expect that we will continue to use third parties for these purposes. In addition, we expect that we will rely on third parties for a portion of the manufacturing process for commercial supplies of product candidates that we successfully develop, including fermentation for some of our vaccine product candidates, plasma fractionation and purification for our immune globulin product candidates and contract fill and finish operations. Our current and anticipated future dependence upon others for the manufacture of our product candidates may adversely affect our ability to develop product candidates and commercialize any products that receive regulatory approval on a timely and competitive basis.</w:t>
      </w:r>
    </w:p>
    <w:p>
      <w:pPr>
        <w:spacing w:after="0" w:line="10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Our only long-term manufacturing agreements are our agreement with Talecris Biotherapeutics, Inc., for fractionation and purification of plasma for our anthrax immune globulin candidate, and our collaboration with HPA, under which HPA provides specialized manufacturing capabilities for our recombinant bivalent botulinum vaccine candidate and the bivalent botulinum toxoid vaccine that we plan to use as the basis for our botulinum immune globulin candidate. Third party manufacturers under our short-term supply agreements are not obligated to accept any purchase orders we may submit. If any third party terminates its agreement with us, based on its own business priorities, or otherwise fails to fulfill our purchase orders, we would need to rely on alternative sources to satisfy our requirements. If these alternative suppliers are not available or are delayed in fulfilling our requirements, we may not be able to obtain adequate supplies of our product candidates on a timely basis. A change of manufacturers may require review from the FDA and satisfaction of comparable foreign requirements. This review may be costly and time consuming. There are a limited number of manufacturers that operate under the FDA’s cGMP requirements and that are both capable of manufacturing for us and willing to do so.</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21" w:name="page22"/>
    <w:bookmarkEnd w:id="21"/>
    <w:p>
      <w:pPr>
        <w:ind w:right="120"/>
        <w:spacing w:after="0" w:line="243" w:lineRule="auto"/>
        <w:rPr>
          <w:sz w:val="20"/>
          <w:szCs w:val="20"/>
          <w:color w:val="auto"/>
        </w:rPr>
      </w:pPr>
      <w:r>
        <w:rPr>
          <w:rFonts w:ascii="Arial" w:cs="Arial" w:eastAsia="Arial" w:hAnsi="Arial"/>
          <w:sz w:val="17"/>
          <w:szCs w:val="17"/>
          <w:color w:val="auto"/>
        </w:rPr>
        <w:t>We currently rely on third parties for regulatory compliance and quality assurance with respect to the supplies of our product candidates that they produce for us. We also will rely for these purposes on any third party that we use for production of commercial supplies of product candidates that we successfully develop. Manufacturers are subject to ongoing, periodic, unannounced inspection by the FDA and corresponding state and foreign agencies or their designees to ensure strict compliance with cGMP regulations and other governmental regulations and corresponding foreign standards. We cannot be certain that our present or future manufacturers will be able to comply with cGMP regulations and other FDA regulatory requirements or similar regulatory requirements outside the United States. We do not control compliance by manufacturers with these regulations and standards. If we or these third parties fail to comply with applicable regulations, sanctions could be imposed on us, which could significantly and adversely affect supplies of our product candidates. The sanctions that might be imposed include:</w:t>
      </w:r>
    </w:p>
    <w:p>
      <w:pPr>
        <w:spacing w:after="0" w:line="301" w:lineRule="exact"/>
        <w:rPr>
          <w:sz w:val="20"/>
          <w:szCs w:val="20"/>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refusal by regulatory authorities to grant marketing approval of our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delays, suspension or withdrawal of regulatory approvals, including license revocation;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seizures or recalls of product candidates or products;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operating restrictions;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criminal prosecutions.</w:t>
      </w:r>
    </w:p>
    <w:p>
      <w:pPr>
        <w:spacing w:after="0" w:line="11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If as a result of regulatory requirements or otherwise we or third parties are unable to manufacture our product candidates at an acceptable cost, our product candidates may not be commercially viable.</w:t>
      </w:r>
    </w:p>
    <w:p>
      <w:pPr>
        <w:spacing w:after="0" w:line="175"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b w:val="1"/>
          <w:bCs w:val="1"/>
          <w:i w:val="1"/>
          <w:iCs w:val="1"/>
          <w:color w:val="auto"/>
        </w:rPr>
        <w:t>Our use of hazardous materials, chemicals, bacteria and viruses requires us to comply with regulatory requirements and exposes us to significant potential liabilities.</w:t>
      </w:r>
    </w:p>
    <w:p>
      <w:pPr>
        <w:spacing w:after="0" w:line="70"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Our development and manufacturing processes involve the use of hazardous materials, including chemicals, bacteria, viruses and radioactive materials, and produce waste products. Accordingly, we are subject to federal, state, local and foreign laws and regulations governing the use, manufacture, distribution, storage, handling, disposal and recordkeeping of these materials. In addition to complying with environmental and occupational health and safety laws, we must comply with special regulations relating to biosafety administered by the CDC, HHS and the DoD.</w:t>
      </w:r>
    </w:p>
    <w:p>
      <w:pPr>
        <w:spacing w:after="0" w:line="102"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0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also are subject to export control regulations governing the export of BioThrax and technology and materials used to develop and manufacture BioThrax and our product candidates. If we fail to comply with environmental, occupational health and safety, biosafety and export control laws, we could be held liable for fines, penalties and damages that result, and any such liability could exceed our assets and resources. In addition, we could be required to cease immediately all use of a select agent or toxin, and we could be prohibited from exporting our products, technology and materials.</w:t>
      </w:r>
    </w:p>
    <w:p>
      <w:pPr>
        <w:spacing w:after="0" w:line="102"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Our general liability and umbrella insurance policies provide for coverage up to annual aggregate limits of $12 million with a deductible of $15,000 per occurrence, but exclude coverage for liabilities relating to</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2" w:name="page23"/>
    <w:bookmarkEnd w:id="22"/>
    <w:p>
      <w:pPr>
        <w:ind w:right="220"/>
        <w:spacing w:after="0" w:line="245" w:lineRule="auto"/>
        <w:rPr>
          <w:sz w:val="20"/>
          <w:szCs w:val="20"/>
          <w:color w:val="auto"/>
        </w:rPr>
      </w:pPr>
      <w:r>
        <w:rPr>
          <w:rFonts w:ascii="Arial" w:cs="Arial" w:eastAsia="Arial" w:hAnsi="Arial"/>
          <w:sz w:val="17"/>
          <w:szCs w:val="17"/>
          <w:color w:val="auto"/>
        </w:rPr>
        <w:t>the release of pollutants. We do not currently hold insurance policies expressly providing for coverage relating to our use of hazardous materials other than storage tank liability insurance for our Lansing, Michigan facility with a $1 million annual aggregate limit and a deductible of $10,000 per claim. The insurance that we currently hold may not be adequate to cover all liabilities relating to accidental contamination or injury as a result of pollution conditions or other extraordinary or unanticipated events.</w:t>
      </w:r>
    </w:p>
    <w:p>
      <w:pPr>
        <w:spacing w:after="0" w:line="187"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i w:val="1"/>
          <w:iCs w:val="1"/>
          <w:color w:val="auto"/>
        </w:rPr>
        <w:t>If the company on whom we rely for filling BioThrax vials is unable to perform these services for us, our business may suffer.</w:t>
      </w:r>
    </w:p>
    <w:p>
      <w:pPr>
        <w:spacing w:after="0" w:line="7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have outsourced the operation for filling BioThrax into vials to a single company, Hollister-Stier Laboratories LLC. Our contract with Hollister-Stier expires on December 31, 2007. We have not established internal redundancy for our filling functions and currently have no substitute provider that can handle our filling needs. If Hollister-Stier is unable to perform filling services for us or we are unable to enter into a new contract with Hollister-Stier, we would need to identify and engage an alternative filling company. Any new contract filling company will need to obtain FDA approval for filling BioThrax at its facilities. Identifying and engaging a new contract filling company and obtaining FDA approval could involve significant cost and delay. As a result, we might not be able to deliver BioThrax orders on a timely basis and our revenues could decrease.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product development</w:t>
      </w:r>
    </w:p>
    <w:p>
      <w:pPr>
        <w:spacing w:after="0" w:line="12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i w:val="1"/>
          <w:iCs w:val="1"/>
          <w:color w:val="auto"/>
        </w:rPr>
        <w:t>Our business depends significantly on our success in completing development and commercializing product candidates that are still under development. If we are unable to commercialize these product candidates, or experience significant delays in doing so, our business will be materially harmed.</w:t>
      </w:r>
    </w:p>
    <w:p>
      <w:pPr>
        <w:spacing w:after="0" w:line="87"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have invested a significant portion of our efforts and financial resources in the development of our immunobiotic product candidates. In addition to BioThrax product sales, our ability to generate near term revenue is particularly dependent on the success of our anthrax immune globulin candidate, which is currently in preclinical development. The commercial success of our product candidates will depend on many factors, including:</w:t>
      </w:r>
    </w:p>
    <w:p>
      <w:pPr>
        <w:spacing w:after="0" w:line="99" w:lineRule="exact"/>
        <w:rPr>
          <w:sz w:val="20"/>
          <w:szCs w:val="20"/>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 completion of preclinical development;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 completion of clinical trials;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receipt of marketing approvals from the FDA and similar foreign regulatory authorities;</w:t>
      </w:r>
    </w:p>
    <w:p>
      <w:pPr>
        <w:spacing w:after="0" w:line="105" w:lineRule="exact"/>
        <w:rPr>
          <w:rFonts w:ascii="Arial" w:cs="Arial" w:eastAsia="Arial" w:hAnsi="Arial"/>
          <w:sz w:val="17"/>
          <w:szCs w:val="17"/>
          <w:color w:val="auto"/>
        </w:rPr>
      </w:pPr>
    </w:p>
    <w:p>
      <w:pPr>
        <w:ind w:left="220" w:right="600" w:hanging="210"/>
        <w:spacing w:after="0" w:line="258" w:lineRule="auto"/>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determination by the Secretary of HHS that our biodefense product candidates should be purchased for the strategic national stockpile prior to FDA approval;</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establishing commercial manufacturing processes or arrangements;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launching commercial sales of the product, whether alone or in collaboration with others; and</w:t>
      </w:r>
    </w:p>
    <w:p>
      <w:pPr>
        <w:spacing w:after="0" w:line="105" w:lineRule="exact"/>
        <w:rPr>
          <w:rFonts w:ascii="Arial" w:cs="Arial" w:eastAsia="Arial" w:hAnsi="Arial"/>
          <w:sz w:val="17"/>
          <w:szCs w:val="17"/>
          <w:color w:val="auto"/>
        </w:rPr>
      </w:pPr>
    </w:p>
    <w:p>
      <w:pPr>
        <w:ind w:left="220" w:right="500" w:hanging="210"/>
        <w:spacing w:after="0" w:line="258" w:lineRule="auto"/>
        <w:tabs>
          <w:tab w:leader="none" w:pos="2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acceptance of the product by potential government customers, physicians, patients, healthcare payors and others in the medical community.</w:t>
      </w:r>
    </w:p>
    <w:p>
      <w:pPr>
        <w:spacing w:after="0" w:line="90"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expect to rely on FDA regulations known as the animal rule to obtain approval for our biodefense product candidates. The animal rule permits the use of animal efficacy studies together with human clinical safety and immunogenicity trials to support an application for marketing approval. These regulations are relatively new, and we have limited experience in the application of these rules to the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3" w:name="page24"/>
    <w:bookmarkEnd w:id="23"/>
    <w:p>
      <w:pPr>
        <w:ind w:right="120"/>
        <w:spacing w:after="0" w:line="244" w:lineRule="auto"/>
        <w:rPr>
          <w:sz w:val="20"/>
          <w:szCs w:val="20"/>
          <w:color w:val="auto"/>
        </w:rPr>
      </w:pPr>
      <w:r>
        <w:rPr>
          <w:rFonts w:ascii="Arial" w:cs="Arial" w:eastAsia="Arial" w:hAnsi="Arial"/>
          <w:sz w:val="17"/>
          <w:szCs w:val="17"/>
          <w:color w:val="auto"/>
        </w:rPr>
        <w:t>product candidates that we are developing. It is possible that results from these animal efficacy studies may not be predictive of the actual efficacy of our immunobiotic product candidates in humans. In addition, our development plans for our botulinum immune globulin candidate require the development of a new botulinum toxoid vaccine that we would use to vaccinate individuals who would then donate plasma for use in our botulinum immune globulin candidate. If the development of this new botulinum toxoid vaccine is delayed or not completed, for regulatory or other reasons, we may not be able to successfully develop our botulinum immune globulin candidate.</w:t>
      </w:r>
    </w:p>
    <w:p>
      <w:pPr>
        <w:spacing w:after="0" w:line="104"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If we are not successful in completing the development and commercialization of our immunobiotic product candidates, or if we are significantly delayed in doing so, our business will be materially harmed.</w:t>
      </w:r>
    </w:p>
    <w:p>
      <w:pPr>
        <w:spacing w:after="0" w:line="175"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b w:val="1"/>
          <w:bCs w:val="1"/>
          <w:i w:val="1"/>
          <w:iCs w:val="1"/>
          <w:color w:val="auto"/>
        </w:rPr>
        <w:t>We will not be able to commercialize our product candidates if our preclinical development efforts are not successful, our clinical trials do not demonstrate safety or our clinical trials or animal studies do not demonstrate efficacy.</w:t>
      </w:r>
    </w:p>
    <w:p>
      <w:pPr>
        <w:spacing w:after="0" w:line="7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Before obtaining regulatory approval for the sale of our product candidates, we must conduct extensive preclinical development, clinical trials to demonstrate the safety of our product candidates and clinical or animal trials to demonstrate the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 failure of one or more of our clinical trials or animal efficacy studies can occur at any stage of testing. We may experience numerous unforeseen events during, or as a result of, preclinical testing and the clinical trial or animal efficacy study process that could delay or prevent our ability to receive regulatory approval or commercialize our product candidates, including:</w:t>
      </w:r>
    </w:p>
    <w:p>
      <w:pPr>
        <w:spacing w:after="0" w:line="302" w:lineRule="exact"/>
        <w:rPr>
          <w:sz w:val="20"/>
          <w:szCs w:val="20"/>
          <w:color w:val="auto"/>
        </w:rPr>
      </w:pPr>
    </w:p>
    <w:p>
      <w:pPr>
        <w:ind w:left="220" w:right="620" w:hanging="210"/>
        <w:spacing w:after="0" w:line="258"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authorize us to commence a clinical trial or conduct a clinical trial at a prospective trial site;</w:t>
      </w:r>
    </w:p>
    <w:p>
      <w:pPr>
        <w:spacing w:after="0" w:line="77" w:lineRule="exact"/>
        <w:rPr>
          <w:rFonts w:ascii="Arial" w:cs="Arial" w:eastAsia="Arial" w:hAnsi="Arial"/>
          <w:sz w:val="17"/>
          <w:szCs w:val="17"/>
          <w:color w:val="auto"/>
        </w:rPr>
      </w:pPr>
    </w:p>
    <w:p>
      <w:pPr>
        <w:jc w:val="both"/>
        <w:ind w:left="220" w:right="340" w:hanging="210"/>
        <w:spacing w:after="0" w:line="250"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additional preclinical testing or clinical trials, or we may abandon projects that we expect to be promising, if our preclinical tests, clinical trials or animal efficacy studies produce negative or inconclusive results;</w:t>
      </w:r>
    </w:p>
    <w:p>
      <w:pPr>
        <w:spacing w:after="0" w:line="83" w:lineRule="exact"/>
        <w:rPr>
          <w:rFonts w:ascii="Arial" w:cs="Arial" w:eastAsia="Arial" w:hAnsi="Arial"/>
          <w:sz w:val="17"/>
          <w:szCs w:val="17"/>
          <w:color w:val="auto"/>
        </w:rPr>
      </w:pPr>
    </w:p>
    <w:p>
      <w:pPr>
        <w:ind w:left="220" w:hanging="210"/>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might have to suspend or terminate our clinical trials if the participants are being exposed to unacceptable health risks;</w:t>
      </w:r>
    </w:p>
    <w:p>
      <w:pPr>
        <w:spacing w:after="0" w:line="105" w:lineRule="exact"/>
        <w:rPr>
          <w:rFonts w:ascii="Arial" w:cs="Arial" w:eastAsia="Arial" w:hAnsi="Arial"/>
          <w:sz w:val="17"/>
          <w:szCs w:val="17"/>
          <w:color w:val="auto"/>
        </w:rPr>
      </w:pPr>
    </w:p>
    <w:p>
      <w:pPr>
        <w:ind w:left="220" w:right="500" w:hanging="210"/>
        <w:spacing w:after="0" w:line="258"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regulators or institutional review boards may require that we hold, suspend or terminate clinical development for various reasons, including noncompliance with regulatory requirements;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our clinical trials may be greater than we currently anticipate;</w:t>
      </w:r>
    </w:p>
    <w:p>
      <w:pPr>
        <w:spacing w:after="0" w:line="105" w:lineRule="exact"/>
        <w:rPr>
          <w:rFonts w:ascii="Arial" w:cs="Arial" w:eastAsia="Arial" w:hAnsi="Arial"/>
          <w:sz w:val="17"/>
          <w:szCs w:val="17"/>
          <w:color w:val="auto"/>
        </w:rPr>
      </w:pPr>
    </w:p>
    <w:p>
      <w:pPr>
        <w:ind w:left="220" w:right="520" w:hanging="210"/>
        <w:spacing w:after="0" w:line="258"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regulatory approval we ultimately obtain may be limited or subject to restrictions or post-approval commitments that render the product not commercially viable; and</w:t>
      </w:r>
    </w:p>
    <w:p>
      <w:pPr>
        <w:spacing w:after="0" w:line="77" w:lineRule="exact"/>
        <w:rPr>
          <w:rFonts w:ascii="Arial" w:cs="Arial" w:eastAsia="Arial" w:hAnsi="Arial"/>
          <w:sz w:val="17"/>
          <w:szCs w:val="17"/>
          <w:color w:val="auto"/>
        </w:rPr>
      </w:pPr>
    </w:p>
    <w:p>
      <w:pPr>
        <w:ind w:left="220" w:right="320" w:hanging="210"/>
        <w:spacing w:after="0" w:line="258" w:lineRule="auto"/>
        <w:tabs>
          <w:tab w:leader="none" w:pos="2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effects of our product candidates may not be the desired effects or may include undesirable side effects or the product candidates may have other unexpected characteristics.</w:t>
      </w:r>
    </w:p>
    <w:p>
      <w:pPr>
        <w:spacing w:after="0" w:line="9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our clinical trials or other testing or if the results of these trials or tests are not positive, we may:</w:t>
      </w:r>
    </w:p>
    <w:p>
      <w:pPr>
        <w:spacing w:after="0" w:line="96" w:lineRule="exact"/>
        <w:rPr>
          <w:sz w:val="20"/>
          <w:szCs w:val="20"/>
          <w:color w:val="auto"/>
        </w:rPr>
      </w:pPr>
    </w:p>
    <w:p>
      <w:pPr>
        <w:ind w:left="4880" w:right="4260" w:hanging="4870"/>
        <w:spacing w:after="0" w:line="725" w:lineRule="auto"/>
        <w:tabs>
          <w:tab w:leader="none" w:pos="219"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-127635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4" w:name="page25"/>
    <w:bookmarkEnd w:id="24"/>
    <w:p>
      <w:pPr>
        <w:ind w:left="220" w:hanging="210"/>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 be able to obtain marketing approval; or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 approval for indications that are not as broad as intended.</w:t>
      </w:r>
    </w:p>
    <w:p>
      <w:pPr>
        <w:spacing w:after="0" w:line="11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For example, the FDA could require us to conduct additional clinical development in our botulinum immune globulin program that we currently do not plan to conduct. We expect to rely on safety and immunogenicity data from a pentavalent botulinum toxoid vaccine previously manufactured by the State of Michigan in the development of a new bivalent botulinum toxoid vaccine that we plan to use as the basis for our botulinum immune globulin candidate. We plan to conduct a Phase I clinical trial to evaluate the safety of the botulinum toxoid vaccine. If the results are favorable, we expect that the Phase I clinical trial will provide data sufficient to support an acceptable dose for the vaccine and the optimal dosing schedule. As a result, we anticipate that the FDA will not require us to conduct a Phase II clinical trial for the botulinum toxoid vaccine before permitting us to initiate a donor stimulation program for our botulinum immune globulin candidate. However, the FDA has not approved our plan to proceed directly to a donor stimulation program without conducting a Phase II clinical trial for the botulinum toxoid vaccine and may not do so. If the FDA requires us to conduct a Phase II clinical trial for the botulinum toxoid vaccine, the development plans for our botulinum immune globulin candidate will be delayed.</w:t>
      </w:r>
    </w:p>
    <w:p>
      <w:pPr>
        <w:spacing w:after="0" w:line="11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addition, our development plan for BioThrax as a post-exposure prophylaxis for anthrax infection contemplates that we will conduct a nonhuman primate efficacy study in late 2007. However, the timing of our nonhuman primate efficacy study depends upon the successful development of a nonhuman primate model by NIAID. If NIAID does not successfully develop a nonhuman primate model, our development plans for BioThrax as a post-exposure prophylaxis for anthrax infection will be delayed, possibly significantly.</w:t>
      </w:r>
    </w:p>
    <w:p>
      <w:pPr>
        <w:spacing w:after="0" w:line="10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Our product development costs will also increase if we experience delays in testing or approvals. Significant clinical trial delays also could allow our competitors to bring products to market before we do and impair our ability to commercialize our products or product candidates.</w:t>
      </w:r>
    </w:p>
    <w:p>
      <w:pPr>
        <w:spacing w:after="0" w:line="9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Project BioShield, the Secretary of HHS can contract to purchase countermeasures for the strategic national stockpile prior to FDA approval of the countermeasure in specified circumstances. Project BioShield also allows the Secretary of HHS to authorize the emergency use of medical products that have not yet been approved by the FDA. However, our product candidates may not be selected by the Secretary under this authority. Moreover, this authority could result in increased competition for our products and product candidates, as has occurred in the case of the HHS procurement contract for VaxGen’s anthrax vaccine candidate and as discussed below under “— Risks related to commercialization — We face substantial competition, which may result in others developing or commercializing products before or more successfully than we do.”</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commercialization</w:t>
      </w:r>
    </w:p>
    <w:p>
      <w:pPr>
        <w:spacing w:after="0" w:line="124"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b w:val="1"/>
          <w:bCs w:val="1"/>
          <w:i w:val="1"/>
          <w:iCs w:val="1"/>
          <w:color w:val="auto"/>
        </w:rPr>
        <w:t>If we fail to achieve significant sales of BioThrax to customers in addition to the U.S. government, our opportunities for growth could be harmed.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An element of our business strategy is to establish a market for sales of BioThrax to customers in addition to the</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U.S. government. These potential customers include the U.S. Postal Service, foreign governments, state and local governments, which we expect will be interested in BioThrax to protect first responders, such as police, fire and emergency medical personnel, multinational companies, non-governmental organizations and hospitals. The market for sales of BioThrax to customers other than the U.S. government is new and undeveloped, and we may not be successful in generating meaningful sales of BioThrax to these potential customers. To date, we have made only minimal sales to these customers.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25" w:name="page26"/>
    <w:bookmarkEnd w:id="25"/>
    <w:p>
      <w:pPr>
        <w:jc w:val="both"/>
        <w:spacing w:after="0" w:line="250" w:lineRule="auto"/>
        <w:rPr>
          <w:sz w:val="20"/>
          <w:szCs w:val="20"/>
          <w:color w:val="auto"/>
        </w:rPr>
      </w:pPr>
      <w:r>
        <w:rPr>
          <w:rFonts w:ascii="Arial" w:cs="Arial" w:eastAsia="Arial" w:hAnsi="Arial"/>
          <w:sz w:val="17"/>
          <w:szCs w:val="17"/>
          <w:color w:val="auto"/>
        </w:rPr>
        <w:t>In particular, we have supplied small amounts of BioThrax directly to several foreign governments. In 2005, our sales of BioThrax to customers other than the U.S. government represented only one percent of our revenue. If we fail to significantly increase our sales of BioThrax to these customers, our business and opportunities for growth could be materially harmed.</w:t>
      </w:r>
    </w:p>
    <w:p>
      <w:pPr>
        <w:spacing w:after="0" w:line="9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Government regulations and the terms of our U.S. government contracts may make it difficult for us to achieve significant sales of BioThrax to customers other than the U.S. government. For example, we are subject to export control laws imposed by the U.S. government. Although there are currently only limited restrictions on the export of BioThrax, the U.S. government may decide, particularly in the current environment of elevated concerns about global terrorism, to increase the scope of export prohibitions. These controls could limit our sales of BioThrax to foreign governments and other foreign customers.</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the DoD has contractual and statutory rights that could interfere with sales of BioThrax to customers other than the U.S. government. For example, our efforts to develop domestic commercial and international sales may be impeded by the DoD’s right under the Defense Production Act to require us to deliver more doses than are otherwise specified in our contract with the DoD. If the DoD required delivery of these additional doses, it could affect our production schedule and deplete BioThrax supplies that would otherwise be available for commercial sales. In addition, the DoD could either sell BioThrax directly to foreign governments at a lower price than we may offer or donate BioThrax to foreign governments under the DoD’s Foreign Military Sales program.</w:t>
      </w:r>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ability to meet any increased demand that develops for sales of BioThrax to customers other than the U.S. government depends on our available production capacity. We use substantially all of our current production capacity at our facility in Lansing, Michigan to manufacture BioThrax for sale to U.S. government customers. We expect to complete construction of our new manufacturing facility in Lansing in mid 2007. We anticipate that we will initiate large scale manufacturing of BioThrax for commercial sale at the new facility in 2008. We anticipate that we will be able to demonstrate in nonclinical studies that BioThrax manufactured at our new facility is comparable to BioThrax manufactured at our existing facility. As a result, we expect that the FDA will not require us to complete a human bridging trial demonstrating that BioThrax manufactured at our new facility is bioequivalent to BioThrax manufactured at our existing facility. However, the FDA has not approved our plan to rely on nonclinical studies without conducting a human bridging trial and may not do so. If the FDA requires us to conduct a human bridging trial, the initiation of large scale manufacturing of BioThrax for commercial sale at our new facility will be delayed and we will incur additional unanticipated costs. Until the new manufacturing facility is available for commercial use, we will not have sufficient available production capacity to allow us to significantly increase sales of BioThrax to customers other than the U.S. government.</w:t>
      </w:r>
    </w:p>
    <w:p>
      <w:pPr>
        <w:spacing w:after="0" w:line="391"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b w:val="1"/>
          <w:bCs w:val="1"/>
          <w:i w:val="1"/>
          <w:iCs w:val="1"/>
          <w:color w:val="auto"/>
        </w:rPr>
        <w:t>The commercial success of BioThrax and any products that we may develop will depend upon the degree of market acceptance by the government, physicians, patients, healthcare payors and others in the medical community.</w:t>
      </w:r>
    </w:p>
    <w:p>
      <w:pPr>
        <w:spacing w:after="0" w:line="7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Any products that we bring to the market may not gain or maintain market acceptance by potential government customers, physicians, patients, healthcare payors and others in the medical community. In particular, our biodefense immunobiotic products and product candidates are subject to the product criteria that may be specified by potential U.S. government customers. The product specifications in any government procurement request may prohibit or preclude us from participating in the government program if our products or product candidates do not satisfy the stated criteria. For example, in 2004, HHS issued a request for proposals for the supply of anthrax vaccine for the strategic national stockpile. The HHS request was limited to a recombinant anthrax vaccine. Recombinant technology comprises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6" w:name="page27"/>
    <w:bookmarkEnd w:id="26"/>
    <w:p>
      <w:pPr>
        <w:spacing w:after="0" w:line="245" w:lineRule="auto"/>
        <w:rPr>
          <w:sz w:val="20"/>
          <w:szCs w:val="20"/>
          <w:color w:val="auto"/>
        </w:rPr>
      </w:pPr>
      <w:r>
        <w:rPr>
          <w:rFonts w:ascii="Arial" w:cs="Arial" w:eastAsia="Arial" w:hAnsi="Arial"/>
          <w:sz w:val="17"/>
          <w:szCs w:val="17"/>
          <w:color w:val="auto"/>
        </w:rPr>
        <w:t>scientific techniques that allow for the manipulation of genetic material. Scientists apply these techniques to disease-causing organisms known as pathogens. Using recombinant technology, it is possible to delete a virulent gene from a pathogen or isolate the gene directing the production of the component of a pathogen known as an antigen and move the antigen into a harmless organism from which it can be purified and used as a vaccine. Because BioThrax is not a recombinant vaccine, BioThrax was precluded from consideration under that procurement program.</w:t>
      </w:r>
    </w:p>
    <w:p>
      <w:pPr>
        <w:spacing w:after="0" w:line="10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 significant portion of future government anthrax vaccine procurement requests may specify a recombinant anthrax vaccine, which would limit, possibly significantly, the market for BioThrax. In June 2006, NIAID issued a request for proposals for the advanced development and testing of next generation anthrax vaccine candidates with specified properties, including shelf life of three years or longer at room temperature, the ability to generate protective immune response in one or two doses, the ability to be self administered or rapidly inoculated into large numbers of people and a superior safety profile to BioThrax. Although we are evaluating several potential product candidates in connection with development of a next generation anthrax vaccine with these properties, one of which has completed a Phase I clinical trial, and have submitted three separate proposals in response to the NIAID request for proposals, we may not be successful in our development efforts or receive any funding from NIAID.</w:t>
      </w:r>
    </w:p>
    <w:p>
      <w:pPr>
        <w:spacing w:after="0" w:line="106"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In addition, notwithstanding favorable findings regarding the safety and efficacy of BioThrax by the FDA in its final ruling in December 2005, the U.S. Government Accountability Office reiterated concerns regarding BioThrax in Congressional testimony in May 2006 that it had previously identified beginning in 1999. These concerns include the need for a six dose regimen and annual booster doses, questions about the long-term and short-term safety of the vaccine, including how safety is affected by gender differences, and uncertainty about the vaccine’s efficacy.</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104"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If any products that we develop do not achieve an adequate level of acceptance, we may not generate material revenues with respect to these products. The degree of market acceptance of our product candidates, if approved for commercial sale, will depend on a number of factors, including:</w:t>
      </w:r>
    </w:p>
    <w:p>
      <w:pPr>
        <w:spacing w:after="0" w:line="96" w:lineRule="exact"/>
        <w:rPr>
          <w:sz w:val="20"/>
          <w:szCs w:val="20"/>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efficacy and potential advantages over alternative treatments;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ability to offer our product candidates for sale at competitive prices;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products and of physicians to prescribe these products;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7" w:name="page28"/>
    <w:bookmarkEnd w:id="27"/>
    <w:p>
      <w:pPr>
        <w:ind w:left="220" w:hanging="210"/>
        <w:spacing w:after="0"/>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sufficient third party coverage or reimbursement.</w:t>
      </w:r>
    </w:p>
    <w:p>
      <w:pPr>
        <w:spacing w:after="0" w:line="204" w:lineRule="exact"/>
        <w:rPr>
          <w:sz w:val="20"/>
          <w:szCs w:val="20"/>
          <w:color w:val="auto"/>
        </w:rPr>
      </w:pPr>
    </w:p>
    <w:p>
      <w:pPr>
        <w:ind w:right="640"/>
        <w:spacing w:after="0" w:line="283" w:lineRule="auto"/>
        <w:rPr>
          <w:sz w:val="20"/>
          <w:szCs w:val="20"/>
          <w:color w:val="auto"/>
        </w:rPr>
      </w:pPr>
      <w:r>
        <w:rPr>
          <w:rFonts w:ascii="Arial" w:cs="Arial" w:eastAsia="Arial" w:hAnsi="Arial"/>
          <w:sz w:val="17"/>
          <w:szCs w:val="17"/>
          <w:b w:val="1"/>
          <w:bCs w:val="1"/>
          <w:i w:val="1"/>
          <w:iCs w:val="1"/>
          <w:color w:val="auto"/>
        </w:rPr>
        <w:t>Political or social factors, including related litigation, may delay or impair our ability to market BioThrax and our biodefense product candidates and may require us to spend time and money to address these issues.</w:t>
      </w:r>
    </w:p>
    <w:p>
      <w:pPr>
        <w:spacing w:after="0" w:line="7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Products developed to treat diseases caused by or to combat the threat of bioterrorism will be subject to changing political and social environments. The political and social responses to bioterrorism have been highly charged and unpredictable. Political or social pressures or changes in the perception of the risk that military personnel or civilians could be exposed to biological agents as weapons of bioterrorism may delay or cause resistance to bringing our products to market or limit pricing or purchases of our products, which would harm our business. In addition, substantial delays or cancellations of purchases could result from protests or challenges from third parties. Furthermore, lawsuits brought against us by third parties or activists, even if not successful, require us to spend time and money defending the related litigation. The need to address political and social issues may divert our management’s time and attention from other business concerns.</w:t>
      </w:r>
    </w:p>
    <w:p>
      <w:pPr>
        <w:spacing w:after="0" w:line="10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For example, between 2001 and 2004, members of the military and various activist groups filed a citizen’s petition with the FDA and various lawsuits seeking the revocation of the license for BioThrax and the termination of the DoD program for the mandatory administration of BioThrax to military personnel. In October 2004, a federal court ruled that the FDA, as part of its review of all biological products approved prior to 1972, had not properly issued a final order determining that BioThrax is safe and effective and not misbranded. As a result, the court issued an injunction prohibiting the DoD from administering BioThrax to military personnel on a mandatory basis without informed consent of the recipient or a Presidential waiver. Although the FDA issued a final order in December 2005 determining that BioThrax is safe and effective and not misbranded and, as a result, an appellate court ruled in February 2006 that the injunction was dissolved, these actions created negative publicity about BioThrax. Similar or other such lawsuits or publicity campaigns could limit demand for BioThrax and our biodefense product candidates and harm our future business. In October 2006, the DoD announced that it is resuming a mandatory vaccination program for BioThrax for designated military personnel and emergency-essential and comparable civilian personnel.</w:t>
      </w:r>
    </w:p>
    <w:p>
      <w:pPr>
        <w:spacing w:after="0" w:line="143"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We have a small marketing and sales group. If we are unable to expand our sales and marketing capabilities or enter into sales and marketing agreements with third parties, we may be unable to generate product sales revenue from sales to customers other than the U.S. government.</w:t>
      </w:r>
    </w:p>
    <w:p>
      <w:pPr>
        <w:spacing w:after="0" w:line="87"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To achieve commercial success for any approved product, we must either develop a sales and marketing organization or outsource these functions to third parties. We currently market and sell BioThrax directly to the DoD and HHS through a small, targeted marketing and sales group. We plan to continue to do so and expect that we will use a similar approach for sales to the U.S. government of any other biodefense product candidates that we successfully develop. However, to increase our sales of BioThrax to state and local governments and foreign governments and create an infrastructure for future sales of other biodefense products to these customers, we plan to expand our sales and marketing organization. In addition, we expect to establish a separate internal organization to market and sell commercial products for which we retain commercialization or co-commercialization rights.</w:t>
      </w:r>
    </w:p>
    <w:p>
      <w:pPr>
        <w:spacing w:after="0" w:line="106"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We may not be able to attract, hire, train and retain qualified sales and marketing personnel to build a significant or effective marketing and sales force for sales of biodefense product candidates to customers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28" w:name="page29"/>
    <w:bookmarkEnd w:id="28"/>
    <w:p>
      <w:pPr>
        <w:ind w:right="40"/>
        <w:spacing w:after="0" w:line="244" w:lineRule="auto"/>
        <w:rPr>
          <w:sz w:val="20"/>
          <w:szCs w:val="20"/>
          <w:color w:val="auto"/>
        </w:rPr>
      </w:pPr>
      <w:r>
        <w:rPr>
          <w:rFonts w:ascii="Arial" w:cs="Arial" w:eastAsia="Arial" w:hAnsi="Arial"/>
          <w:sz w:val="17"/>
          <w:szCs w:val="17"/>
          <w:color w:val="auto"/>
        </w:rPr>
        <w:t>other than the U.S. government or for sales of our commercial product candidates. If we are not successful in our efforts to expand our internal sales and marketing capability, our ability to independently market and sell BioThrax and any other product candidates that we successfully develop will be impaired. Expanding our internal sales and marketing capability will be expensive and time consuming and could delay any product launch. If the commercial launch of a product candidate for which we recruit a sales force and establish marketing capabilities is delayed as a result of FDA requirements or other reasons, we would incur related expenses too early relative to the product launch. This may be costly, and our investment would be lost if we cannot retain our sales and marketing personnel.</w:t>
      </w:r>
    </w:p>
    <w:p>
      <w:pPr>
        <w:spacing w:after="0" w:line="134"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developing or commercializing products before or more successfully than we do.</w:t>
      </w:r>
    </w:p>
    <w:p>
      <w:pPr>
        <w:spacing w:after="0" w:line="7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development and commercialization of new immunobiotics is highly competitive. We face competition with respect to BioThrax, our current product candidates and any products we may seek to develop or commercialize in the future from major pharmaceutical companies and biotechnology companies worldwide. Potential competitors also include academic institutions, government agencies, and other public and private research institutions that conduct research, seek patent protection and establish collaborative arrangements for research, development, manufacturing and commercialization. Our competitors may develop products that are safer, more effective, have fewer side effects, are more convenient or are less costly than any products that we may develop. Our competitors may also obtain FDA or other regulatory approval for their products more rapidly than we may obtain approval for ours. We believe that our most significant competitors in the area of immunobiotics are a number of pharmaceutical companies that have vaccine programs, including GlaxoSmithKline, Sanofi-Aventis, Wyeth, Merck and Novartis, as well as smaller more focused companies engaged in immunobiotic development, such as VaxGen, Cangene, Human Genome Sciences, Acambis, Avant Immunotherapeutics and Avecia Group.</w:t>
      </w:r>
    </w:p>
    <w:p>
      <w:pPr>
        <w:spacing w:after="0" w:line="110"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 In many cases, the currently marketed products have well known brand names, are distributed by large pharmaceutical companies with substantial resources and have achieved widespread acceptance among physicians and patients. In addition, we are aware of product candidates of third parties that are in development, which, if approved, would compete against product candidates for which we receive marketing approval.</w:t>
      </w:r>
    </w:p>
    <w:p>
      <w:pPr>
        <w:spacing w:after="0" w:line="104" w:lineRule="exact"/>
        <w:rPr>
          <w:sz w:val="20"/>
          <w:szCs w:val="20"/>
          <w:color w:val="auto"/>
        </w:rPr>
      </w:pPr>
    </w:p>
    <w:p>
      <w:pPr>
        <w:jc w:val="both"/>
        <w:ind w:right="200"/>
        <w:spacing w:after="0" w:line="247" w:lineRule="auto"/>
        <w:rPr>
          <w:sz w:val="20"/>
          <w:szCs w:val="20"/>
          <w:color w:val="auto"/>
        </w:rPr>
      </w:pPr>
      <w:r>
        <w:rPr>
          <w:rFonts w:ascii="Arial" w:cs="Arial" w:eastAsia="Arial" w:hAnsi="Arial"/>
          <w:sz w:val="17"/>
          <w:szCs w:val="17"/>
          <w:color w:val="auto"/>
        </w:rPr>
        <w:t>Although BioThrax is the only anthrax vaccine approved by the FDA for the prevention of anthrax infection, we face significant competition for the supply of this vaccine to the U.S. government. We believe our most significant competitor for the supply of BioThrax to the U.S. government is VaxGen. HHS has awarded VaxGen a contract to supply 75 million doses of recombinant protective antigen vaccine for the strategic national stockpile.</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We also face significant competition for our biodefense immunobiotic product candidates. We face significant competition for NIAID funding for development and testing of a next generation anthrax vaccine from other companies who responded to the NIAID request for proposals issued in June 2006. If we continue to pursue the development of a next generation anthrax vaccine, we also expect that we will face significant competition for the supply of our product candidate to the U.S. government. HHS has awarded strategic national stockpile supply contracts to Cangene for an anthrax immune globulin and Human Genome Sciences for a monoclonal antibody to </w:t>
      </w:r>
      <w:r>
        <w:rPr>
          <w:rFonts w:ascii="Arial" w:cs="Arial" w:eastAsia="Arial" w:hAnsi="Arial"/>
          <w:sz w:val="17"/>
          <w:szCs w:val="17"/>
          <w:i w:val="1"/>
          <w:iCs w:val="1"/>
          <w:color w:val="auto"/>
        </w:rPr>
        <w:t>Bacillus anthracis</w:t>
      </w:r>
      <w:r>
        <w:rPr>
          <w:rFonts w:ascii="Arial" w:cs="Arial" w:eastAsia="Arial" w:hAnsi="Arial"/>
          <w:sz w:val="17"/>
          <w:szCs w:val="17"/>
          <w:color w:val="auto"/>
        </w:rPr>
        <w:t xml:space="preserve"> as a post-exposure therapeutic for anthrax infection. Several companies have botulinum vaccines in early clinical or preclinical development. HHS has awarded Cangene a contract to develop a heptavalent botulinum immune</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29" w:name="page30"/>
    <w:bookmarkEnd w:id="29"/>
    <w:p>
      <w:pPr>
        <w:spacing w:after="0"/>
        <w:rPr>
          <w:sz w:val="20"/>
          <w:szCs w:val="20"/>
          <w:color w:val="auto"/>
        </w:rPr>
      </w:pPr>
      <w:r>
        <w:rPr>
          <w:rFonts w:ascii="Arial" w:cs="Arial" w:eastAsia="Arial" w:hAnsi="Arial"/>
          <w:sz w:val="17"/>
          <w:szCs w:val="17"/>
          <w:color w:val="auto"/>
        </w:rPr>
        <w:t>globulin derived from equine plasma and supply a botulinum immune globulin for the strategic national stockpile.</w:t>
      </w:r>
    </w:p>
    <w:p>
      <w:pPr>
        <w:spacing w:after="0" w:line="119"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One oral typhoid vaccine and one injectable typhoid vaccine are currently approved and administered in the United States and Europe. Numerous companies have vaccine candidates in development that would compete with any of our commercial immunobiotic product candidates for which we obtain marketing approval.</w:t>
      </w:r>
    </w:p>
    <w:p>
      <w:pPr>
        <w:spacing w:after="0" w:line="96"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Many of our competitors have significantly greater financial resources and expertise in research and development, manufacturing, preclinical testing, conducting clinical trials, obtaining regulatory approvals and marketing approved products than we do. Smaller or early stage companies may also prove to be significant competitors, particularly through collaborative arrangements with large and established companies. These competitors also compete with us in recruiting and retaining qualified scientific and management personnel, as well as in acquiring products, product candidates and technologies complementary to, or necessary for, our programs or advantageous to our business.</w:t>
      </w:r>
    </w:p>
    <w:p>
      <w:pPr>
        <w:spacing w:after="0" w:line="189" w:lineRule="exact"/>
        <w:rPr>
          <w:sz w:val="20"/>
          <w:szCs w:val="20"/>
          <w:color w:val="auto"/>
        </w:rPr>
      </w:pPr>
    </w:p>
    <w:p>
      <w:pPr>
        <w:ind w:right="740"/>
        <w:spacing w:after="0" w:line="283" w:lineRule="auto"/>
        <w:rPr>
          <w:sz w:val="20"/>
          <w:szCs w:val="20"/>
          <w:color w:val="auto"/>
        </w:rPr>
      </w:pPr>
      <w:r>
        <w:rPr>
          <w:rFonts w:ascii="Arial" w:cs="Arial" w:eastAsia="Arial" w:hAnsi="Arial"/>
          <w:sz w:val="17"/>
          <w:szCs w:val="17"/>
          <w:b w:val="1"/>
          <w:bCs w:val="1"/>
          <w:i w:val="1"/>
          <w:iCs w:val="1"/>
          <w:color w:val="auto"/>
        </w:rPr>
        <w:t>Legislation and contractual provisions limiting or restricting liability of manufacturers, such as us, may not be adequate to protect us from all liabilities associated with the manufacture, sale and use of our products.</w:t>
      </w:r>
    </w:p>
    <w:p>
      <w:pPr>
        <w:spacing w:after="0" w:line="7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Provisions of our BioThrax contracts with the DoD and HHS and federal legislation enacted to protect manufacturers of biodefense and anti-terrorism countermeasures may limit our potential liability related to the manufacture, sale and use of BioThrax and our biodefense product candidates. However, these contractual provisions and legislation may not fully protect us from all related liabilities.</w:t>
      </w:r>
    </w:p>
    <w:p>
      <w:pPr>
        <w:spacing w:after="0" w:line="9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The Public Readiness and Emergency Preparedness Act, which was signed into law in December 2005, creates general immunity for manufacturers of biodefense countermeasures, including security countermeasures, when the Secretary of HHS issues a declaration for their manufacture, administration or use. The declaration is meant to provide general immunity from all claims under state or federal law for loss arising out of the administration or use of a covered countermeasure. Manufacturers are not entitled to this protection in cases of willful misconduct.</w:t>
      </w:r>
    </w:p>
    <w:p>
      <w:pPr>
        <w:spacing w:after="0" w:line="10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Upon a declaration by the Secretary, a compensation fund is created to provide “timely, uniform, and adequate compensation to eligible individuals for covered injuries directly caused by the administration or use of a covered countermeasure.” The “covered injuries” to which the program applies are defined as serious physical injuries or death. Individuals are permitted to bring a willful misconduct action against a manufacturer only after they have exhausted their remedies under the compensation program.</w:t>
      </w:r>
    </w:p>
    <w:p>
      <w:pPr>
        <w:spacing w:after="0" w:line="1"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However, a willful misconduct action could be brought against us if any individuals exhausted their remedies under the compensation program and thereby expose us to liability. Although we may petition the Secretary to make such a declaration with respect to anthrax generally and BioThrax specifically, we do not know if any such petition would be successful or that, if successful, the Act will provide adequate coverage or survive anticipated legal challenges to its validity.</w:t>
      </w:r>
    </w:p>
    <w:p>
      <w:pPr>
        <w:spacing w:after="0" w:line="9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August 2006, the Department of Homeland Security approved our application 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924" w:right="1099" w:bottom="1440" w:gutter="0" w:footer="0" w:header="0"/>
        </w:sectPr>
      </w:pPr>
    </w:p>
    <w:bookmarkStart w:id="30" w:name="page31"/>
    <w:bookmarkEnd w:id="30"/>
    <w:p>
      <w:pPr>
        <w:ind w:right="420"/>
        <w:spacing w:after="0" w:line="247" w:lineRule="auto"/>
        <w:rPr>
          <w:sz w:val="20"/>
          <w:szCs w:val="20"/>
          <w:color w:val="auto"/>
        </w:rPr>
      </w:pPr>
      <w:r>
        <w:rPr>
          <w:rFonts w:ascii="Arial" w:cs="Arial" w:eastAsia="Arial" w:hAnsi="Arial"/>
          <w:sz w:val="17"/>
          <w:szCs w:val="17"/>
          <w:color w:val="auto"/>
        </w:rPr>
        <w:t>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we are entitled to the benefits of the Safety Act, it may not provide adequate protection from any claims made against us.</w:t>
      </w:r>
    </w:p>
    <w:p>
      <w:pPr>
        <w:spacing w:after="0" w:line="9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addition, although our existing contracts with the DoD and HHS provide that the government will indemnify us for any damages resulting from product liability claims, we cannot be certain that we will be able to continue to negotiate similar rights in future contracts or that the U.S. government will honor this obligation. For example, although we have notified the DoD of the lawsuits filed against us by current and former members of the U.S. military claiming damages as the result of personal injuries allegedly suffered from vaccination with BioThrax, the DoD has not yet acted on our claim for indemnification pending resolution of our claims under our product liability insurance.</w:t>
      </w:r>
    </w:p>
    <w:p>
      <w:pPr>
        <w:spacing w:after="0" w:line="10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addition, members of Congress have proposed and may in the future propose legislation that reduces or eliminates these and other liability protections for manufacturers of biodefense countermeasures.</w:t>
      </w:r>
    </w:p>
    <w:p>
      <w:pPr>
        <w:spacing w:after="0" w:line="123"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i w:val="1"/>
          <w:iCs w:val="1"/>
          <w:color w:val="auto"/>
        </w:rPr>
        <w:t>Product liability lawsuits could cause us to incur substantial liabilities and require us to limit commercialization of any products that we may develop.</w:t>
      </w:r>
    </w:p>
    <w:p>
      <w:pPr>
        <w:spacing w:after="0" w:line="7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face an inherent risk of product liability exposure related to the sale of BioThrax and any other products that we successfully develop and the testing of our product candidates in clinical trials. We currently are a defendant in three federal lawsuits filed on behalf of three individuals vaccinated with BioThrax by the U.S. Army that claim damages resulting from personal injuries allegedly suffered because of the vaccination. The plaintiff in each of these three lawsuits claims different injuries and seeks varying amounts of damages. The first plaintiff alleges that the vaccine caused erosive rheumatoid arthritis and requests damages in excess of $1 million. The second plaintiff alleges that the vaccine caused Bell’s palsy and other related conditions and requests damages in excess of $75,000. The third plaintiff alleges that the vaccine caused a condition that originally was diagnosed as encephalitis related to a gastrointestinal infection and caused him to fall into a coma for many weeks and requests damages in excess of $10 million.</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If we cannot successfully defend ourselves against claims that our product or product candidates caused injuries and we are not entitled to indemnity by the U.S. government, we will incur substantial liabilities. Regardless of merit or eventual outcome, liability claims may result in:</w:t>
      </w:r>
    </w:p>
    <w:p>
      <w:pPr>
        <w:spacing w:after="0" w:line="96" w:lineRule="exact"/>
        <w:rPr>
          <w:sz w:val="20"/>
          <w:szCs w:val="20"/>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decreased demand for any product candidates or products that we may develop;</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withdrawal of a product from the market;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w:t>
      </w:r>
    </w:p>
    <w:p>
      <w:pPr>
        <w:spacing w:after="0" w:line="119" w:lineRule="exact"/>
        <w:rPr>
          <w:sz w:val="20"/>
          <w:szCs w:val="20"/>
          <w:color w:val="auto"/>
        </w:rPr>
      </w:pPr>
    </w:p>
    <w:p>
      <w:pPr>
        <w:ind w:right="460"/>
        <w:spacing w:after="0" w:line="258" w:lineRule="auto"/>
        <w:rPr>
          <w:sz w:val="20"/>
          <w:szCs w:val="20"/>
          <w:color w:val="auto"/>
        </w:rPr>
      </w:pPr>
      <w:r>
        <w:rPr>
          <w:rFonts w:ascii="Arial" w:cs="Arial" w:eastAsia="Arial" w:hAnsi="Arial"/>
          <w:sz w:val="17"/>
          <w:szCs w:val="17"/>
          <w:color w:val="auto"/>
        </w:rPr>
        <w:t>We have product liability insurance for coverage up to a $10 million annual aggregate limit with a deductible of $75,000 per claim. The amount of insurance that we currently hold may not be adequate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1" w:name="page32"/>
    <w:bookmarkEnd w:id="31"/>
    <w:p>
      <w:pPr>
        <w:ind w:right="120"/>
        <w:spacing w:after="0" w:line="244" w:lineRule="auto"/>
        <w:rPr>
          <w:sz w:val="20"/>
          <w:szCs w:val="20"/>
          <w:color w:val="auto"/>
        </w:rPr>
      </w:pPr>
      <w:r>
        <w:rPr>
          <w:rFonts w:ascii="Arial" w:cs="Arial" w:eastAsia="Arial" w:hAnsi="Arial"/>
          <w:sz w:val="17"/>
          <w:szCs w:val="17"/>
          <w:color w:val="auto"/>
        </w:rPr>
        <w:t>to cover all liabilities that may occur. Insurance coverage is increasingly expensive. We may not be able to maintain insurance coverage at a reasonable cost and we may not be able to obtain insurance coverage that will be adequate to satisfy any liability that may arise. For example, from 2002 through February 2006, we were unable to obtain product liability insurance for sales of BioThrax on commercially reasonable terms. We do not believe that the amount of insurance we have been able to obtain for BioThrax is sufficient to manage the risk associated with the potential deployment of BioThrax as a countermeasure to bioterrorism threats. We rely on contractual indemnification provisions and statutory protections to limit our liability for BioThrax.</w:t>
      </w:r>
    </w:p>
    <w:p>
      <w:pPr>
        <w:spacing w:after="0" w:line="189"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b w:val="1"/>
          <w:bCs w:val="1"/>
          <w:i w:val="1"/>
          <w:iCs w:val="1"/>
          <w:color w:val="auto"/>
        </w:rPr>
        <w:t>If we are unable to obtain adequate reimbursement from governments or third party payors for any products that we may develop or to obtain acceptable prices for those products, our revenues will suffer.</w:t>
      </w:r>
    </w:p>
    <w:p>
      <w:pPr>
        <w:spacing w:after="0" w:line="70"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Our revenues and profits from any products that we successfully develop, other than with respect to sales of our biodefense products under government contracts, will depend heavily upon the availability of adequate reimbursement for the use of such products from governmental and other third party payors, both in the United States and in other markets. Reimbursement by a third party payor may depend upon a number of factors, including the third party payor’s determination that use of a product is:</w:t>
      </w:r>
    </w:p>
    <w:p>
      <w:pPr>
        <w:spacing w:after="0" w:line="99" w:lineRule="exact"/>
        <w:rPr>
          <w:sz w:val="20"/>
          <w:szCs w:val="20"/>
          <w:color w:val="auto"/>
        </w:rPr>
      </w:pPr>
    </w:p>
    <w:p>
      <w:pPr>
        <w:ind w:left="220" w:hanging="210"/>
        <w:spacing w:after="0"/>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Obtaining a determination that a product is covered is a time-consuming and costly process that could require us to provide supporting scientific, clinical and cost-effectiveness data for the use of our products to each payor. We may not be able to provide data sufficient to gain coverage. Even when a payor determines that a product is covered, the payor may impose limitations that preclude payment for some uses that are approved by the FDA or comparable authorities but are determined by the payor to not be medically reasonable and necessary. Moreover, eligibility for coverage does not imply that any product will be covered in all cases or that reimbursement will be available at a rate that permits the health care provider to cover its costs of using the product. We expect that the success of some of our commercial vaccine candidates for which we obtain marketing approval will depend on inclusion of those product candidates in government immunization programs.</w:t>
      </w:r>
    </w:p>
    <w:p>
      <w:pPr>
        <w:spacing w:after="0" w:line="106"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Foreign governments also commonly fund pediatric vaccination programs through national health programs. In addition, with respect to some diseases affecting the public health generally, particularly in developing countries, public health authorities or nongovernmental, charitable or philanthropic organizations fund the cost of vaccines.</w:t>
      </w:r>
    </w:p>
    <w:p>
      <w:pPr>
        <w:spacing w:after="0" w:line="104"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color w:val="auto"/>
        </w:rPr>
        <w:t>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2" w:name="page33"/>
    <w:bookmarkEnd w:id="32"/>
    <w:p>
      <w:pPr>
        <w:ind w:right="680"/>
        <w:spacing w:after="0" w:line="250" w:lineRule="auto"/>
        <w:rPr>
          <w:sz w:val="20"/>
          <w:szCs w:val="20"/>
          <w:color w:val="auto"/>
        </w:rPr>
      </w:pPr>
      <w:r>
        <w:rPr>
          <w:rFonts w:ascii="Arial" w:cs="Arial" w:eastAsia="Arial" w:hAnsi="Arial"/>
          <w:sz w:val="17"/>
          <w:szCs w:val="17"/>
          <w:color w:val="auto"/>
        </w:rPr>
        <w:t>an outpatient prescription drug benefit to Medicare, which went into effect January 2006. These benefits will be provided primarily through private entities, which we expect will attempt to negotiate price concessions from pharmaceutical manufacturers.</w:t>
      </w:r>
    </w:p>
    <w:p>
      <w:pPr>
        <w:spacing w:after="0" w:line="96" w:lineRule="exact"/>
        <w:rPr>
          <w:sz w:val="20"/>
          <w:szCs w:val="20"/>
          <w:color w:val="auto"/>
        </w:rPr>
      </w:pPr>
    </w:p>
    <w:p>
      <w:pPr>
        <w:jc w:val="both"/>
        <w:ind w:right="180"/>
        <w:spacing w:after="0" w:line="250" w:lineRule="auto"/>
        <w:rPr>
          <w:sz w:val="20"/>
          <w:szCs w:val="20"/>
          <w:color w:val="auto"/>
        </w:rPr>
      </w:pPr>
      <w:r>
        <w:rPr>
          <w:rFonts w:ascii="Arial" w:cs="Arial" w:eastAsia="Arial" w:hAnsi="Arial"/>
          <w:sz w:val="17"/>
          <w:szCs w:val="17"/>
          <w:color w:val="auto"/>
        </w:rPr>
        <w:t>Any products we may develop may also be eligible for reimbursement under Medicaid. If the state-specific Medicaid programs do not provide adequate coverage and reimbursement for any products we may develop, it may have a negative impact on our operations.</w:t>
      </w:r>
    </w:p>
    <w:p>
      <w:pPr>
        <w:spacing w:after="0" w:line="96"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scope of coverage and payment policies varies among third party private payors, including indemnity insurers, employer group health insurance programs and managed care plans. These third party carriers may base their coverage and reimbursement on the coverage and reimbursement rate paid by carriers for Medicare beneficiaries. Furthermore, many such payors are investigating or implementing methods for reducing health care costs, such as the establishment of capitated or prospective payment systems. Cost containment pressures have led to an increased emphasis on the use of cost-effective products by health care providers. If third party payors do not provide adequate coverage or reimbursement for any products we may develop, it could have a negative effect on revenues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governments tend to impose strict price controls, which may adversely affect our revenues.</w:t>
      </w:r>
    </w:p>
    <w:p>
      <w:pPr>
        <w:spacing w:after="0" w:line="13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some foreign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adversely affected.</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Legislation has been introduced into Congress that, if enacted, would permit more widespread re-importation of drugs from foreign countries into the United States, which may include re-importation from foreign countries where the drugs are sold at lower prices than in the United States. Such legislation, or similar regulatory changes, could decrease the price we receive for any approved products which, in turn, could adversely affect our operating results and our overall financial condition.</w:t>
      </w:r>
    </w:p>
    <w:p>
      <w:pPr>
        <w:spacing w:after="0" w:line="184"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If we fail to attract and keep senior management and key scientific personnel, we may be unable to successfully sustain or expand our BioThrax operations or develop or commercialize our product candidates.</w:t>
      </w:r>
    </w:p>
    <w:p>
      <w:pPr>
        <w:spacing w:after="0" w:line="70"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Our success depends on our continued ability to attract, retain and motivate highly qualified managerial and key scientific personnel. We consider Fuad El-Hibri, our president, chief executive officer and chairman of our board of directors, Steven N. Chatfield, our chief scientific officer and president of Emergent Product Development UK Limited, Edward J. Arcuri, our executive vice president and chief operating officer, and Robert G. Kramer, president and chief executive officer of Emergent BioDefense Operations, to be key to our BioThrax operations and our efforts to develop and commercialize our product candidates. All of these key employees, other than Dr. Chatfield, are at will employees and can terminate their employment at any time. Our employment agreement with Dr. Chatfield is terminable by him on short notice. We do not maintain “key person” insurance on any of our employees.</w:t>
      </w:r>
    </w:p>
    <w:p>
      <w:pPr>
        <w:spacing w:after="0" w:line="106"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In addition, our growth will require us to hire a significant number of qualified scientific and commercial personnel, including clinical development, regulatory, marketing and sales executives and field sales personnel, as well as additional administrative personnel. There is intense competition from other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3" w:name="page34"/>
    <w:bookmarkEnd w:id="33"/>
    <w:p>
      <w:pPr>
        <w:ind w:right="140"/>
        <w:spacing w:after="0" w:line="250" w:lineRule="auto"/>
        <w:rPr>
          <w:sz w:val="20"/>
          <w:szCs w:val="20"/>
          <w:color w:val="auto"/>
        </w:rPr>
      </w:pPr>
      <w:r>
        <w:rPr>
          <w:rFonts w:ascii="Arial" w:cs="Arial" w:eastAsia="Arial" w:hAnsi="Arial"/>
          <w:sz w:val="17"/>
          <w:szCs w:val="17"/>
          <w:color w:val="auto"/>
        </w:rPr>
        <w:t>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Additional risks related to sales of biodefense products to the U.S. government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affected by a negative audit by the U.S. government.</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U.S. government agencies such as the Defense Contract Audit Agency, or the DCAA, routinely audit and investigate government contractors. These agencies review a contractor’s performance under its contracts, cost structure and compliance with applicable laws, regulations and standards. 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spacing w:after="0" w:line="102" w:lineRule="exact"/>
        <w:rPr>
          <w:sz w:val="20"/>
          <w:szCs w:val="20"/>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termination of contracts;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forfeiture of profits;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suspension of payments;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fines;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suspension or prohibition from doing business with the U.S. government.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could suffer serious reputational harm if allegations of impropriety were made against us.</w:t>
      </w:r>
    </w:p>
    <w:p>
      <w:pPr>
        <w:spacing w:after="0" w:line="204"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b w:val="1"/>
          <w:bCs w:val="1"/>
          <w:i w:val="1"/>
          <w:iCs w:val="1"/>
          <w:color w:val="auto"/>
        </w:rPr>
        <w:t>Laws and regulations affecting government contracts make it more costly and difficult for us to successfully conduct our business.</w:t>
      </w:r>
    </w:p>
    <w:p>
      <w:pPr>
        <w:spacing w:after="0" w:line="70"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We must comply with numerous laws and regulations relating to the formation, administration and performance of government contracts, which can make it more difficult for us to retain our rights under these contracts. These laws and regulations affect how we do business with federal, state and local government agencies. Among the most significant government contracting regulations that affect our business are:</w:t>
      </w:r>
    </w:p>
    <w:p>
      <w:pPr>
        <w:spacing w:after="0" w:line="99" w:lineRule="exact"/>
        <w:rPr>
          <w:sz w:val="20"/>
          <w:szCs w:val="20"/>
          <w:color w:val="auto"/>
        </w:rPr>
      </w:pPr>
    </w:p>
    <w:p>
      <w:pPr>
        <w:ind w:left="220" w:right="320" w:hanging="210"/>
        <w:spacing w:after="0" w:line="258" w:lineRule="auto"/>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Acquisition Regulations, and agency-specific regulations supplemental to the Federal Acquisition Regulations, which comprehensively regulate the procurement, formation, administration and performance of government contracts;</w:t>
      </w:r>
    </w:p>
    <w:p>
      <w:pPr>
        <w:spacing w:after="0" w:line="77" w:lineRule="exact"/>
        <w:rPr>
          <w:rFonts w:ascii="Arial" w:cs="Arial" w:eastAsia="Arial" w:hAnsi="Arial"/>
          <w:sz w:val="17"/>
          <w:szCs w:val="17"/>
          <w:color w:val="auto"/>
        </w:rPr>
      </w:pPr>
    </w:p>
    <w:p>
      <w:pPr>
        <w:ind w:left="220" w:right="40" w:hanging="210"/>
        <w:spacing w:after="0" w:line="250" w:lineRule="auto"/>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business ethics and public integrity obligations, which govern conflicts of interest and the hiring of former government employees, restrict the granting of gratuities and funding of lobbying activities and incorporate other requirements such as the Anti-Kickback Act and Foreign Corrupt Practices Act;</w:t>
      </w:r>
    </w:p>
    <w:p>
      <w:pPr>
        <w:spacing w:after="0" w:line="83" w:lineRule="exact"/>
        <w:rPr>
          <w:rFonts w:ascii="Arial" w:cs="Arial" w:eastAsia="Arial" w:hAnsi="Arial"/>
          <w:sz w:val="17"/>
          <w:szCs w:val="17"/>
          <w:color w:val="auto"/>
        </w:rPr>
      </w:pPr>
    </w:p>
    <w:p>
      <w:pPr>
        <w:ind w:left="220" w:hanging="210"/>
        <w:spacing w:after="0"/>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export and import control laws and regulations; and</w:t>
      </w:r>
    </w:p>
    <w:p>
      <w:pPr>
        <w:spacing w:after="0" w:line="105" w:lineRule="exact"/>
        <w:rPr>
          <w:rFonts w:ascii="Arial" w:cs="Arial" w:eastAsia="Arial" w:hAnsi="Arial"/>
          <w:sz w:val="17"/>
          <w:szCs w:val="17"/>
          <w:color w:val="auto"/>
        </w:rPr>
      </w:pPr>
    </w:p>
    <w:p>
      <w:pPr>
        <w:ind w:left="220" w:right="440" w:hanging="210"/>
        <w:spacing w:after="0" w:line="258" w:lineRule="auto"/>
        <w:tabs>
          <w:tab w:leader="none" w:pos="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laws, regulations and executive orders restricting the use and dissemination of information classified for national security purposes and the exportation of certain products and technical data.</w:t>
      </w:r>
    </w:p>
    <w:p>
      <w:pPr>
        <w:spacing w:after="0" w:line="72" w:lineRule="exact"/>
        <w:rPr>
          <w:sz w:val="20"/>
          <w:szCs w:val="20"/>
          <w:color w:val="auto"/>
        </w:rPr>
      </w:pPr>
    </w:p>
    <w:p>
      <w:pPr>
        <w:jc w:val="both"/>
        <w:ind w:right="60"/>
        <w:spacing w:after="0" w:line="261" w:lineRule="auto"/>
        <w:rPr>
          <w:sz w:val="20"/>
          <w:szCs w:val="20"/>
          <w:color w:val="auto"/>
        </w:rPr>
      </w:pPr>
      <w:r>
        <w:rPr>
          <w:rFonts w:ascii="Arial" w:cs="Arial" w:eastAsia="Arial" w:hAnsi="Arial"/>
          <w:sz w:val="17"/>
          <w:szCs w:val="17"/>
          <w:color w:val="auto"/>
        </w:rPr>
        <w:t xml:space="preserve">In addition,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lawsuits have been brought against us in which the plaintiffs argued that we defrauded the U.S. government by distributing non-compliant doses of BioThrax. This litigation was brought against us under a provision of the False Claims Act that allows a private citizen to file a suit in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4" w:name="page35"/>
    <w:bookmarkEnd w:id="34"/>
    <w:p>
      <w:pPr>
        <w:jc w:val="both"/>
        <w:ind w:right="200"/>
        <w:spacing w:after="0" w:line="250" w:lineRule="auto"/>
        <w:rPr>
          <w:sz w:val="20"/>
          <w:szCs w:val="20"/>
          <w:color w:val="auto"/>
        </w:rPr>
      </w:pPr>
      <w:r>
        <w:rPr>
          <w:rFonts w:ascii="Arial" w:cs="Arial" w:eastAsia="Arial" w:hAnsi="Arial"/>
          <w:sz w:val="17"/>
          <w:szCs w:val="17"/>
          <w:color w:val="auto"/>
        </w:rPr>
        <w:t>the name of the U.S. government charging fraud by government contractors and other entities who receive or use government funds and share in any money recovered. Although a federal district court dismissed the litigation, and a federal appeals court subsequently upheld that decision, we spent significant time and money defending the litigation.</w:t>
      </w:r>
    </w:p>
    <w:p>
      <w:pPr>
        <w:spacing w:after="0" w:line="9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states, many municipalities and foreign governments typically also have laws and regulations governing contracts with their respective agencies. These domestic and foreign laws and regulations affect how we and our customers can do business and, in some instances, impose added costs on our business. Any changes in applicable laws and regulations could restrict our ability to maintain our existing contracts and obtain new contracts, which could limit our ability to conduct our business and materially adversely affect our revenues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property and equipment owned by the DoD in the manufacturing process for BioThrax.</w:t>
      </w:r>
    </w:p>
    <w:p>
      <w:pPr>
        <w:spacing w:after="0" w:line="13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Our BioThrax supply contract with the DoD grants us the right to use property and equipment owned by the DoD in the manufacture of BioThrax. This property and equipment, referred to as government furnished equipment, is in service at our Lansing site. Some of this government furnished equipment is important to our business. We pay the DoD a small usage fee for the government furnished equipment based on the number of doses of BioThrax that we produce for sale to customers other than the U.S. government. We have the option to purchase all or part of the government furnished equipment at any time during the contract period for approximately $ 21 million. If the DoD modifies the terms under which we use the government furnished equipment in a manner unfavorable to us, including raising the usage fee, our business could be harmed. If DoD terminated our contract, we could be required to rent or purchase all or a part of the government furnished equipment to continue production of BioThrax in our current facility.</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regulatory approvals</w:t>
      </w:r>
    </w:p>
    <w:p>
      <w:pPr>
        <w:spacing w:after="0" w:line="124"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b w:val="1"/>
          <w:bCs w:val="1"/>
          <w:i w:val="1"/>
          <w:iCs w:val="1"/>
          <w:color w:val="auto"/>
        </w:rPr>
        <w:t>If we are not able to obtain required regulatory approvals, we will not be able to commercialize our product candidates, and our ability to generate revenue will be materially impaired.</w:t>
      </w:r>
    </w:p>
    <w:p>
      <w:pPr>
        <w:spacing w:after="0" w:line="70"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only limited experience in preparing, filing and prosecuting the applications necessary to gain regulatory approvals and expect to rely on third party contract research organizations and consultants to assist us in this process. Securing FDA approval requires the submission of extensive preclinical and clinical data, information about product manufacturing processes and inspection of facilities and supporting information to the FDA to establish the product candidate’s safety and efficacy. Our future products may not be effective, may be only moderately effective or may prove to have significant side effects, toxicities or other characteristics that may preclude our obtaining regulatory approval or prevent or limit commercial use.</w:t>
      </w:r>
    </w:p>
    <w:p>
      <w:pPr>
        <w:spacing w:after="0" w:line="307"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In the United States, BioThrax, our biodefense product candidates and our commercial product candidates are regulated by the FDA as biologics. To obtain approval from the FDA to market these product candidates, other than biodefense products purchased by HHS for the strategic national stockpile, we will be required to submit to the FDA a biologics license application, or BLA. Ordinarily, the FDA requires a sponsor to support a BLA application with substantial evidence of the product’s safety and effectiveness in treating the targeted indication based on data derived from adequate and well controlled</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clinical trials, including Phase III safety and efficacy trials conducted in patients with the disease or condition being targeted.</w:t>
      </w:r>
    </w:p>
    <w:p>
      <w:pPr>
        <w:spacing w:after="0" w:line="11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Because humans are rarely exposed to anthrax or botulinum toxins under natural conditions, and cannot be intentionally exposed, statistically significant effectiveness of our biodefense product candidates cannot be demonstrated in humans, but instead must be demonstrated, in part, by utilizing animal models before they can be approved for marketing. We believe that, according to the FDA’s current BLA requirements for biologics that cannot be ethically or feasibly tested in humans in Phase III efficacy trials, we may instead be able to obtain BLA approval based on clinical data from Phase II and Phase III trials in healthy subjects that demonstrate adequate safety and immune response and effectiveness data from studies in animals. Specifically, we intend to pursue FDA approval of BioThrax as a post-exposure prophylaxis, our immune globulin candidates, our recombinant bivalent botulinum vaccine candidate and a next generation anthrax vaccine under the FDA animal rule.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08"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have applied to the FDA to reduce the number of required doses of BioThrax for pre-exposure prophylaxis from six to five, with an annual booster dose thereafter. Our application is based on an interim analysis of data from an ongoing clinical trial being conducted by the CDC to evaluate whether as few as three doses of BioThrax, administered over six months, will confer adequate immune response over as long as 42 months. In April 2006, the FDA issued a complete response letter to our application, requesting clarification and requiring additional analysis of the data that we submitted. We are in the process of responding to this letter and amending our application. If the FDA does not find our response to be adequate, we might be required to conduct additional independent testing to continue to pursue the development of this dosing regimen. Responding to the FDA’s complete response letter will delay potential approval of our application. If we are unable ultimately to respond satisfactorily to the FDA, our application will not be approved. We currently are awaiting the final data from the CDC trial, which we expect at the end of 2007.</w:t>
      </w:r>
    </w:p>
    <w:p>
      <w:pPr>
        <w:spacing w:after="0" w:line="30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process of obtaining regulatory approvals is expensive, often takes many years, if approval is obtained at all, and can vary substantially based upon the type, complexity and novelty of the product candidates involved. Changes in the regulatory approval policy during the development period, changes in or the enactment of additional statutes or regulations, or changes in regulatory review for each submitted product application, may cause delays in the approval or rejection of an application. The FDA has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regulatory approval of a product candidate.</w:t>
      </w:r>
    </w:p>
    <w:p>
      <w:pPr>
        <w:spacing w:after="0" w:line="186"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b w:val="1"/>
          <w:bCs w:val="1"/>
          <w:i w:val="1"/>
          <w:iCs w:val="1"/>
          <w:color w:val="auto"/>
        </w:rPr>
        <w:t>Our products could be subject to restrictions or withdrawal from the market and we may be subject to penalties if we fail to comply with regulatory requirements or experience unanticipated problems with our products.</w:t>
      </w:r>
    </w:p>
    <w:p>
      <w:pPr>
        <w:spacing w:after="0" w:line="70" w:lineRule="exact"/>
        <w:rPr>
          <w:sz w:val="20"/>
          <w:szCs w:val="20"/>
          <w:color w:val="auto"/>
        </w:rPr>
      </w:pPr>
    </w:p>
    <w:p>
      <w:pPr>
        <w:ind w:right="500"/>
        <w:spacing w:after="0" w:line="258" w:lineRule="auto"/>
        <w:rPr>
          <w:sz w:val="20"/>
          <w:szCs w:val="20"/>
          <w:color w:val="auto"/>
        </w:rPr>
      </w:pPr>
      <w:r>
        <w:rPr>
          <w:rFonts w:ascii="Arial" w:cs="Arial" w:eastAsia="Arial" w:hAnsi="Arial"/>
          <w:sz w:val="17"/>
          <w:szCs w:val="17"/>
          <w:color w:val="auto"/>
        </w:rPr>
        <w:t>Any immunobiotic product for which we obtain marketing approval, along with the manufacturing processes, post-approval clinical data, labeling, advertising and promotional activities for such product, will be subject to</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36" w:name="page37"/>
    <w:bookmarkEnd w:id="36"/>
    <w:p>
      <w:pPr>
        <w:ind w:right="20"/>
        <w:spacing w:after="0" w:line="244" w:lineRule="auto"/>
        <w:rPr>
          <w:sz w:val="20"/>
          <w:szCs w:val="20"/>
          <w:color w:val="auto"/>
        </w:rPr>
      </w:pPr>
      <w:r>
        <w:rPr>
          <w:rFonts w:ascii="Arial" w:cs="Arial" w:eastAsia="Arial" w:hAnsi="Arial"/>
          <w:sz w:val="17"/>
          <w:szCs w:val="17"/>
          <w:color w:val="auto"/>
        </w:rPr>
        <w:t>continual requirements of and review by the FDA and other regulatory bodies, including through inspections of our facilities. As an approved product, BioThrax is subject to these requirements and ongoing review. These requirements include submissions of safety and other post-marketing information and reports, registration requirements, cGMP requirements relating to quality control, quality assurance and corresponding maintenance of records and documents, and recordkeeping. The FDA enforces its cGMP and other requirements through periodic unannounced inspections of manufacturing facilities. The FDA is authorized to inspect manufacturing facilities without a warrant at reasonable times and in a reasonable manner.</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After we acquired BioThrax and related vaccine manufacturing facilities in Lansing, Michigan in 1998 from the Michigan Biologic Products Institute, we spent significant amounts of time and money renovating those facilities before the FDA approved a supplement to our manufacturing facility license in December 2001. The State of Michigan had initiated renovations after the FDA issued a notice of intent to revoke the FDA license to manufacture BioThrax in 1997. The notice of intent to revoke cited significant deviations by the Michigan Biologic Products Institute from cGMP requirements, including quality control failures. After approving the renovated Lansing facilities in December 2001, the FDA conducted routine, biannual inspections of the Lansing facilities in September 2002, May 2004 and May 2006. Following each of these inspections, the FDA issued inspectional observations on Form FDA 483. We responded to the FDA regarding the inspectional observations relating to each inspection and, where necessary, implemented corrective action. In December 2005, the FDA stated in its final order on BioThrax that at that time we were in compliance with all regulatory requirements related to the manufacture of BioThrax and that the FDA would continue to evaluate the production of BioThrax to assure compliance with federal standards and regulations. Although we have filed a letter with the FDA confirming that we have closed out all inspectional observations relating to the May 2006 inspection, the FDA may not find our corrective actions to be adequate. If the FDA finds that we are not in substantial compliance with cGMP requirements, the FDA may undertake enforcement action against us.</w:t>
      </w:r>
    </w:p>
    <w:p>
      <w:pPr>
        <w:spacing w:after="0" w:line="10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Later discovery of previously unknown problems with our products or manufacturing processes, or failure to comply with regulatory requirements, may result in:</w:t>
      </w:r>
    </w:p>
    <w:p>
      <w:pPr>
        <w:spacing w:after="0" w:line="99" w:lineRule="exact"/>
        <w:rPr>
          <w:sz w:val="20"/>
          <w:szCs w:val="20"/>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withdrawal of the product from the market;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voluntary or mandatory product recall;</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fines or disgorgement of profits or revenue;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suspension or withdrawal of regulatory approvals, including license revocation;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to permit the import or export of products;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 seizure;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37" w:name="page38"/>
    <w:bookmarkEnd w:id="37"/>
    <w:p>
      <w:pPr>
        <w:ind w:right="120"/>
        <w:spacing w:after="0" w:line="262" w:lineRule="auto"/>
        <w:rPr>
          <w:sz w:val="20"/>
          <w:szCs w:val="20"/>
          <w:color w:val="auto"/>
        </w:rPr>
      </w:pPr>
      <w:r>
        <w:rPr>
          <w:rFonts w:ascii="Arial" w:cs="Arial" w:eastAsia="Arial" w:hAnsi="Arial"/>
          <w:sz w:val="17"/>
          <w:szCs w:val="17"/>
          <w:b w:val="1"/>
          <w:bCs w:val="1"/>
          <w:i w:val="1"/>
          <w:iCs w:val="1"/>
          <w:color w:val="auto"/>
        </w:rPr>
        <w:t>We may not be able to obtain orphan drug exclusivity for our products. If our competitors are able to obtain orphan drug exclusivity for their products that are the same as our products, we may not be able to have competing products approved by the applicable regulatory authority for a significant period of time.</w:t>
      </w:r>
    </w:p>
    <w:p>
      <w:pPr>
        <w:spacing w:after="0" w:line="87"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Regulatory authorities in some jurisdictions, including the United States and Europe, may designate drugs and biologics for relatively small patient populations as orphan drugs. Generally, if a product with an orphan drug designation subsequently receives the first marketing approval for the indication for which it has such designation, the product is entitled to a seven-year period of marketing exclusivity, which precludes the FDA from approving another marketing application for the same drug or biologic for that time period for the same indication. Orphan drug exclusivity in Europe lasts for ten years, but can be reduced to six years if a drug or biologic no longer meets the criteria for orphan drug designation or if the drug or biologic is sufficiently profitable so that market exclusivity is no longer justified. If a competitor obtains orphan drug exclusivity for an indication for a product that competes with one of the indications for one of our product candidates before we obtain orphan drug designation, and if the competitor’s product is the same drug as ours, the FDA would be prohibited from approving our product candidate for the same orphan indication unless we demonstrate that our product is clinically superior. None of our products or product candidates have been designated as orphan drugs. Even if we obtain orphan drug exclusivity for one or more indications for one of our product candidates, we may not be able to maintain it. For example, if a competitive product that is the same drug or biologic as our product is shown to be clinically superior to our product, any orphan drug exclusivity we have obtained will not block the approval of that competitive product.</w:t>
      </w:r>
    </w:p>
    <w:p>
      <w:pPr>
        <w:spacing w:after="0" w:line="390"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b w:val="1"/>
          <w:bCs w:val="1"/>
          <w:i w:val="1"/>
          <w:iCs w:val="1"/>
          <w:color w:val="auto"/>
        </w:rPr>
        <w:t>Failure to obtain regulatory approval in international jurisdictions would prevent us from marketing our products abroad.</w:t>
      </w:r>
    </w:p>
    <w:p>
      <w:pPr>
        <w:spacing w:after="0" w:line="7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intend to have our products marketed outside the United States. To market our products in the European Union and many other foreign jurisdictions, we may need to obtain separate regulatory approvals and comply with numerous and varying regulatory requirements. With respect to some of our product candidates, we expect that a future collaborator will have responsibility to obtain regulatory approvals outside the United States, and we will depend on our collaborators to obtain these approvals. The approval procedure varies among countries and can involve additional testing. The time required to obtain approval may differ from that required to obtain FDA approval. The foreign regulatory approval process may include all of the risks associated with obtaining FDA approval. We may not obtain foreign regulatory approvals on a timely basis, if at all. Approval by the FDA does not ensure approval by regulatory authorities in other countries or jurisdictions, and approval by one foreign regulatory authority does not ensure approval by regulatory authorities in other foreign countries or jurisdictions or by the FDA. We and our collaborators may not be able to file for regulatory approvals and may not receive necessary approvals to commercialize our products in any market.</w:t>
      </w:r>
    </w:p>
    <w:p>
      <w:pPr>
        <w:spacing w:after="0" w:line="3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dependence on third parties</w:t>
      </w:r>
    </w:p>
    <w:p>
      <w:pPr>
        <w:spacing w:after="0" w:line="124"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b w:val="1"/>
          <w:bCs w:val="1"/>
          <w:i w:val="1"/>
          <w:iCs w:val="1"/>
          <w:color w:val="auto"/>
        </w:rPr>
        <w:t>We may not be successful in maintaining and establishing collaborations, which could adversely affect our ability to develop and, particularly in international markets, commercialize our product candidates.</w:t>
      </w:r>
    </w:p>
    <w:p>
      <w:pPr>
        <w:spacing w:after="0" w:line="7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For each of our product candidates, we plan to evaluate the merits of retaining commercialization rights for ourselves or entering into collaboration arrangements with leading pharmaceutical or biotechnology companies or non-governmental organizations, such as our collaboration agreement with Sanofi Pasteur for our meningitis B vaccine candidate. We expect that we will selectively pursue collaboration</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17" w:right="1079" w:bottom="1440" w:gutter="0" w:footer="0" w:header="0"/>
        </w:sectPr>
      </w:pPr>
    </w:p>
    <w:bookmarkStart w:id="38" w:name="page39"/>
    <w:bookmarkEnd w:id="38"/>
    <w:p>
      <w:pPr>
        <w:spacing w:after="0" w:line="244" w:lineRule="auto"/>
        <w:rPr>
          <w:sz w:val="20"/>
          <w:szCs w:val="20"/>
          <w:color w:val="auto"/>
        </w:rPr>
      </w:pPr>
      <w:r>
        <w:rPr>
          <w:rFonts w:ascii="Arial" w:cs="Arial" w:eastAsia="Arial" w:hAnsi="Arial"/>
          <w:sz w:val="17"/>
          <w:szCs w:val="17"/>
          <w:color w:val="auto"/>
        </w:rPr>
        <w:t>arrangements in situations in which the collaborator has particular expertise or resources for the development or commercialization of our products and product candidates or to access particular markets. If we are unable to reach agreements with suitable collaborators, we may fail to meet our business objectives for the affected product or program. We face, and will continue to face,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The terms of any collaborations or other arrangements that we establish may not be favorable to us.</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Any collaboration that we enter into may not be successful. The success of our collaboration arrangements will depend heavily on the efforts and activities of our collaborators. It is likely that our collaborators will have significant discretion in determining the efforts and resources that they will apply to these collaborations. In particular, the successful development of our meningitis B vaccine candidate will initially depend on the success of our research collaboration with Sanofi Pasteur and whether Sanofi Pasteur selects one or more viable candidates pursuant to the collaboration for development of a product. Thereafter, Sanofi Pasteur will have significant discretion in the development and commercialization of any such candidate. Sanofi Pasteur may choose not to pursue further development and commercialization of any candidate that it selects based on many factors outside our control. Sanofi Pasteur has the ability to suspend development of a candidate under the collaboration in various circumstances. The risks that we are subject to in our current collaborations, and anticipate being subject to in future collaborations, include the following:</w:t>
      </w:r>
    </w:p>
    <w:p>
      <w:pPr>
        <w:spacing w:after="0" w:line="301" w:lineRule="exact"/>
        <w:rPr>
          <w:sz w:val="20"/>
          <w:szCs w:val="20"/>
          <w:color w:val="auto"/>
        </w:rPr>
      </w:pPr>
    </w:p>
    <w:p>
      <w:pPr>
        <w:ind w:left="220" w:right="180" w:hanging="210"/>
        <w:spacing w:after="0" w:line="258" w:lineRule="auto"/>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collaboration agreements are likely to be for fixed terms and subject to termination by our collaborators in the event of a material breach by us;</w:t>
      </w:r>
    </w:p>
    <w:p>
      <w:pPr>
        <w:spacing w:after="0" w:line="90" w:lineRule="exact"/>
        <w:rPr>
          <w:rFonts w:ascii="Arial" w:cs="Arial" w:eastAsia="Arial" w:hAnsi="Arial"/>
          <w:sz w:val="17"/>
          <w:szCs w:val="17"/>
          <w:color w:val="auto"/>
        </w:rPr>
      </w:pPr>
    </w:p>
    <w:p>
      <w:pPr>
        <w:jc w:val="both"/>
        <w:ind w:left="220" w:right="60" w:hanging="210"/>
        <w:spacing w:after="0" w:line="250" w:lineRule="auto"/>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collaborators may have the first right to maintain or defend our intellectual property rights and, although we may have the right to assume the maintenance and defense of our intellectual property rights if our collaborators do not do so, our ability to maintain and defend our intellectual property rights may be compromised by our collaborators’ acts or omissions; and</w:t>
      </w:r>
    </w:p>
    <w:p>
      <w:pPr>
        <w:spacing w:after="0" w:line="96" w:lineRule="exact"/>
        <w:rPr>
          <w:rFonts w:ascii="Arial" w:cs="Arial" w:eastAsia="Arial" w:hAnsi="Arial"/>
          <w:sz w:val="17"/>
          <w:szCs w:val="17"/>
          <w:color w:val="auto"/>
        </w:rPr>
      </w:pPr>
    </w:p>
    <w:p>
      <w:pPr>
        <w:ind w:left="220" w:right="620" w:hanging="210"/>
        <w:spacing w:after="0" w:line="258" w:lineRule="auto"/>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collaborators may utilize our intellectual property rights in such a way as to invite litigation that could jeopardize or invalidate our intellectual property rights or expose us to potential liability.</w:t>
      </w:r>
    </w:p>
    <w:p>
      <w:pPr>
        <w:spacing w:after="0" w:line="90"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For example, Sanofi Pasteur has the right to terminate our meningitis B vaccine collaboration at any time after April 1, 2007 upon six months’ prior written notice. Sanofi Pasteur can also terminate the collaboration upon a change of control or insolvency event involving us or upon our uncured material breach. Those terminations or expirations would adversely affect us financially and could harm our business reputation.</w:t>
      </w:r>
    </w:p>
    <w:p>
      <w:pPr>
        <w:spacing w:after="0" w:line="187"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b w:val="1"/>
          <w:bCs w:val="1"/>
          <w:i w:val="1"/>
          <w:iCs w:val="1"/>
          <w:color w:val="auto"/>
        </w:rPr>
        <w:t>If third parties on whom we rely for clinical trials do not perform as contractually required or as we expect, we may not be able to obtain regulatory approval for or commercialize our product candidates, and our business may suffer.</w:t>
      </w:r>
    </w:p>
    <w:p>
      <w:pPr>
        <w:spacing w:after="0" w:line="70" w:lineRule="exact"/>
        <w:rPr>
          <w:sz w:val="20"/>
          <w:szCs w:val="20"/>
          <w:color w:val="auto"/>
        </w:rPr>
      </w:pPr>
    </w:p>
    <w:p>
      <w:pPr>
        <w:jc w:val="both"/>
        <w:ind w:right="40"/>
        <w:spacing w:after="0" w:line="250" w:lineRule="auto"/>
        <w:rPr>
          <w:sz w:val="20"/>
          <w:szCs w:val="20"/>
          <w:color w:val="auto"/>
        </w:rPr>
      </w:pPr>
      <w:r>
        <w:rPr>
          <w:rFonts w:ascii="Arial" w:cs="Arial" w:eastAsia="Arial" w:hAnsi="Arial"/>
          <w:sz w:val="17"/>
          <w:szCs w:val="17"/>
          <w:color w:val="auto"/>
        </w:rPr>
        <w:t>We do not have the ability to independently conduct the clinical trials required to obtain regulatory approval for our products. We depend on independent clinical investigators, contract research organizations and other third party service providers to conduct the clinical trials of our product candidates and expect to continue to do so.</w:t>
      </w:r>
    </w:p>
    <w:p>
      <w:pPr>
        <w:spacing w:after="0" w:line="96"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We rely heavily on these third parties for successful execution of our clinical trials, but do not exercise day-to-day control over their activities. We are responsible for ensuring that each of our clinical trials is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39" w:name="page40"/>
    <w:bookmarkEnd w:id="39"/>
    <w:p>
      <w:pPr>
        <w:spacing w:after="0" w:line="244" w:lineRule="auto"/>
        <w:rPr>
          <w:sz w:val="20"/>
          <w:szCs w:val="20"/>
          <w:color w:val="auto"/>
        </w:rPr>
      </w:pPr>
      <w:r>
        <w:rPr>
          <w:rFonts w:ascii="Arial" w:cs="Arial" w:eastAsia="Arial" w:hAnsi="Arial"/>
          <w:sz w:val="17"/>
          <w:szCs w:val="17"/>
          <w:color w:val="auto"/>
        </w:rPr>
        <w:t>conducted in accordance with the general investigational plan and protocols for the trial. Moreover, the FDA requires us to comply with standards, commonly referred to as Good Clinical Practices, for conducting and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Third parties may not complete activities on schedule, or may not conduct our clinical trials in accordance with regulatory requirements or our stated protocols. The failure of these third parties to carry out their obligations could delay or prevent the development, approval and commercialization of our product candidates.</w:t>
      </w:r>
    </w:p>
    <w:p>
      <w:pPr>
        <w:spacing w:after="0" w:line="10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In addition, we encourage government entities and non-government organizations to conduct studies of, and pursue other development efforts for, our product candidates. For example, the CDC is currently conducting an independent clinical trial to evaluate the administration of BioThrax in a regimen of fewer doses. We participate in monthly meetings with the trial investigators and in the annual review meeting for this trial and provide input to the CDC for responses to FDA questions and requests for additional information. We expect to rely on data from these development efforts in seeking marketing approval for our product candidates. For example, our BLA supplement for a label expansion of BioThrax for a regimen of fewer doses is based on the interim trial report provided to us by the CDC from its ongoing clinical trial. We currently are awaiting the final data from the CDC trial, which we expect at the end of 2007. These government entities and non-government organizations have no obligation or commitment to us to conduct or complete any of these studies or clinical trials and may choose to discontinue these development efforts at any time. In addition, government entities depend on annual Congressional appropriations to fund these development efforts. In prior years, there has been some uncertainty whether Congress would choose to fund the CDC trial. Although the trial has been funded to date, Congress may not continue to fund the trial.</w:t>
      </w:r>
    </w:p>
    <w:p>
      <w:pPr>
        <w:spacing w:after="0" w:line="90"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If we are unable to in license the necessary components of a next generation anthrax vaccine, we will not be successful in developing or commercializing such a product candidate.</w:t>
      </w:r>
    </w:p>
    <w:p>
      <w:pPr>
        <w:spacing w:after="0" w:line="70"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If we continue to pursue the development of a next generation anthrax vaccine, including a product candidate relating to any of the proposals we submitted in September 2006 in response to a NIAID request for proposals, we expect that we will need to in license various components of the product candidate, including adjuvants and novel delivery technologies. There are a limited number of companies from whom we can license these components. We may be unable to obtain licenses to the necessary components of a next generation anthrax vaccine on acceptable terms, or at all. If we are unable to obtain these licenses, we could be prevented from continuing further development of a product candidate that we select for development. Ultimately, even if our development efforts are successful, we could be prevented from commercializing a next generation anthrax vaccine if we are unable to enter into licenses on acceptable terms.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intellectual property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protect our intellectual property rights, which would harm our business.</w:t>
      </w:r>
    </w:p>
    <w:p>
      <w:pPr>
        <w:spacing w:after="0" w:line="13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Our success, particularly with respect to our commercial business, will depend in large part on our ability to obtain and maintain protection in the United States and other countries for the intellectual property covering or incorporated into our technology and products. The patent situation in the field of immunobiotics and other pharmaceuticals generally is highly uncertain and involves complex legal and scientific questions. We may not be able to obtain additional issued patents relating to our technology or products. Even if issued, patents may be challenged, narrowed, invalidated or circumvented, which could limit our ability to stop competitors from marketing similar products or limit the length of term of patent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40" w:name="page41"/>
    <w:bookmarkEnd w:id="40"/>
    <w:p>
      <w:pPr>
        <w:ind w:right="480"/>
        <w:spacing w:after="0" w:line="250" w:lineRule="auto"/>
        <w:rPr>
          <w:sz w:val="20"/>
          <w:szCs w:val="20"/>
          <w:color w:val="auto"/>
        </w:rPr>
      </w:pPr>
      <w:r>
        <w:rPr>
          <w:rFonts w:ascii="Arial" w:cs="Arial" w:eastAsia="Arial" w:hAnsi="Arial"/>
          <w:sz w:val="17"/>
          <w:szCs w:val="17"/>
          <w:color w:val="auto"/>
        </w:rPr>
        <w:t>protection we may have for our products. Changes in patent laws or administrative patent office rules or changes in interpretations of patent laws in the United States and other countries may diminish the value of our intellectual property or narrow the scope of our patent protection.</w:t>
      </w:r>
    </w:p>
    <w:p>
      <w:pPr>
        <w:spacing w:after="0" w:line="9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patents also may not afford us protection against competitors with similar technology. Because patent applications in the United States and many foreign jurisdictions are typically not published until 18 months after filing, or in some cases not at all, and because publications of discoveries in the scientific literature often lag behind actual discoveries, neither we nor our licensors can be certain that we or they were the first to make the inventions claimed in issued patents or pending patent applications, or that we or they were the first to file for protection of the inventions set forth in these patent applications. In addition, patents generally expire, regardless of their date of issue, 20 years from the earliest claimed non-provisional filing date. As a result, the time required to obtain regulatory approval for a product candidate may consume part or all of the patent term. We are not able to accurately predict the remaining length of the applicable patent term following regulatory approval of any of our product candidates.</w:t>
      </w:r>
    </w:p>
    <w:p>
      <w:pPr>
        <w:spacing w:after="0" w:line="3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Under our collaboration agreement with Sanofi Pasteur for our meningitis B vaccine candidate, we have the right to prosecute and maintain our patent rights under the collaboration agreement. Sanofi Pasteur is responsible for prosecuting and maintaining joint patent rights under the collaboration agreement, although we have the right to support the continued prosecution or maintenance of the joint patent rights if Sanofi Pasteur fails to do so. In addition, Sanofi Pasteur has the first right to pursue claims against third parties for infringement of the patent rights under the collaboration agreement and assume the defense of any infringement claims that may arise, although we have the right to pursue infringement claims against third parties and assume the defense of infringement claims if Sanofi Pasteur fails to do so. Under our licenses with HPA relating to our recombinant bivalent botulinum vaccine candidate and the botulinum toxoid vaccine that we plan to use as the basis for our botulinum immune globulin candidate, HPA is responsible for prosecuting and maintaining patent rights, although we have the right to support the continued prosecution or maintenance of the patent rights if HPA fails to do so. In addition, we have the first right to pursue claims against third parties for infringement of the patent rights and assume the defense of any infringement claims that may arise.</w:t>
      </w:r>
    </w:p>
    <w:p>
      <w:pPr>
        <w:spacing w:after="0" w:line="192"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b w:val="1"/>
          <w:bCs w:val="1"/>
          <w:i w:val="1"/>
          <w:iCs w:val="1"/>
          <w:color w:val="auto"/>
        </w:rPr>
        <w:t>If we fail to comply with our obligations in our intellectual property licenses with third parties, we could lose license rights that are important to our business.</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a party to a number of license agreements. We consider our licenses with HPA relating to our recombinant bivalent botulinum vaccine candidate and the botulinum toxoid vaccine that we plan to use as the basis for our botulinum immune globulin candidate to be material to our business. Under these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 We expect to enter into additional licenses in the future. Our existing licenses impose, and we expect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41" w:name="page42"/>
    <w:bookmarkEnd w:id="41"/>
    <w:p>
      <w:pPr>
        <w:ind w:right="80"/>
        <w:spacing w:after="0" w:line="283" w:lineRule="auto"/>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and know-how, the value of our technology and products could be adversely affected.</w:t>
      </w:r>
    </w:p>
    <w:p>
      <w:pPr>
        <w:spacing w:after="0" w:line="70"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In addition to patented technology, we rely upon unpatented proprietary technology, processes and know-how, particularly as to our proprietary manufacturing processes. Because we do not have patent protection for BioThrax, the label expansions and improvements that we are pursuing for BioThrax or our anthrax immune globulin candidate, our only intellectual property protection for BioThrax and our anthrax immune globulin candidate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and third parties. These agreements may be breached, and we may not have adequate remedies for any such breach. In addition, our trade secrets may otherwise become known or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infringe or are alleged to infringe intellectual property rights of third parties, it will adversely affect our business.</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licenses or other rights. Third parties may own or control these patents and intellectual property rights in the United States and abroad. These third parties could bring claims against us or our collaborators that would cause us to incur substantial expenses and, if successful against us, could cause us to pay substantial damages. Further, if a patent infringement or other similar suit were brought against us or our collaborators, we or they could be forced to stop or delay development, manufacturing or sales of the product or product candidate that is the subject of the suit.</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a result of patent infringement or other similar claims, or to avoid potential claims, we or our collaborators may choose or be required to seek a license from the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w:t>
      </w:r>
    </w:p>
    <w:p>
      <w:pPr>
        <w:spacing w:after="0" w:line="102"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There has been substantial litigation and other proceedings regarding patent and other intellectual property rights in the biotechnology and pharmaceutical industries. For example, we are aware of and are monitoring ongoing litigation between Bavarian Nordic and Acambis relating to the manufacture of the modified vaccinia Ankara virus, or MVA, as a smallpox vaccine for biodefense use by the U.S. government. We have licensed from the Bavarian State Ministry of the Environment, Public Health and Consumer Protection rights to materials and technology related to MVA. Our MVAtor</w:t>
      </w:r>
      <w:r>
        <w:rPr>
          <w:rFonts w:ascii="Arial" w:cs="Arial" w:eastAsia="Arial" w:hAnsi="Arial"/>
          <w:sz w:val="10"/>
          <w:szCs w:val="10"/>
          <w:color w:val="auto"/>
        </w:rPr>
        <w:t>TM</w:t>
      </w:r>
      <w:r>
        <w:rPr>
          <w:rFonts w:ascii="Arial" w:cs="Arial" w:eastAsia="Arial" w:hAnsi="Arial"/>
          <w:sz w:val="17"/>
          <w:szCs w:val="17"/>
          <w:color w:val="auto"/>
        </w:rPr>
        <w:t xml:space="preserve"> platform technology, which is based on these licensed rights, could potentially be used as a viral vector for delivery of multiple vaccine antigens for different disease-causing organisms, including influenza, using recombinant technology. As a result, our licensed rights and our ability to use our MVAtor platform technology could be negatively affected by the outcome of this ongoing litigation. It also is possible that we could be named as a defendant in future similar litigation relating to MVA. In addition to infringement claims against us, we may become a party to other patent litigation and other proceedings, including interference and reexamination proceedings declared by the United States Patent and Trademark Office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42" w:name="page43"/>
    <w:bookmarkEnd w:id="42"/>
    <w:p>
      <w:pPr>
        <w:ind w:right="40"/>
        <w:spacing w:after="0" w:line="243" w:lineRule="auto"/>
        <w:rPr>
          <w:sz w:val="20"/>
          <w:szCs w:val="20"/>
          <w:color w:val="auto"/>
        </w:rPr>
      </w:pPr>
      <w:r>
        <w:rPr>
          <w:rFonts w:ascii="Arial" w:cs="Arial" w:eastAsia="Arial" w:hAnsi="Arial"/>
          <w:sz w:val="17"/>
          <w:szCs w:val="17"/>
          <w:color w:val="auto"/>
        </w:rPr>
        <w:t>and opposition proceedings in the European Patent Office, regarding intellectual property rights with respect to our products and technology. For example, we have filed an opposition in the European Patent Office against Bavarian Nordic’s patent covering certain aspects of the MVA technology. We may also become a party to trademark invalidation and interference proceedings in foreign trademark offices.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acquisition strategy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 of generating growth through acquisitions may not be successful.</w:t>
      </w:r>
    </w:p>
    <w:p>
      <w:pPr>
        <w:spacing w:after="0" w:line="13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We have pursued an acquisition strategy since our inception to build our business of developing, manufacturing and commercializing immunobiotics. We commenced operations in September 1998 through an acquisition of rights to BioThrax, vaccine manufacturing facilities at a multi-building campus on approximately 12.5 acres in Lansing, Michigan and vaccine development and production know-how from the Michigan Biologic Products Institute. We acquired our pipeline of commercial vaccine candidates through our acquisition of Microscience in 2005 and our acquisition of substantially all of the assets of Antex in 2003.</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the future, we may be unable to license or acquire suitable products or product candidates from third parties for a number of reasons. In particular, the licensing and acquisition of pharmaceutical and biological products is a competitive area. A number of more established companies are also pursuing strategies to license or acquire products in the immunobiotics field. These established companies may have a competitive advantage over us due to their size, cash resources and greater clinical development and commercialization capabilities. Other factors that may prevent us from licensing or otherwise acquiring suitable products and product candidates include the following:</w:t>
      </w:r>
    </w:p>
    <w:p>
      <w:pPr>
        <w:spacing w:after="0" w:line="104" w:lineRule="exact"/>
        <w:rPr>
          <w:sz w:val="20"/>
          <w:szCs w:val="20"/>
          <w:color w:val="auto"/>
        </w:rPr>
      </w:pPr>
    </w:p>
    <w:p>
      <w:pPr>
        <w:ind w:left="220" w:right="220" w:hanging="210"/>
        <w:spacing w:after="0" w:line="258" w:lineRule="auto"/>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unable to license or acquire the relevant technology on terms that would allow us to make an appropriate return on the product;</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companies that perceive us to be their competitor may be unwilling to assign or license their product rights to us; or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unable to identify suitable products or product candidates within our areas of expertise.</w:t>
      </w:r>
    </w:p>
    <w:p>
      <w:pPr>
        <w:spacing w:after="0" w:line="119" w:lineRule="exact"/>
        <w:rPr>
          <w:sz w:val="20"/>
          <w:szCs w:val="20"/>
          <w:color w:val="auto"/>
        </w:rPr>
      </w:pPr>
    </w:p>
    <w:p>
      <w:pPr>
        <w:ind w:right="460"/>
        <w:spacing w:after="0" w:line="250" w:lineRule="auto"/>
        <w:rPr>
          <w:sz w:val="20"/>
          <w:szCs w:val="20"/>
          <w:color w:val="auto"/>
        </w:rPr>
      </w:pPr>
      <w:r>
        <w:rPr>
          <w:rFonts w:ascii="Arial" w:cs="Arial" w:eastAsia="Arial" w:hAnsi="Arial"/>
          <w:sz w:val="17"/>
          <w:szCs w:val="17"/>
          <w:color w:val="auto"/>
        </w:rPr>
        <w:t>In addition, we expect competition for acquisition candidates in the immunobiotic field to increase, which may mean fewer suitable acquisition opportunities for us as well as higher acquisition prices. If we are unable to successfully obtain rights to suitable products and product candidates, our business, financial condition and prospects for growth could suffer.</w:t>
      </w:r>
    </w:p>
    <w:p>
      <w:pPr>
        <w:spacing w:after="0" w:line="181" w:lineRule="exact"/>
        <w:rPr>
          <w:sz w:val="20"/>
          <w:szCs w:val="20"/>
          <w:color w:val="auto"/>
        </w:rPr>
      </w:pPr>
    </w:p>
    <w:p>
      <w:pPr>
        <w:ind w:right="600"/>
        <w:spacing w:after="0" w:line="283" w:lineRule="auto"/>
        <w:rPr>
          <w:sz w:val="20"/>
          <w:szCs w:val="20"/>
          <w:color w:val="auto"/>
        </w:rPr>
      </w:pPr>
      <w:r>
        <w:rPr>
          <w:rFonts w:ascii="Arial" w:cs="Arial" w:eastAsia="Arial" w:hAnsi="Arial"/>
          <w:sz w:val="17"/>
          <w:szCs w:val="17"/>
          <w:b w:val="1"/>
          <w:bCs w:val="1"/>
          <w:i w:val="1"/>
          <w:iCs w:val="1"/>
          <w:color w:val="auto"/>
        </w:rPr>
        <w:t>If we fail to successfully manage any acquisitions, our ability to develop our product candidates and expand our product candidate pipeline may be harmed.</w:t>
      </w:r>
    </w:p>
    <w:p>
      <w:pPr>
        <w:spacing w:after="0" w:line="70"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As part of our business strategy, we intend to continue to seek to obtain marketed products and development stage product candidates through acquisitions and licensing arrangements with third parties. The failure to adequately address the financial, operational or legal risks of these transactions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43" w:name="page44"/>
    <w:bookmarkEnd w:id="43"/>
    <w:p>
      <w:pPr>
        <w:spacing w:after="0" w:line="258" w:lineRule="auto"/>
        <w:rPr>
          <w:sz w:val="20"/>
          <w:szCs w:val="20"/>
          <w:color w:val="auto"/>
        </w:rPr>
      </w:pPr>
      <w:r>
        <w:rPr>
          <w:rFonts w:ascii="Arial" w:cs="Arial" w:eastAsia="Arial" w:hAnsi="Arial"/>
          <w:sz w:val="17"/>
          <w:szCs w:val="17"/>
          <w:color w:val="auto"/>
        </w:rPr>
        <w:t>could harm our business. Financial aspects of these transactions that could alter our financial position, reported operating results or stock price include:</w:t>
      </w:r>
    </w:p>
    <w:p>
      <w:pPr>
        <w:spacing w:after="0" w:line="90" w:lineRule="exact"/>
        <w:rPr>
          <w:sz w:val="20"/>
          <w:szCs w:val="20"/>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use of cash resources;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higher than anticipated acquisition costs and expenses;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potentially dilutive issuances of equity securities;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incurrence of debt and contingent liabilities, impairment losses or restructuring charges;</w:t>
      </w:r>
    </w:p>
    <w:p>
      <w:pPr>
        <w:spacing w:after="0" w:line="105" w:lineRule="exact"/>
        <w:rPr>
          <w:rFonts w:ascii="Arial" w:cs="Arial" w:eastAsia="Arial" w:hAnsi="Arial"/>
          <w:sz w:val="17"/>
          <w:szCs w:val="17"/>
          <w:color w:val="auto"/>
        </w:rPr>
      </w:pPr>
    </w:p>
    <w:p>
      <w:pPr>
        <w:ind w:left="220" w:right="200" w:hanging="210"/>
        <w:spacing w:after="0" w:line="258" w:lineRule="auto"/>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large write-offs and difficulties in assessing the relative percentages of in-process research and development expense that can be immediately written off as compared to the amount that must be amortized over the appropriate life of the asset; 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amortization expenses related to other intangible assets.</w:t>
      </w:r>
    </w:p>
    <w:p>
      <w:pPr>
        <w:spacing w:after="0" w:line="119"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Operational risks that could harm our existing operations or prevent realization of anticipated benefits from these transactions include:</w:t>
      </w:r>
    </w:p>
    <w:p>
      <w:pPr>
        <w:spacing w:after="0" w:line="90" w:lineRule="exact"/>
        <w:rPr>
          <w:sz w:val="20"/>
          <w:szCs w:val="20"/>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challenges associated with managing an increasingly diversified business;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disruption of our ongoing business;</w:t>
      </w:r>
    </w:p>
    <w:p>
      <w:pPr>
        <w:spacing w:after="0" w:line="105" w:lineRule="exact"/>
        <w:rPr>
          <w:rFonts w:ascii="Arial" w:cs="Arial" w:eastAsia="Arial" w:hAnsi="Arial"/>
          <w:sz w:val="17"/>
          <w:szCs w:val="17"/>
          <w:color w:val="auto"/>
        </w:rPr>
      </w:pPr>
    </w:p>
    <w:p>
      <w:pPr>
        <w:ind w:left="220" w:right="180" w:hanging="210"/>
        <w:spacing w:after="0" w:line="258" w:lineRule="auto"/>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difficulty and expense in assimilating the operations, products, technology, information systems or personnel of the acquired company;</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diversion of management’s time and attention from other business concerns;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inability to maintain uniform standards, controls, procedures and policies;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assumption of known and unknown liabilities of the acquired company, including intellectual property claims;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subsequent loss of key personnel.</w:t>
      </w:r>
    </w:p>
    <w:p>
      <w:pPr>
        <w:spacing w:after="0" w:line="119" w:lineRule="exact"/>
        <w:rPr>
          <w:sz w:val="20"/>
          <w:szCs w:val="20"/>
          <w:color w:val="auto"/>
        </w:rPr>
      </w:pPr>
    </w:p>
    <w:p>
      <w:pPr>
        <w:ind w:right="620"/>
        <w:spacing w:after="0" w:line="258" w:lineRule="auto"/>
        <w:rPr>
          <w:sz w:val="20"/>
          <w:szCs w:val="20"/>
          <w:color w:val="auto"/>
        </w:rPr>
      </w:pPr>
      <w:r>
        <w:rPr>
          <w:rFonts w:ascii="Arial" w:cs="Arial" w:eastAsia="Arial" w:hAnsi="Arial"/>
          <w:sz w:val="17"/>
          <w:szCs w:val="17"/>
          <w:color w:val="auto"/>
        </w:rPr>
        <w:t>If we are unable to successfully manage our acquisitions, our ability to develop new products and continue to expand our product pipeline may be limited.</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the offering</w:t>
      </w:r>
    </w:p>
    <w:p>
      <w:pPr>
        <w:spacing w:after="0" w:line="12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b w:val="1"/>
          <w:bCs w:val="1"/>
          <w:i w:val="1"/>
          <w:iCs w:val="1"/>
          <w:color w:val="auto"/>
        </w:rPr>
        <w:t>Fuad El-Hibri, our president, chief executive officer and chairman of our board of directors, will continue to have substantial control over us after this offering, including through his ability to control the election of the members of our board of directors, and could delay or prevent a change of control.</w:t>
      </w:r>
    </w:p>
    <w:p>
      <w:pPr>
        <w:spacing w:after="0" w:line="87"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Even after this offering, Mr. El-Hibri will be able to control the election of the members of our board of directors through his ownership interests and voting arrangements among our significant stockholders. Immediately prior to this offering, Mr. El-Hibri was the beneficial owner of 99.5% of our outstanding common stock. Immediately following this offering, Mr. El-Hibri will be the beneficial owner of 81.4% of our outstanding common stock, or 78.9% of our outstanding common stock if the underwriters exercise their over-allotment option in full.</w:t>
      </w:r>
    </w:p>
    <w:p>
      <w:pPr>
        <w:spacing w:after="0" w:line="102"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Because Mr. El-Hibri will be able to control the election of the members of our board, and because of his substantial control of our capital stock, Mr. El-Hibri will likely have the ability to delay or prevent a change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44" w:name="page45"/>
    <w:bookmarkEnd w:id="44"/>
    <w:p>
      <w:pPr>
        <w:ind w:right="20"/>
        <w:spacing w:after="0" w:line="247" w:lineRule="auto"/>
        <w:rPr>
          <w:sz w:val="20"/>
          <w:szCs w:val="20"/>
          <w:color w:val="auto"/>
        </w:rPr>
      </w:pPr>
      <w:r>
        <w:rPr>
          <w:rFonts w:ascii="Arial" w:cs="Arial" w:eastAsia="Arial" w:hAnsi="Arial"/>
          <w:sz w:val="17"/>
          <w:szCs w:val="17"/>
          <w:color w:val="auto"/>
        </w:rPr>
        <w:t>of control of our company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and may result in conflicts of interest that could cause our stock price to decline.</w:t>
      </w:r>
    </w:p>
    <w:p>
      <w:pPr>
        <w:spacing w:after="0" w:line="184"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w:t>
      </w:r>
    </w:p>
    <w:p>
      <w:pPr>
        <w:spacing w:after="0" w:line="7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Provisions of our certificate of incorporation and by-laws may discourage, delay or prevent a merger, acquisition or other change in control that stockholders may consider favorable, including transactions in which you might otherwise receive a premium for your shares. These provisions may also prevent or frustrate attempts by our stockholders to replace or remove our management. These provisions include:</w:t>
      </w:r>
    </w:p>
    <w:p>
      <w:pPr>
        <w:spacing w:after="0" w:line="99" w:lineRule="exact"/>
        <w:rPr>
          <w:sz w:val="20"/>
          <w:szCs w:val="20"/>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classification of our directors;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on changing the number of directors then in office;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on the removal of directors;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on filling vacancies on the board;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on the removal and appointment of the chairman of our board of directors;</w:t>
      </w:r>
    </w:p>
    <w:p>
      <w:pPr>
        <w:spacing w:after="0" w:line="105" w:lineRule="exact"/>
        <w:rPr>
          <w:rFonts w:ascii="Arial" w:cs="Arial" w:eastAsia="Arial" w:hAnsi="Arial"/>
          <w:sz w:val="17"/>
          <w:szCs w:val="17"/>
          <w:color w:val="auto"/>
        </w:rPr>
      </w:pPr>
    </w:p>
    <w:p>
      <w:pPr>
        <w:ind w:left="220" w:right="100" w:hanging="210"/>
        <w:spacing w:after="0" w:line="258" w:lineRule="auto"/>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following the second anniversary of the completion of this offering, advance notice requirements for stockholder nominations for election of directors and other proposals;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inability of stockholders to act by written consent;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inability of stockholders to call special meetings; and</w:t>
      </w:r>
    </w:p>
    <w:p>
      <w:pPr>
        <w:spacing w:after="0" w:line="105" w:lineRule="exact"/>
        <w:rPr>
          <w:rFonts w:ascii="Arial" w:cs="Arial" w:eastAsia="Arial" w:hAnsi="Arial"/>
          <w:sz w:val="17"/>
          <w:szCs w:val="17"/>
          <w:color w:val="auto"/>
        </w:rPr>
      </w:pPr>
    </w:p>
    <w:p>
      <w:pPr>
        <w:ind w:left="220" w:right="440" w:hanging="210"/>
        <w:spacing w:after="0" w:line="258" w:lineRule="auto"/>
        <w:tabs>
          <w:tab w:leader="none" w:pos="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w:t>
      </w:r>
    </w:p>
    <w:p>
      <w:pPr>
        <w:spacing w:after="0" w:line="9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Until the second anniversary of the completion of this offering, the affirmative vote of holders of our capital stock representing a majority of the voting power of all outstanding stock entitled to vote is required to amend or repeal the above provisions of our certificate of incorporation. Following the second anniversary of the completion of this offering, the affirmative vote of holders of our capital stock representing at least 75% of the voting power of all outstanding stock entitled to vote is required to amend or repeal the above provisions of our certificate of incorporation. Until the second anniversary of the completion of this offering, the affirmative vote of either at least 75% of the directors then in office or holders of our capital stock representing a majority of the voting power of all outstanding stock entitled to vote is required to amend or repeal our by-laws. Following the second anniversary of the completion of this offering,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03"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In addition, Section 203 of the General Corporation Law of Delaware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45" w:name="page46"/>
    <w:bookmarkEnd w:id="45"/>
    <w:p>
      <w:pPr>
        <w:ind w:right="320"/>
        <w:spacing w:after="0" w:line="258" w:lineRule="auto"/>
        <w:rPr>
          <w:sz w:val="20"/>
          <w:szCs w:val="20"/>
          <w:color w:val="auto"/>
        </w:rPr>
      </w:pPr>
      <w:r>
        <w:rPr>
          <w:rFonts w:ascii="Arial" w:cs="Arial" w:eastAsia="Arial" w:hAnsi="Arial"/>
          <w:sz w:val="17"/>
          <w:szCs w:val="17"/>
          <w:color w:val="auto"/>
        </w:rPr>
        <w:t>stockholder, unless the business combination is approved in a prescribed manner. Accordingly, Section 203 may discourage, delay or prevent a change in control of our company.</w:t>
      </w:r>
    </w:p>
    <w:p>
      <w:pPr>
        <w:spacing w:after="0" w:line="175" w:lineRule="exact"/>
        <w:rPr>
          <w:sz w:val="20"/>
          <w:szCs w:val="20"/>
          <w:color w:val="auto"/>
        </w:rPr>
      </w:pPr>
    </w:p>
    <w:p>
      <w:pPr>
        <w:spacing w:after="0" w:line="283" w:lineRule="auto"/>
        <w:rPr>
          <w:sz w:val="20"/>
          <w:szCs w:val="20"/>
          <w:color w:val="auto"/>
        </w:rPr>
      </w:pPr>
      <w:r>
        <w:rPr>
          <w:rFonts w:ascii="Arial" w:cs="Arial" w:eastAsia="Arial" w:hAnsi="Arial"/>
          <w:sz w:val="17"/>
          <w:szCs w:val="17"/>
          <w:b w:val="1"/>
          <w:bCs w:val="1"/>
          <w:i w:val="1"/>
          <w:iCs w:val="1"/>
          <w:color w:val="auto"/>
        </w:rPr>
        <w:t>Our stockholder rights plan could prevent a change in control of our company in instances in which some stockholders may believe a change in control is in their best interests.</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connection with this offering, we will enter into a rights agreement that establishes our stockholder rights plan. Under the rights agreement, we will issue to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to be determined by our board of directors at the same time the initial public offering price of our common stock is determined. Our stockholder rights plan is intended to protect stockholders in the event of an unfair or coercive offer to acquire our company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and those of our stockholders and may discourage, delay or prevent a merger or acquisition that stockholders may consider favorable, including transactions in which stockholders might otherwise receive a premium for their shares.</w:t>
      </w:r>
    </w:p>
    <w:p>
      <w:pPr>
        <w:spacing w:after="0" w:line="188"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b w:val="1"/>
          <w:bCs w:val="1"/>
          <w:i w:val="1"/>
          <w:iCs w:val="1"/>
          <w:color w:val="auto"/>
        </w:rPr>
        <w:t>If you purchase shares of our common stock in this offering, you will suffer immediate and substantial dilution of your investment.</w:t>
      </w:r>
    </w:p>
    <w:p>
      <w:pPr>
        <w:spacing w:after="0" w:line="7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 Therefore, if you purchase shares of our common stock in this offering, your interest will be diluted immediately to the extent of the difference between the initial public offering price per share of our common stock and the net tangible book value per share of our common stock after this offering. Based on an assumed initial public offering price of $15.00 per share, which is the midpoint of the price range set forth on the cover page of this prospectus, investors in this offering will incur immediate dilution of $ 10.51 per share. To the extent outstanding options are exercised, you will incur further dilution. In addition, based on an assumed initial public offering price of $15.00 per share, which is the midpoint of the price range set forth on the cover page of this prospectus, investors in this offering will have contributed approximately 68% of the total consideration paid by all purchasers of our common stock but will own only approximately 18% of our common stock outstanding after this offering. See “Dilution.”</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common stock may not develop.</w:t>
      </w:r>
    </w:p>
    <w:p>
      <w:pPr>
        <w:spacing w:after="0" w:line="13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was determined through negotiations with the underwriters. Although our common stock has been authorized for listing on the New York Stock Exchange, an active trading market for our shares may never develop or be sustained following this offering. If an active market for our common stock does not develop, it may be difficult to sell shares you purchase in this offering without depressing the market price for the shares or at all.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stock price is volatile, purchasers of our common stock could incur substantial losses.</w:t>
      </w:r>
    </w:p>
    <w:p>
      <w:pPr>
        <w:spacing w:after="0" w:line="13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Our stock price is likely to be volatile. The stock market in general and the market for biotechnology companies in particular have experienced extreme volatility that has often been unrelated to the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46" w:name="page47"/>
    <w:bookmarkEnd w:id="46"/>
    <w:p>
      <w:pPr>
        <w:jc w:val="both"/>
        <w:spacing w:after="0" w:line="258" w:lineRule="auto"/>
        <w:rPr>
          <w:sz w:val="20"/>
          <w:szCs w:val="20"/>
          <w:color w:val="auto"/>
        </w:rPr>
      </w:pPr>
      <w:r>
        <w:rPr>
          <w:rFonts w:ascii="Arial" w:cs="Arial" w:eastAsia="Arial" w:hAnsi="Arial"/>
          <w:sz w:val="17"/>
          <w:szCs w:val="17"/>
          <w:color w:val="auto"/>
        </w:rPr>
        <w:t>operating performance of particular companies. As a result of this volatility, investors may not be able to sell their common stock at or above the initial public offering price. The market price for our common stock may be influenced by many factors, including:</w:t>
      </w:r>
    </w:p>
    <w:p>
      <w:pPr>
        <w:spacing w:after="0" w:line="90" w:lineRule="exact"/>
        <w:rPr>
          <w:sz w:val="20"/>
          <w:szCs w:val="20"/>
          <w:color w:val="auto"/>
        </w:rPr>
      </w:pPr>
    </w:p>
    <w:p>
      <w:pPr>
        <w:ind w:left="220" w:hanging="210"/>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decisions and procurement policies by the U.S. government affecting BioThrax and our biodefense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developments or disputes concerning patents or other proprietary rights;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05" w:lineRule="exact"/>
        <w:rPr>
          <w:rFonts w:ascii="Arial" w:cs="Arial" w:eastAsia="Arial" w:hAnsi="Arial"/>
          <w:sz w:val="17"/>
          <w:szCs w:val="17"/>
          <w:color w:val="auto"/>
        </w:rPr>
      </w:pPr>
    </w:p>
    <w:p>
      <w:pPr>
        <w:ind w:left="220" w:right="460" w:hanging="210"/>
        <w:spacing w:after="0" w:line="258" w:lineRule="auto"/>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 and issuance of new or changed securities analysts’ reports or recommendations;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not use them effectively.</w:t>
      </w:r>
    </w:p>
    <w:p>
      <w:pPr>
        <w:spacing w:after="0" w:line="139"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net proceeds from this offering in a manner that does not produce income or that loses value.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anticipate paying any cash dividends in the foreseeable future.</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currently intend to retain our future earnings, if any, to fund the development and growth of our business. Any future debt agreements that we enter into may limit our ability to pay dividends. As a result, capital appreciation, if any, of our common stock will be your sole source of gain for the foreseeable future.</w:t>
      </w:r>
    </w:p>
    <w:p>
      <w:pPr>
        <w:spacing w:after="0" w:line="181" w:lineRule="exact"/>
        <w:rPr>
          <w:sz w:val="20"/>
          <w:szCs w:val="20"/>
          <w:color w:val="auto"/>
        </w:rPr>
      </w:pPr>
    </w:p>
    <w:p>
      <w:pPr>
        <w:jc w:val="both"/>
        <w:ind w:right="420"/>
        <w:spacing w:after="0" w:line="262"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87"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Upon the completion of this offering, we will have outstanding 27,420,404 shares of common stock, after giving effect to the issuance of 5,000,000 shares of common stock in this offering. Of the shares to be outstanding after the completion of this offering, the 5,000,000 shares of common stock sold in this offering will be freely tradable without restriction under</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47" w:name="page48"/>
    <w:bookmarkEnd w:id="47"/>
    <w:p>
      <w:pPr>
        <w:ind w:right="180"/>
        <w:spacing w:after="0" w:line="245" w:lineRule="auto"/>
        <w:rPr>
          <w:sz w:val="20"/>
          <w:szCs w:val="20"/>
          <w:color w:val="auto"/>
        </w:rPr>
      </w:pPr>
      <w:r>
        <w:rPr>
          <w:rFonts w:ascii="Arial" w:cs="Arial" w:eastAsia="Arial" w:hAnsi="Arial"/>
          <w:sz w:val="17"/>
          <w:szCs w:val="17"/>
          <w:color w:val="auto"/>
        </w:rPr>
        <w:t>the Securities Act unless purchased by our “affiliates,” as that term is defined in Rule 144 under the Securities Act. The remaining shares of our common stock are “restricted securities” under Rule 144. Substantially all of these restricted securities will be subject to the 180-day lock-up period described below. After the 180-day lock-up period, these restricted securities may be sold in the public market only if registered or if they qualify for an exemption from registration under Rule 144 or 701 under the Securities Act.</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holders of substantially all of our currently outstanding capital stock have agreed that, without the prior written consent of J.P. Morgan Securities Inc., they will not, during the period ending 180 days after the date of this prospectus, subject to exceptions specified in the lock-up agreements,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or enter into any swap or other agreement that transfers, in whole or in part, any of the economic consequences of ownership of our common stock. Further, these holders have agreed that, during this period, they will not make any demand for, or exercise any right with respect to, the registration of our common stock or any security convertible into or exercisable or exchangeable for our common stock. The 180-day lock-up period may be extended under specified circumstances. The lock-up restrictions, specified exceptions and the circumstances under which the 180-day lock-up period may be extended are described in more detail under “Underwriting.”</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Upon expiration of the 180-day lock-up period, 22,356,535 shares of our common stock outstanding as of October 20, 2006, representing approximately 81.5% of our common stock outstanding after this offering, will be eligible for sale under Rule 144. In general, shares eligible for sale under Rule 144 are subject to volume limitations. However, upon expiration of the 180-day lock-up period, 10,932 shares of our common stock outstanding as of October 20, 2006 will be eligible for sale under Rule 144(k) without regard to volume limitations. In addition, beginning 90 days after the date of this prospectus, 117,124 shares of our common stock outstanding as of October 20, 2006 will be eligible for sale in accordance with Rule 701 under the Securities Act without regard to volume limitations. Mr. El-Hibri has the power to dispose of or direct the disposition of 14,698,292 shares of our common stock outstanding as of October 20, 2006, representing approximately 53.6% of our common stock outstanding after this offering. These shares will be eligible for sale under Rule 144, subject to volume limitations, upon expiration of the 180-day lock-up period.</w:t>
      </w:r>
    </w:p>
    <w:p>
      <w:pPr>
        <w:spacing w:after="0" w:line="301"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Moreover, after this offering, holders of an aggregate of 22,303,280 shares of our common stock outstanding as of October 20, 2006 will have the right to require us to register these shares of common stock under specified circumstances.</w:t>
      </w:r>
    </w:p>
    <w:p>
      <w:pPr>
        <w:spacing w:after="0" w:line="90"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In addition, of the 3,109,932 shares of our common stock that may be issued upon the exercise of options outstanding as of October 20, 2006, approximately 2,607,793 shares will be vested and eligible for sale within 180 days after the date of this prospectus, subject to any lock-up agreements applicable to these shares. Promptly following this offering, we intend to file a registration statement on Form S-8 registering the sale of up to 7,676,851 shares of common stock subject to outstanding options and options and other awards issuable pursuant to our equity incentive plans. Shares registered under this registration statement on Form S-8 will be available for sale in the open market, subject to Rule 144 volume limitations applicable to affiliates, and subject to any vesting restrictions and lock-up agreements applicable to these shares.</w:t>
      </w:r>
    </w:p>
    <w:p>
      <w:pPr>
        <w:spacing w:after="0" w:line="102"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For a further description of the eligibility of shares for sale into the public market following this offering, see “Shares eligible for future sale.”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28"/>
          <w:szCs w:val="28"/>
          <w:b w:val="1"/>
          <w:bCs w:val="1"/>
          <w:color w:val="auto"/>
        </w:rPr>
        <w:t>Special note regarding forward-looking statements</w:t>
      </w:r>
    </w:p>
    <w:p>
      <w:pPr>
        <w:spacing w:after="0" w:line="16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All statements, other than statements of historical facts, included in this prospectus regarding our strategy, future operations, future financial position, future revenues, projected costs, prospects, plans and objectives of management are forward-looking statements. The words “anticipate,” “believe,” “estimate,” “expect,” “intend,” “may,” “plan,” “predict,” “project,” “will,” “would” and similar expressions are intended to identify forward-looking statements, although not all forward-looking statements contain these identifying words. These forward-looking statements include, among other things, statements about:</w:t>
      </w:r>
    </w:p>
    <w:p>
      <w:pPr>
        <w:spacing w:after="0" w:line="104" w:lineRule="exact"/>
        <w:rPr>
          <w:sz w:val="20"/>
          <w:szCs w:val="20"/>
          <w:color w:val="auto"/>
        </w:rPr>
      </w:pPr>
    </w:p>
    <w:p>
      <w:pPr>
        <w:ind w:left="220" w:right="300" w:hanging="210"/>
        <w:spacing w:after="0" w:line="258" w:lineRule="auto"/>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performance under existing BioThrax sales contracts with HHS and DoD, including the timing of deliveries under these contracts;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plans for future sales of BioThrax;</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plans to pursue label expansions and improvements for BioThrax;</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plans to expand our manufacturing facilities and capabilities;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ongoing and planned development programs, preclinical studies and clinical trials;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ability to identify and acquire or in license products and product candidates that satisfy our selection criteria;</w:t>
      </w:r>
    </w:p>
    <w:p>
      <w:pPr>
        <w:spacing w:after="0" w:line="105" w:lineRule="exact"/>
        <w:rPr>
          <w:rFonts w:ascii="Arial" w:cs="Arial" w:eastAsia="Arial" w:hAnsi="Arial"/>
          <w:sz w:val="17"/>
          <w:szCs w:val="17"/>
          <w:color w:val="auto"/>
        </w:rPr>
      </w:pPr>
    </w:p>
    <w:p>
      <w:pPr>
        <w:ind w:left="220" w:right="300" w:hanging="210"/>
        <w:spacing w:after="0" w:line="258" w:lineRule="auto"/>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benefits of our existing collaboration agreements and our ability to enter into selective additional collaboration arrangements;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approvals for our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strategy;</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intellectual property portfolio;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estimates regarding expenses, future revenues, capital requirements and needs for additional financing.</w:t>
      </w:r>
    </w:p>
    <w:p>
      <w:pPr>
        <w:spacing w:after="0" w:line="11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04" w:lineRule="exact"/>
        <w:rPr>
          <w:sz w:val="20"/>
          <w:szCs w:val="20"/>
          <w:color w:val="auto"/>
        </w:rPr>
      </w:pPr>
    </w:p>
    <w:p>
      <w:pPr>
        <w:ind w:right="260"/>
        <w:spacing w:after="0" w:line="250"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do not assume any obligation to update any forward-looking statements.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49" w:name="page50"/>
    <w:bookmarkEnd w:id="49"/>
    <w:p>
      <w:pPr>
        <w:jc w:val="center"/>
        <w:ind w:right="-79"/>
        <w:spacing w:after="0"/>
        <w:rPr>
          <w:sz w:val="20"/>
          <w:szCs w:val="20"/>
          <w:color w:val="auto"/>
        </w:rPr>
      </w:pPr>
      <w:r>
        <w:rPr>
          <w:rFonts w:ascii="Arial" w:cs="Arial" w:eastAsia="Arial" w:hAnsi="Arial"/>
          <w:sz w:val="28"/>
          <w:szCs w:val="28"/>
          <w:b w:val="1"/>
          <w:bCs w:val="1"/>
          <w:color w:val="auto"/>
        </w:rPr>
        <w:t>Use of proceeds</w:t>
      </w:r>
    </w:p>
    <w:p>
      <w:pPr>
        <w:spacing w:after="0" w:line="16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estimate that the net proceeds to us from this offering will be approximately $66.3 million, assuming an initial public offering price of $15.00 per share, which is the midpoint of the price range set forth on the cover page of this prospectus, after deducting estimated underwriting discounts and commissions and offering expenses payable by us. A $1.00 increase (decrease) in the assumed initial public offering price of $15.00 per share would increase (decrease) our net proceeds from this offering by approximately $4.7 million, assuming that the number of shares offered by us, as set forth on the cover page of this prospectus, remains the same and after deducting estimated underwriting discounts and commissions. If the underwriters exercise their over-allotment option in full, we estimate that our net proceeds from this offering will be approximately $70.1 million. We will not receive any proceeds from the sale of shares of common stock by the selling stockholders as a result of the exercise by the underwriters of their over-allotment option.</w:t>
      </w:r>
    </w:p>
    <w:p>
      <w:pPr>
        <w:spacing w:after="0" w:line="10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If we fund the following solely with the net proceeds from this offering without allocating funds from other sources, we currently estimate that we will use:</w:t>
      </w:r>
    </w:p>
    <w:p>
      <w:pPr>
        <w:spacing w:after="0" w:line="90" w:lineRule="exact"/>
        <w:rPr>
          <w:sz w:val="20"/>
          <w:szCs w:val="20"/>
          <w:color w:val="auto"/>
        </w:rPr>
      </w:pPr>
    </w:p>
    <w:p>
      <w:pPr>
        <w:ind w:left="220" w:right="60" w:hanging="210"/>
        <w:spacing w:after="0" w:line="250" w:lineRule="auto"/>
        <w:tabs>
          <w:tab w:leader="none" w:pos="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approximately $10 million of these net proceeds to fund development of our biodefense product candidates, comprised of approximately $3 million for label expansions and improvements for BioThrax, approximately $2 million for a next generation anthrax vaccine candidate and approximately $5 million for our anthrax immune globulin candidate;</w:t>
      </w:r>
    </w:p>
    <w:p>
      <w:pPr>
        <w:spacing w:after="0" w:line="96" w:lineRule="exact"/>
        <w:rPr>
          <w:rFonts w:ascii="Arial" w:cs="Arial" w:eastAsia="Arial" w:hAnsi="Arial"/>
          <w:sz w:val="17"/>
          <w:szCs w:val="17"/>
          <w:color w:val="auto"/>
        </w:rPr>
      </w:pPr>
    </w:p>
    <w:p>
      <w:pPr>
        <w:ind w:left="220" w:right="340" w:hanging="210"/>
        <w:spacing w:after="0" w:line="250" w:lineRule="auto"/>
        <w:tabs>
          <w:tab w:leader="none" w:pos="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approximately $19 million of these net proceeds to fund clinical development of our commercial product candidates, comprised of approximately $6 million for our typhoid vaccine candidate and approximately $13 million for our hepatitis B therapeutic vaccine candidate;</w:t>
      </w:r>
    </w:p>
    <w:p>
      <w:pPr>
        <w:spacing w:after="0" w:line="96" w:lineRule="exact"/>
        <w:rPr>
          <w:rFonts w:ascii="Arial" w:cs="Arial" w:eastAsia="Arial" w:hAnsi="Arial"/>
          <w:sz w:val="17"/>
          <w:szCs w:val="17"/>
          <w:color w:val="auto"/>
        </w:rPr>
      </w:pPr>
    </w:p>
    <w:p>
      <w:pPr>
        <w:ind w:left="220" w:hanging="210"/>
        <w:spacing w:after="0" w:line="250" w:lineRule="auto"/>
        <w:tabs>
          <w:tab w:leader="none" w:pos="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approximately $25 million of these net proceeds to fund a portion of the construction, validation and qualification costs for our new manufacturing facility in Lansing, Michigan and the initial engineering design and preliminary utility build out of our manufacturing facilities in Frederick, Maryland; and</w:t>
      </w:r>
    </w:p>
    <w:p>
      <w:pPr>
        <w:spacing w:after="0" w:line="96" w:lineRule="exact"/>
        <w:rPr>
          <w:rFonts w:ascii="Arial" w:cs="Arial" w:eastAsia="Arial" w:hAnsi="Arial"/>
          <w:sz w:val="17"/>
          <w:szCs w:val="17"/>
          <w:color w:val="auto"/>
        </w:rPr>
      </w:pPr>
    </w:p>
    <w:p>
      <w:pPr>
        <w:ind w:left="220" w:right="420" w:hanging="210"/>
        <w:spacing w:after="0" w:line="250" w:lineRule="auto"/>
        <w:tabs>
          <w:tab w:leader="none" w:pos="2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balance of these net proceeds for general corporate purposes, which may include the expansion of our sales and marketing organization, the acquisition or in license of technologies, products or businesses, working capital and capital expenditures.</w:t>
      </w:r>
    </w:p>
    <w:p>
      <w:pPr>
        <w:spacing w:after="0" w:line="96"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This expected use of proceeds from this offering represents our intentions based upon our current plans and business conditions. The amounts and timing of our actual expenditures may vary significantly depending upon numerous factors, including the progress of our development and commercialization efforts, the progress of our clinical trials and our operating costs and capital expenditures, including the timing of, and the costs involved in, constructing our new manufacturing facility in Lansing, Michigan and the build out of our manufacturing facilities in Frederick, Maryland. As a result, we will retain broad discretion in the allocation of the net proceeds from this offering. We have no current understandings, commitments or agreements to acquire or in license any technologies, products or businesses using the net proceeds from this offering.</w:t>
      </w:r>
    </w:p>
    <w:p>
      <w:pPr>
        <w:spacing w:after="0" w:line="102"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Based on our planned use of proceeds described above, we expect that the net proceeds from this offering will be sufficient to enable us to complete:</w:t>
      </w:r>
    </w:p>
    <w:p>
      <w:pPr>
        <w:spacing w:after="0" w:line="90" w:lineRule="exact"/>
        <w:rPr>
          <w:sz w:val="20"/>
          <w:szCs w:val="20"/>
          <w:color w:val="auto"/>
        </w:rPr>
      </w:pPr>
    </w:p>
    <w:p>
      <w:pPr>
        <w:ind w:left="220" w:right="80" w:hanging="210"/>
        <w:spacing w:after="0" w:line="247" w:lineRule="auto"/>
        <w:tabs>
          <w:tab w:leader="none" w:pos="2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our biodefense product candidates, the work necessary to support our applications to the FDA to further extend the shelf life and reduce the number of required doses for BioThrax, stability testing, animal efficacy studies and exploration of an alternative delivery system for a next generation anthrax vaccine candidate and animal efficacy studies and a Phase I safety and pharmacokinetic trial of our anthrax immune globulin candidate; and</w:t>
      </w: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60"/>
          </w:cols>
          <w:pgMar w:left="920" w:top="887" w:right="1119" w:bottom="1440" w:gutter="0" w:footer="0" w:header="0"/>
        </w:sectPr>
      </w:pPr>
    </w:p>
    <w:bookmarkStart w:id="50" w:name="page51"/>
    <w:bookmarkEnd w:id="50"/>
    <w:p>
      <w:pPr>
        <w:ind w:left="420" w:hanging="410"/>
        <w:spacing w:after="0" w:line="250" w:lineRule="auto"/>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 our commercial product candidates, a Phase II clinical trial and a disease surveillance study and the manufacture of initial clinical material for a Phase III clinical trial of our typhoid vaccine candidate and a Phase II clinical trial of our hepatitis B therapeutic vaccine candidate.</w:t>
      </w:r>
    </w:p>
    <w:p>
      <w:pPr>
        <w:spacing w:after="0" w:line="96"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It is possible that we will not achieve the progress that we expect because the actual costs and timing of development, particularly clinical trials, are difficult to predict, subject to substantial risks and often vary depending on the particular indication and development strategy.</w:t>
      </w:r>
    </w:p>
    <w:p>
      <w:pPr>
        <w:spacing w:after="0" w:line="96"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We do not expect that our existing cash and cash equivalents, committed sources of funds and net proceeds from this offering alone will be sufficient to enable us to fund the completion of the development of any of our product candidates or all of the construction costs of our new manufacturing facility in Lansing. We expect to continue to fund a significant portion of our development and commercialization costs with internally generated funds from sales of BioThrax. In particular, our planned use of proceeds described above assumes that we will fund continued development of our recombinant bivalent botulinum vaccine candidate, our botulinum immune globulin candidate, our group B streptococcus vaccine candidate and our commercial preclinical product candidates with funds from sales of BioThrax and grant funding without allocating any of the net proceeds from this offering. Accordingly, our need for additional external sources of funds for these purposes will depend significantly on the level and timing of our sales of this product. Our business plan also contemplates that we will raise $10 million to $20 million of additional external debt financing to fund the Lansing facility construction and to provide additional financial flexibility. If we do not obtain this additional debt financing, we may need to reduce spending for other purposes in order to complete this construction project.</w:t>
      </w:r>
    </w:p>
    <w:p>
      <w:pPr>
        <w:spacing w:after="0" w:line="30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Pending use of the proceeds from this offering, we intend to invest the proceeds in a variety of capital preservation investments, including short-term, investment-grade, interest-bearing instruments.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51" w:name="page52"/>
    <w:bookmarkEnd w:id="51"/>
    <w:p>
      <w:pPr>
        <w:jc w:val="center"/>
        <w:ind w:right="-139"/>
        <w:spacing w:after="0"/>
        <w:rPr>
          <w:sz w:val="20"/>
          <w:szCs w:val="20"/>
          <w:color w:val="auto"/>
        </w:rPr>
      </w:pPr>
      <w:r>
        <w:rPr>
          <w:rFonts w:ascii="Arial" w:cs="Arial" w:eastAsia="Arial" w:hAnsi="Arial"/>
          <w:sz w:val="28"/>
          <w:szCs w:val="28"/>
          <w:b w:val="1"/>
          <w:bCs w:val="1"/>
          <w:color w:val="auto"/>
        </w:rPr>
        <w:t>Dividend policy</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We currently intend to retain all of our future earnings to finance the growth and development of our business. We do not intend to pay cash dividends to our stockholders in the foreseeable future.</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On June 15, 2005, our board of directors declared a special cash dividend to the holders of our outstanding shares of common stock in an aggregate amount of approximately $ 5.4 million. Our board of directors declared this special dividend in order to distribute the net proceeds of a payment that we received as a result of the settlement of litigation that we initiated against Elan Pharmaceuticals, Inc., Athena Neurosciences, Inc. and Solstice Neurosciences, Inc. We paid the special cash dividend on July 13, 2005 to stockholders of record as of June 15, 2005. Prior to this special cash dividend, we had never declared or paid any cash dividends on our common stock.</w:t>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20"/>
          </w:cols>
          <w:pgMar w:left="920" w:top="887" w:right="1159" w:bottom="1440" w:gutter="0" w:footer="0" w:header="0"/>
        </w:sectPr>
      </w:pPr>
    </w:p>
    <w:bookmarkStart w:id="52" w:name="page53"/>
    <w:bookmarkEnd w:id="52"/>
    <w:p>
      <w:pPr>
        <w:ind w:left="4060"/>
        <w:spacing w:after="0"/>
        <w:rPr>
          <w:sz w:val="20"/>
          <w:szCs w:val="20"/>
          <w:color w:val="auto"/>
        </w:rPr>
      </w:pPr>
      <w:r>
        <w:rPr>
          <w:rFonts w:ascii="Arial" w:cs="Arial" w:eastAsia="Arial" w:hAnsi="Arial"/>
          <w:sz w:val="28"/>
          <w:szCs w:val="28"/>
          <w:b w:val="1"/>
          <w:bCs w:val="1"/>
          <w:color w:val="auto"/>
        </w:rPr>
        <w:t>Capitalization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capitalization as of September 30, 2006:</w:t>
      </w:r>
    </w:p>
    <w:p>
      <w:pPr>
        <w:spacing w:after="0" w:line="119" w:lineRule="exact"/>
        <w:rPr>
          <w:sz w:val="20"/>
          <w:szCs w:val="20"/>
          <w:color w:val="auto"/>
        </w:rPr>
      </w:pPr>
    </w:p>
    <w:p>
      <w:pPr>
        <w:ind w:left="220" w:hanging="210"/>
        <w:spacing w:after="0"/>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an as adjusted basis to give effect to:</w:t>
      </w:r>
    </w:p>
    <w:p>
      <w:pPr>
        <w:spacing w:after="0" w:line="118" w:lineRule="exact"/>
        <w:rPr>
          <w:rFonts w:ascii="Arial" w:cs="Arial" w:eastAsia="Arial" w:hAnsi="Arial"/>
          <w:sz w:val="17"/>
          <w:szCs w:val="17"/>
          <w:color w:val="auto"/>
        </w:rPr>
      </w:pPr>
    </w:p>
    <w:p>
      <w:pPr>
        <w:ind w:left="500" w:right="700" w:hanging="189"/>
        <w:spacing w:after="0" w:line="250" w:lineRule="auto"/>
        <w:tabs>
          <w:tab w:leader="none" w:pos="5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reclassification of our previously existing class A common stock as common stock and the conversion of each outstanding share of our class B common stock into one share of common stock prior to the completion of this offering; and</w:t>
      </w:r>
    </w:p>
    <w:p>
      <w:pPr>
        <w:spacing w:after="0" w:line="83" w:lineRule="exact"/>
        <w:rPr>
          <w:rFonts w:ascii="Arial" w:cs="Arial" w:eastAsia="Arial" w:hAnsi="Arial"/>
          <w:sz w:val="17"/>
          <w:szCs w:val="17"/>
          <w:color w:val="auto"/>
        </w:rPr>
      </w:pPr>
    </w:p>
    <w:p>
      <w:pPr>
        <w:ind w:left="500" w:right="40" w:hanging="189"/>
        <w:spacing w:after="0" w:line="250" w:lineRule="auto"/>
        <w:tabs>
          <w:tab w:leader="none" w:pos="5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sale of 5,000,000 shares of common stock that we are offering at an assumed initial public offering price of $15.00 per share, which is the midpoint of the price range set forth on the cover page of this prospectus, after deducting estimated underwriting discounts and commissions and offering expenses payable by us.</w:t>
      </w:r>
    </w:p>
    <w:p>
      <w:pPr>
        <w:spacing w:after="0" w:line="96"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Our capitalization following this offering will be adjusted based on the actual initial public offering price and other terms of this offering determined at pricing. You should read this table together with our financial statements and the related notes appearing at the end of this prospectus and the “Management’s discussion and analysis of financial condition and results of operations” section of this prospectus.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786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7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13"/>
                <w:szCs w:val="13"/>
                <w:color w:val="auto"/>
              </w:rPr>
            </w:pPr>
          </w:p>
        </w:tc>
        <w:tc>
          <w:tcPr>
            <w:tcW w:w="1900" w:type="dxa"/>
            <w:vAlign w:val="bottom"/>
            <w:gridSpan w:val="4"/>
          </w:tcPr>
          <w:p>
            <w:pPr>
              <w:jc w:val="right"/>
              <w:ind w:right="100"/>
              <w:spacing w:after="0" w:line="157" w:lineRule="exact"/>
              <w:rPr>
                <w:sz w:val="20"/>
                <w:szCs w:val="20"/>
                <w:color w:val="auto"/>
              </w:rPr>
            </w:pPr>
            <w:r>
              <w:rPr>
                <w:rFonts w:ascii="Arial" w:cs="Arial" w:eastAsia="Arial" w:hAnsi="Arial"/>
                <w:sz w:val="14"/>
                <w:szCs w:val="14"/>
                <w:b w:val="1"/>
                <w:bCs w:val="1"/>
                <w:color w:val="auto"/>
              </w:rPr>
              <w:t>As of September 30, 2006</w:t>
            </w:r>
          </w:p>
        </w:tc>
        <w:tc>
          <w:tcPr>
            <w:tcW w:w="0" w:type="dxa"/>
            <w:vAlign w:val="bottom"/>
          </w:tcPr>
          <w:p>
            <w:pPr>
              <w:spacing w:after="0"/>
              <w:rPr>
                <w:sz w:val="1"/>
                <w:szCs w:val="1"/>
                <w:color w:val="auto"/>
              </w:rPr>
            </w:pPr>
          </w:p>
        </w:tc>
      </w:tr>
      <w:tr>
        <w:trPr>
          <w:trHeight w:val="177"/>
        </w:trPr>
        <w:tc>
          <w:tcPr>
            <w:tcW w:w="7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Actual</w:t>
            </w: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8"/>
              </w:rPr>
              <w:t>As adjusted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spacing w:after="0"/>
              <w:rPr>
                <w:sz w:val="11"/>
                <w:szCs w:val="11"/>
                <w:color w:val="auto"/>
              </w:rPr>
            </w:pP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(unaudited)</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Long-term indebtedness, including current portion</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$36,410</w:t>
            </w:r>
          </w:p>
        </w:tc>
        <w:tc>
          <w:tcPr>
            <w:tcW w:w="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7"/>
                <w:szCs w:val="17"/>
                <w:color w:val="auto"/>
              </w:rPr>
              <w:t>Notes payable to employees</w:t>
            </w:r>
          </w:p>
        </w:tc>
        <w:tc>
          <w:tcPr>
            <w:tcW w:w="980" w:type="dxa"/>
            <w:vAlign w:val="bottom"/>
            <w:gridSpan w:val="2"/>
          </w:tcPr>
          <w:p>
            <w:pPr>
              <w:jc w:val="right"/>
              <w:ind w:right="141"/>
              <w:spacing w:after="0"/>
              <w:rPr>
                <w:sz w:val="20"/>
                <w:szCs w:val="20"/>
                <w:color w:val="auto"/>
              </w:rPr>
            </w:pPr>
            <w:r>
              <w:rPr>
                <w:rFonts w:ascii="Arial" w:cs="Arial" w:eastAsia="Arial" w:hAnsi="Arial"/>
                <w:sz w:val="17"/>
                <w:szCs w:val="17"/>
                <w:color w:val="auto"/>
              </w:rPr>
              <w:t>63</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Pr>
          <w:p>
            <w:pPr>
              <w:ind w:left="180"/>
              <w:spacing w:after="0"/>
              <w:rPr>
                <w:sz w:val="20"/>
                <w:szCs w:val="20"/>
                <w:color w:val="auto"/>
              </w:rPr>
            </w:pPr>
            <w:r>
              <w:rPr>
                <w:rFonts w:ascii="Arial" w:cs="Arial" w:eastAsia="Arial" w:hAnsi="Arial"/>
                <w:sz w:val="17"/>
                <w:szCs w:val="17"/>
                <w:color w:val="auto"/>
              </w:rPr>
              <w:t>Common stock, class A, $0.001 par value per share; 100,000,000 shares authorized and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Pr>
          <w:p>
            <w:pPr>
              <w:ind w:left="360"/>
              <w:spacing w:after="0"/>
              <w:rPr>
                <w:sz w:val="20"/>
                <w:szCs w:val="20"/>
                <w:color w:val="auto"/>
              </w:rPr>
            </w:pPr>
            <w:r>
              <w:rPr>
                <w:rFonts w:ascii="Arial" w:cs="Arial" w:eastAsia="Arial" w:hAnsi="Arial"/>
                <w:sz w:val="17"/>
                <w:szCs w:val="17"/>
                <w:color w:val="auto"/>
              </w:rPr>
              <w:t>22,303,280 shares issued and outstanding, actual; no shares authorized, issued or outstanding,</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ind w:left="360"/>
              <w:spacing w:after="0"/>
              <w:rPr>
                <w:sz w:val="20"/>
                <w:szCs w:val="20"/>
                <w:color w:val="auto"/>
              </w:rPr>
            </w:pPr>
            <w:r>
              <w:rPr>
                <w:rFonts w:ascii="Arial" w:cs="Arial" w:eastAsia="Arial" w:hAnsi="Arial"/>
                <w:sz w:val="17"/>
                <w:szCs w:val="17"/>
                <w:color w:val="auto"/>
              </w:rPr>
              <w:t>as adjusted</w:t>
            </w:r>
          </w:p>
        </w:tc>
        <w:tc>
          <w:tcPr>
            <w:tcW w:w="980" w:type="dxa"/>
            <w:vAlign w:val="bottom"/>
            <w:gridSpan w:val="2"/>
          </w:tcPr>
          <w:p>
            <w:pPr>
              <w:jc w:val="right"/>
              <w:ind w:right="141"/>
              <w:spacing w:after="0"/>
              <w:rPr>
                <w:sz w:val="20"/>
                <w:szCs w:val="20"/>
                <w:color w:val="auto"/>
              </w:rPr>
            </w:pPr>
            <w:r>
              <w:rPr>
                <w:rFonts w:ascii="Arial" w:cs="Arial" w:eastAsia="Arial" w:hAnsi="Arial"/>
                <w:sz w:val="17"/>
                <w:szCs w:val="17"/>
                <w:color w:val="auto"/>
              </w:rPr>
              <w:t>22</w:t>
            </w:r>
          </w:p>
        </w:tc>
        <w:tc>
          <w:tcPr>
            <w:tcW w:w="3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stock, class B, $0.01 par value per share; 2,000,000 shares authorized and</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86,340 shares issued and outstanding, actual; no shares authorized, issued or outstanding, as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adjusted</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Pr>
          <w:p>
            <w:pPr>
              <w:ind w:left="180"/>
              <w:spacing w:after="0"/>
              <w:rPr>
                <w:sz w:val="20"/>
                <w:szCs w:val="20"/>
                <w:color w:val="auto"/>
              </w:rPr>
            </w:pPr>
            <w:r>
              <w:rPr>
                <w:rFonts w:ascii="Arial" w:cs="Arial" w:eastAsia="Arial" w:hAnsi="Arial"/>
                <w:sz w:val="17"/>
                <w:szCs w:val="17"/>
                <w:color w:val="auto"/>
              </w:rPr>
              <w:t>Common stock, $0.001 par value per share; no shares authorized, issued or outstanding, actual;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tcPr>
          <w:p>
            <w:pPr>
              <w:ind w:left="360"/>
              <w:spacing w:after="0"/>
              <w:rPr>
                <w:sz w:val="20"/>
                <w:szCs w:val="20"/>
                <w:color w:val="auto"/>
              </w:rPr>
            </w:pPr>
            <w:r>
              <w:rPr>
                <w:rFonts w:ascii="Arial" w:cs="Arial" w:eastAsia="Arial" w:hAnsi="Arial"/>
                <w:sz w:val="17"/>
                <w:szCs w:val="17"/>
                <w:color w:val="auto"/>
              </w:rPr>
              <w:t>100,000,000 shares authorized and 27,389,620 shares issued and outstanding, as adjusted</w:t>
            </w:r>
          </w:p>
        </w:tc>
        <w:tc>
          <w:tcPr>
            <w:tcW w:w="140" w:type="dxa"/>
            <w:vAlign w:val="bottom"/>
          </w:tcPr>
          <w:p>
            <w:pPr>
              <w:spacing w:after="0"/>
              <w:rPr>
                <w:sz w:val="17"/>
                <w:szCs w:val="17"/>
                <w:color w:val="auto"/>
              </w:rPr>
            </w:pPr>
          </w:p>
        </w:tc>
        <w:tc>
          <w:tcPr>
            <w:tcW w:w="840" w:type="dxa"/>
            <w:vAlign w:val="bottom"/>
          </w:tcPr>
          <w:p>
            <w:pPr>
              <w:jc w:val="right"/>
              <w:ind w:right="141"/>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$0.001 par value per share; 3,000,000 shares authorized, actual;</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15,000,000 shares authorized, as adjusted; no shares issued or outstanding, actual and as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adjusted</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980" w:type="dxa"/>
            <w:vAlign w:val="bottom"/>
            <w:gridSpan w:val="2"/>
          </w:tcPr>
          <w:p>
            <w:pPr>
              <w:jc w:val="right"/>
              <w:ind w:right="141"/>
              <w:spacing w:after="0"/>
              <w:rPr>
                <w:sz w:val="20"/>
                <w:szCs w:val="20"/>
                <w:color w:val="auto"/>
              </w:rPr>
            </w:pPr>
            <w:r>
              <w:rPr>
                <w:rFonts w:ascii="Arial" w:cs="Arial" w:eastAsia="Arial" w:hAnsi="Arial"/>
                <w:sz w:val="17"/>
                <w:szCs w:val="17"/>
                <w:color w:val="auto"/>
              </w:rPr>
              <w:t>35,079</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101,375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(182)</w:t>
            </w:r>
          </w:p>
        </w:tc>
        <w:tc>
          <w:tcPr>
            <w:tcW w:w="3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ind w:right="141"/>
              <w:spacing w:after="0"/>
              <w:rPr>
                <w:sz w:val="20"/>
                <w:szCs w:val="20"/>
                <w:color w:val="auto"/>
              </w:rPr>
            </w:pPr>
            <w:r>
              <w:rPr>
                <w:rFonts w:ascii="Arial" w:cs="Arial" w:eastAsia="Arial" w:hAnsi="Arial"/>
                <w:sz w:val="17"/>
                <w:szCs w:val="17"/>
                <w:color w:val="auto"/>
              </w:rPr>
              <w:t>21,839</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21,839</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56,759</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capitalization</w:t>
            </w:r>
          </w:p>
        </w:tc>
        <w:tc>
          <w:tcPr>
            <w:tcW w:w="9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7"/>
                <w:szCs w:val="17"/>
                <w:color w:val="auto"/>
              </w:rPr>
              <w:t>$93,232</w:t>
            </w:r>
          </w:p>
        </w:tc>
        <w:tc>
          <w:tcPr>
            <w:tcW w:w="3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159,532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A $1.00 increase (decrease) in the assumed initial public offering price of $15.00 per share would increase (decrease) the 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adjusted amount of each of additional paid-in capital, total stockholders’ equity and total capitalization by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$4.7 million, assuming that the number of shares offered by us, as set forth on the cover page of this prospectus, remains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same and after deducting estimated underwriting discounts and commissions.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53" w:name="page54"/>
    <w:bookmarkEnd w:id="53"/>
    <w:p>
      <w:pPr>
        <w:jc w:val="both"/>
        <w:ind w:right="200"/>
        <w:spacing w:after="0" w:line="247" w:lineRule="auto"/>
        <w:rPr>
          <w:sz w:val="20"/>
          <w:szCs w:val="20"/>
          <w:color w:val="auto"/>
        </w:rPr>
      </w:pPr>
      <w:r>
        <w:rPr>
          <w:rFonts w:ascii="Arial" w:cs="Arial" w:eastAsia="Arial" w:hAnsi="Arial"/>
          <w:sz w:val="17"/>
          <w:szCs w:val="17"/>
          <w:color w:val="auto"/>
        </w:rPr>
        <w:t>The table above gives effect to an adjustment to par value and an increase in the number of authorized shares of the class A common stock upon the reclassification of the class A common stock as common stock and an adjustment to par value of the preferred stock on an actual basis as if the adjustments to par value and the increase in the number of authorized shares was effective as of September 30, 2006.</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table above does not include:</w:t>
      </w:r>
    </w:p>
    <w:p>
      <w:pPr>
        <w:spacing w:after="0" w:line="119" w:lineRule="exact"/>
        <w:rPr>
          <w:sz w:val="20"/>
          <w:szCs w:val="20"/>
          <w:color w:val="auto"/>
        </w:rPr>
      </w:pPr>
    </w:p>
    <w:p>
      <w:pPr>
        <w:ind w:left="220" w:right="220" w:hanging="210"/>
        <w:spacing w:after="0" w:line="258" w:lineRule="auto"/>
        <w:tabs>
          <w:tab w:leader="none" w:pos="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3,141,003 shares of common stock issuable upon the exercise of stock options outstanding as of September 30, 2006 at a weighted average exercise price of $2.54 per share;</w:t>
      </w:r>
    </w:p>
    <w:p>
      <w:pPr>
        <w:spacing w:after="0" w:line="77"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369,032 additional shares of common stock reserved for issuance under our employee stock option plan as of September 30, 2006; and</w:t>
      </w:r>
    </w:p>
    <w:p>
      <w:pPr>
        <w:spacing w:after="0" w:line="77" w:lineRule="exact"/>
        <w:rPr>
          <w:rFonts w:ascii="Arial" w:cs="Arial" w:eastAsia="Arial" w:hAnsi="Arial"/>
          <w:sz w:val="17"/>
          <w:szCs w:val="17"/>
          <w:color w:val="auto"/>
        </w:rPr>
      </w:pPr>
    </w:p>
    <w:p>
      <w:pPr>
        <w:ind w:left="220" w:right="900" w:hanging="210"/>
        <w:spacing w:after="0" w:line="258" w:lineRule="auto"/>
        <w:tabs>
          <w:tab w:leader="none" w:pos="2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503,500 additional shares of common stock that will be reserved for issuance under our 2006 stock incentive plan immediately prior to completion of this offering.</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937" w:right="1099" w:bottom="1440" w:gutter="0" w:footer="0" w:header="0"/>
        </w:sectPr>
      </w:pPr>
    </w:p>
    <w:bookmarkStart w:id="54" w:name="page55"/>
    <w:bookmarkEnd w:id="54"/>
    <w:p>
      <w:pPr>
        <w:jc w:val="center"/>
        <w:ind w:right="100"/>
        <w:spacing w:after="0"/>
        <w:rPr>
          <w:sz w:val="20"/>
          <w:szCs w:val="20"/>
          <w:color w:val="auto"/>
        </w:rPr>
      </w:pPr>
      <w:r>
        <w:rPr>
          <w:rFonts w:ascii="Arial" w:cs="Arial" w:eastAsia="Arial" w:hAnsi="Arial"/>
          <w:sz w:val="28"/>
          <w:szCs w:val="28"/>
          <w:b w:val="1"/>
          <w:bCs w:val="1"/>
          <w:color w:val="auto"/>
        </w:rPr>
        <w:t>Dilution</w:t>
      </w:r>
    </w:p>
    <w:p>
      <w:pPr>
        <w:spacing w:after="0" w:line="160" w:lineRule="exact"/>
        <w:rPr>
          <w:sz w:val="20"/>
          <w:szCs w:val="20"/>
          <w:color w:val="auto"/>
        </w:rPr>
      </w:pPr>
    </w:p>
    <w:p>
      <w:pPr>
        <w:ind w:left="680" w:right="940"/>
        <w:spacing w:after="0" w:line="258"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net tangible book value per share of our common stock after this offering.</w:t>
      </w:r>
    </w:p>
    <w:p>
      <w:pPr>
        <w:spacing w:after="0" w:line="90" w:lineRule="exact"/>
        <w:rPr>
          <w:sz w:val="20"/>
          <w:szCs w:val="20"/>
          <w:color w:val="auto"/>
        </w:rPr>
      </w:pPr>
    </w:p>
    <w:p>
      <w:pPr>
        <w:jc w:val="both"/>
        <w:ind w:left="680" w:right="1100"/>
        <w:spacing w:after="0" w:line="250" w:lineRule="auto"/>
        <w:rPr>
          <w:sz w:val="20"/>
          <w:szCs w:val="20"/>
          <w:color w:val="auto"/>
        </w:rPr>
      </w:pPr>
      <w:r>
        <w:rPr>
          <w:rFonts w:ascii="Arial" w:cs="Arial" w:eastAsia="Arial" w:hAnsi="Arial"/>
          <w:sz w:val="17"/>
          <w:szCs w:val="17"/>
          <w:color w:val="auto"/>
        </w:rPr>
        <w:t>Our actual net tangible book value as of September 30, 2006 was $56.8 million or $2.54 per share of our common stock. Net tangible book value per share represents the amount of our total tangible assets less total liabilities, divided by the number of shares of common stock outstanding.</w:t>
      </w:r>
    </w:p>
    <w:p>
      <w:pPr>
        <w:spacing w:after="0" w:line="96" w:lineRule="exact"/>
        <w:rPr>
          <w:sz w:val="20"/>
          <w:szCs w:val="20"/>
          <w:color w:val="auto"/>
        </w:rPr>
      </w:pPr>
    </w:p>
    <w:p>
      <w:pPr>
        <w:ind w:left="680" w:right="920"/>
        <w:spacing w:after="0" w:line="243" w:lineRule="auto"/>
        <w:rPr>
          <w:sz w:val="20"/>
          <w:szCs w:val="20"/>
          <w:color w:val="auto"/>
        </w:rPr>
      </w:pPr>
      <w:r>
        <w:rPr>
          <w:rFonts w:ascii="Arial" w:cs="Arial" w:eastAsia="Arial" w:hAnsi="Arial"/>
          <w:sz w:val="17"/>
          <w:szCs w:val="17"/>
          <w:color w:val="auto"/>
        </w:rPr>
        <w:t>After giving effect to the issuance and sale by us of 5,000,000 shares of common stock in this offering, at an assumed initial public offering price of $15.00 per share, which is the midpoint of the price range set forth on the cover page of this prospectus, less estimated underwriting discounts and commissions and offering expenses payable by us, our net tangible book value as of September 30, 2006 would have been approximately $123 million, or $4.49 per share of common stock. This represents an immediate increase in net tangible book value per share of $1.95 to existing stockholders and immediate dilution of $10.51 per share to new investors. Dilution per share to new investors is determined by subtracting the net tangible book value per share after this offering from the initial public offering price per share paid by a new investor. The following table illustrates this dilution on a per share basis:</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39"/>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6800" w:type="dxa"/>
            <w:vAlign w:val="bottom"/>
            <w:shd w:val="clear" w:color="auto" w:fill="000000"/>
          </w:tcPr>
          <w:p>
            <w:pPr>
              <w:spacing w:after="0"/>
              <w:rPr>
                <w:sz w:val="3"/>
                <w:szCs w:val="3"/>
                <w:color w:val="auto"/>
              </w:rPr>
            </w:pPr>
          </w:p>
        </w:tc>
        <w:tc>
          <w:tcPr>
            <w:tcW w:w="10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 of common stock</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0" w:type="dxa"/>
            <w:vAlign w:val="bottom"/>
          </w:tcPr>
          <w:p>
            <w:pPr>
              <w:ind w:left="40"/>
              <w:spacing w:after="0"/>
              <w:rPr>
                <w:sz w:val="20"/>
                <w:szCs w:val="20"/>
                <w:color w:val="auto"/>
              </w:rPr>
            </w:pPr>
            <w:r>
              <w:rPr>
                <w:rFonts w:ascii="Arial" w:cs="Arial" w:eastAsia="Arial" w:hAnsi="Arial"/>
                <w:sz w:val="17"/>
                <w:szCs w:val="17"/>
                <w:color w:val="auto"/>
              </w:rPr>
              <w:t>Actual net tangible book value per share as of September 30, 2006</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2.54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Increase in net tangible book value per share attributable to new investors</w:t>
            </w:r>
          </w:p>
        </w:tc>
        <w:tc>
          <w:tcPr>
            <w:tcW w:w="10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60" w:type="dxa"/>
            <w:vAlign w:val="bottom"/>
            <w:gridSpan w:val="3"/>
          </w:tcPr>
          <w:p>
            <w:pPr>
              <w:spacing w:after="0"/>
              <w:rPr>
                <w:sz w:val="20"/>
                <w:szCs w:val="20"/>
                <w:color w:val="auto"/>
              </w:rPr>
            </w:pPr>
            <w:r>
              <w:rPr>
                <w:rFonts w:ascii="Arial" w:cs="Arial" w:eastAsia="Arial" w:hAnsi="Arial"/>
                <w:sz w:val="17"/>
                <w:szCs w:val="17"/>
                <w:color w:val="auto"/>
              </w:rPr>
              <w:t>Adjusted net tangible book value per share after this offering</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80" w:right="980"/>
        <w:spacing w:after="0" w:line="247" w:lineRule="auto"/>
        <w:rPr>
          <w:sz w:val="20"/>
          <w:szCs w:val="20"/>
          <w:color w:val="auto"/>
        </w:rPr>
      </w:pPr>
      <w:r>
        <w:rPr>
          <w:rFonts w:ascii="Arial" w:cs="Arial" w:eastAsia="Arial" w:hAnsi="Arial"/>
          <w:sz w:val="17"/>
          <w:szCs w:val="17"/>
          <w:color w:val="auto"/>
        </w:rPr>
        <w:t>A $1.00 increase (decrease) in the assumed initial public offering price of $15.00 per share would increase (decrease) our adjusted net tangible book value per share after this offering by approximately $0.17 and dilution per share to new investors by approximately $0.83, assuming that the number of shares offered by us, as set forth on the cover page of this prospectus, remains the same and after deducting estimated underwriting discounts and commissions.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If any shares are issued in connection with outstanding options, you will experience further dilution.</w:t>
      </w:r>
    </w:p>
    <w:p>
      <w:pPr>
        <w:spacing w:after="0" w:line="119" w:lineRule="exact"/>
        <w:rPr>
          <w:sz w:val="20"/>
          <w:szCs w:val="20"/>
          <w:color w:val="auto"/>
        </w:rPr>
      </w:pPr>
    </w:p>
    <w:p>
      <w:pPr>
        <w:ind w:left="680" w:right="960"/>
        <w:spacing w:after="0" w:line="247" w:lineRule="auto"/>
        <w:rPr>
          <w:sz w:val="20"/>
          <w:szCs w:val="20"/>
          <w:color w:val="auto"/>
        </w:rPr>
      </w:pPr>
      <w:r>
        <w:rPr>
          <w:rFonts w:ascii="Arial" w:cs="Arial" w:eastAsia="Arial" w:hAnsi="Arial"/>
          <w:sz w:val="17"/>
          <w:szCs w:val="17"/>
          <w:color w:val="auto"/>
        </w:rPr>
        <w:t>The following table summarizes as of September 30, 2006 the number of shares of common stock purchased from us, the total consideration paid and the average price per share paid by existing stockholders and by new investors in this offering at an assumed initial public offering price of $15.00 per share, which is the midpoint of the price range set forth on the cover page of this prospectus, before deducting estimated underwriting discounts and commissions and offering expenses payable by 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Pr>
          <w:p>
            <w:pPr>
              <w:spacing w:after="0"/>
              <w:rPr>
                <w:sz w:val="17"/>
                <w:szCs w:val="17"/>
                <w:color w:val="auto"/>
              </w:rPr>
            </w:pPr>
          </w:p>
        </w:tc>
        <w:tc>
          <w:tcPr>
            <w:tcW w:w="282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Average price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Number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56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22,389,620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35,102,225</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7"/>
                <w:szCs w:val="17"/>
                <w:color w:val="auto"/>
              </w:rPr>
              <w:t>New investors</w:t>
            </w:r>
          </w:p>
        </w:tc>
        <w:tc>
          <w:tcPr>
            <w:tcW w:w="156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5,000,000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color w:val="auto"/>
              </w:rPr>
              <w:t>75,000,000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56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27,389,620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110,102,225</w:t>
            </w:r>
          </w:p>
        </w:tc>
        <w:tc>
          <w:tcPr>
            <w:tcW w:w="14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100%</w:t>
            </w:r>
          </w:p>
        </w:tc>
        <w:tc>
          <w:tcPr>
            <w:tcW w:w="104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jc w:val="right"/>
              <w:ind w:right="96"/>
              <w:spacing w:after="0"/>
              <w:rPr>
                <w:sz w:val="20"/>
                <w:szCs w:val="20"/>
                <w:color w:val="auto"/>
              </w:rPr>
            </w:pPr>
            <w:r>
              <w:rPr>
                <w:rFonts w:ascii="Arial" w:cs="Arial" w:eastAsia="Arial" w:hAnsi="Arial"/>
                <w:sz w:val="17"/>
                <w:szCs w:val="17"/>
                <w:color w:val="auto"/>
              </w:rPr>
              <w:t>51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282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104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55" w:name="page56"/>
    <w:bookmarkEnd w:id="55"/>
    <w:p>
      <w:pPr>
        <w:ind w:right="120"/>
        <w:spacing w:after="0" w:line="247" w:lineRule="auto"/>
        <w:rPr>
          <w:sz w:val="20"/>
          <w:szCs w:val="20"/>
          <w:color w:val="auto"/>
        </w:rPr>
      </w:pPr>
      <w:r>
        <w:rPr>
          <w:rFonts w:ascii="Arial" w:cs="Arial" w:eastAsia="Arial" w:hAnsi="Arial"/>
          <w:sz w:val="17"/>
          <w:szCs w:val="17"/>
          <w:color w:val="auto"/>
        </w:rPr>
        <w:t>A $1.00 increase (decrease) in the assumed initial public offering price of $15.00 per share would increase (decrease) the total consideration paid by new investors by $5 million and increase (decrease) the percentage of total consideration paid by new investors by approximately 2%, assuming that the number of shares offered by us, as set forth on the cover page of this prospectus, remains the same.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table above is based on shares outstanding as of September 30, 2006 and excludes:</w:t>
      </w:r>
    </w:p>
    <w:p>
      <w:pPr>
        <w:spacing w:after="0" w:line="119" w:lineRule="exact"/>
        <w:rPr>
          <w:sz w:val="20"/>
          <w:szCs w:val="20"/>
          <w:color w:val="auto"/>
        </w:rPr>
      </w:pPr>
    </w:p>
    <w:p>
      <w:pPr>
        <w:ind w:left="220" w:right="220" w:hanging="210"/>
        <w:spacing w:after="0" w:line="258" w:lineRule="auto"/>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3,141,003 shares of common stock issuable upon the exercise of stock options outstanding as of September 30, 2006 at a weighted average exercise price of $2.54 per share;</w:t>
      </w:r>
    </w:p>
    <w:p>
      <w:pPr>
        <w:spacing w:after="0" w:line="77"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369,032 additional shares of common stock reserved for issuance under our employee stock option plan as of September 30, 2006; and</w:t>
      </w:r>
    </w:p>
    <w:p>
      <w:pPr>
        <w:spacing w:after="0" w:line="77" w:lineRule="exact"/>
        <w:rPr>
          <w:rFonts w:ascii="Arial" w:cs="Arial" w:eastAsia="Arial" w:hAnsi="Arial"/>
          <w:sz w:val="17"/>
          <w:szCs w:val="17"/>
          <w:color w:val="auto"/>
        </w:rPr>
      </w:pPr>
    </w:p>
    <w:p>
      <w:pPr>
        <w:ind w:left="220" w:right="900" w:hanging="210"/>
        <w:spacing w:after="0" w:line="258" w:lineRule="auto"/>
        <w:tabs>
          <w:tab w:leader="none" w:pos="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503,500 additional shares of common stock that will be reserved for issuance under our 2006 stock incentive plan immediately prior to completion of this offering.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If the underwriters exercise their over-allotment option in full, the following will occur:</w:t>
      </w:r>
    </w:p>
    <w:p>
      <w:pPr>
        <w:spacing w:after="0" w:line="119" w:lineRule="exact"/>
        <w:rPr>
          <w:sz w:val="20"/>
          <w:szCs w:val="20"/>
          <w:color w:val="auto"/>
        </w:rPr>
      </w:pPr>
    </w:p>
    <w:p>
      <w:pPr>
        <w:ind w:left="220" w:right="60" w:hanging="210"/>
        <w:spacing w:after="0" w:line="258" w:lineRule="auto"/>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number of shares of common stock held by existing stockholders will decrease to 21,909,620, or approximately 79.2% of the total number of shares of our common stock outstanding after this offering; and</w:t>
      </w:r>
    </w:p>
    <w:p>
      <w:pPr>
        <w:spacing w:after="0" w:line="77" w:lineRule="exact"/>
        <w:rPr>
          <w:rFonts w:ascii="Arial" w:cs="Arial" w:eastAsia="Arial" w:hAnsi="Arial"/>
          <w:sz w:val="17"/>
          <w:szCs w:val="17"/>
          <w:color w:val="auto"/>
        </w:rPr>
      </w:pPr>
    </w:p>
    <w:p>
      <w:pPr>
        <w:ind w:left="220" w:right="100" w:hanging="210"/>
        <w:spacing w:after="0" w:line="258" w:lineRule="auto"/>
        <w:tabs>
          <w:tab w:leader="none" w:pos="2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number of shares of common stock held by new investors will increase to 5,750,000, or approximately 20.8% of the total number of shares of our common stock outstanding after this offering.</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924" w:right="109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28"/>
          <w:szCs w:val="28"/>
          <w:b w:val="1"/>
          <w:bCs w:val="1"/>
          <w:color w:val="auto"/>
        </w:rPr>
        <w:t>Selected consolidated financial data</w:t>
      </w:r>
    </w:p>
    <w:p>
      <w:pPr>
        <w:spacing w:after="0" w:line="108"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w:t>
      </w:r>
    </w:p>
    <w:p>
      <w:pPr>
        <w:spacing w:after="0" w:line="44"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have derived the consolidated statement of operations data for the years ended December 31, 2003, 2004 and 2005 and the consolidated balance sheet data as of December 31, 2004 and 2005 from our audited consolidated financial statements, which are included in this prospectus. We have derived the consolidated statements of operations data for the years ended December 31, 2001 and 2002 and the consolidated balance sheets data as of December 31, 2001, 2002 and 2003 from our audited consolidated financial statements, which are not included in this prospectus. We have derived the consolidated statement of operations data for the nine-month periods ended September 30, 2005 and 2006 and the consolidated balance sheet data as of September 30, 2006 from our unaudited consolidated financial statements, which are included in this prospectus. The unaudited consolidated financial data include, in the opinion of our management, all adjustments, consisting only of normal recurring adjustments, that are necessary for a fair presentation of our financial position and results of operations for these periods. Our historical results for any prior period are not necessarily indicative of results to be expected in any future period, and our results for any interim period are not necessarily indicative of results for a full fiscal year.</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 thousands, except share and per share data)</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54"/>
        </w:trPr>
        <w:tc>
          <w:tcPr>
            <w:tcW w:w="33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2001</w:t>
            </w:r>
          </w:p>
        </w:tc>
        <w:tc>
          <w:tcPr>
            <w:tcW w:w="2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2002</w:t>
            </w:r>
          </w:p>
        </w:tc>
        <w:tc>
          <w:tcPr>
            <w:tcW w:w="3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2003</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2004</w:t>
            </w: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2005</w:t>
            </w:r>
          </w:p>
        </w:tc>
        <w:tc>
          <w:tcPr>
            <w:tcW w:w="3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2"/>
                <w:szCs w:val="12"/>
                <w:b w:val="1"/>
                <w:bCs w:val="1"/>
                <w:color w:val="auto"/>
              </w:rPr>
              <w:t>Statements of operations data:</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spacing w:after="0" w:line="131" w:lineRule="exact"/>
              <w:rPr>
                <w:sz w:val="20"/>
                <w:szCs w:val="20"/>
                <w:color w:val="auto"/>
              </w:rPr>
            </w:pPr>
            <w:r>
              <w:rPr>
                <w:rFonts w:ascii="Arial" w:cs="Arial" w:eastAsia="Arial" w:hAnsi="Arial"/>
                <w:sz w:val="12"/>
                <w:szCs w:val="12"/>
                <w:color w:val="auto"/>
              </w:rPr>
              <w:t>Revenues: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ind w:left="180"/>
              <w:spacing w:after="0" w:line="131" w:lineRule="exact"/>
              <w:rPr>
                <w:sz w:val="20"/>
                <w:szCs w:val="20"/>
                <w:color w:val="auto"/>
              </w:rPr>
            </w:pPr>
            <w:r>
              <w:rPr>
                <w:rFonts w:ascii="Arial" w:cs="Arial" w:eastAsia="Arial" w:hAnsi="Arial"/>
                <w:sz w:val="12"/>
                <w:szCs w:val="12"/>
                <w:color w:val="auto"/>
              </w:rPr>
              <w:t>Product sales</w:t>
            </w:r>
          </w:p>
        </w:tc>
        <w:tc>
          <w:tcPr>
            <w:tcW w:w="660" w:type="dxa"/>
            <w:vAlign w:val="bottom"/>
            <w:gridSpan w:val="2"/>
            <w:shd w:val="clear" w:color="auto" w:fill="CCEEFF"/>
          </w:tcPr>
          <w:p>
            <w:pPr>
              <w:jc w:val="right"/>
              <w:ind w:right="140"/>
              <w:spacing w:after="0" w:line="131"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486</w:t>
            </w:r>
          </w:p>
        </w:tc>
        <w:tc>
          <w:tcPr>
            <w:tcW w:w="26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61,253</w:t>
            </w:r>
          </w:p>
        </w:tc>
        <w:tc>
          <w:tcPr>
            <w:tcW w:w="300" w:type="dxa"/>
            <w:vAlign w:val="bottom"/>
            <w:shd w:val="clear" w:color="auto" w:fill="CCEEFF"/>
          </w:tcPr>
          <w:p>
            <w:pPr>
              <w:jc w:val="right"/>
              <w:ind w:right="79"/>
              <w:spacing w:after="0" w:line="131"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55,536</w:t>
            </w:r>
          </w:p>
        </w:tc>
        <w:tc>
          <w:tcPr>
            <w:tcW w:w="1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81,014</w:t>
            </w:r>
          </w:p>
        </w:tc>
        <w:tc>
          <w:tcPr>
            <w:tcW w:w="24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127,271</w:t>
            </w: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85,807</w:t>
            </w:r>
          </w:p>
        </w:tc>
        <w:tc>
          <w:tcPr>
            <w:tcW w:w="340" w:type="dxa"/>
            <w:vAlign w:val="bottom"/>
            <w:shd w:val="clear" w:color="auto" w:fill="CCEEFF"/>
          </w:tcPr>
          <w:p>
            <w:pPr>
              <w:jc w:val="right"/>
              <w:ind w:right="79"/>
              <w:spacing w:after="0" w:line="131"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61,263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00" w:type="dxa"/>
            <w:vAlign w:val="bottom"/>
          </w:tcPr>
          <w:p>
            <w:pPr>
              <w:ind w:left="180"/>
              <w:spacing w:after="0"/>
              <w:rPr>
                <w:sz w:val="20"/>
                <w:szCs w:val="20"/>
                <w:color w:val="auto"/>
              </w:rPr>
            </w:pPr>
            <w:r>
              <w:rPr>
                <w:rFonts w:ascii="Arial" w:cs="Arial" w:eastAsia="Arial" w:hAnsi="Arial"/>
                <w:sz w:val="12"/>
                <w:szCs w:val="12"/>
                <w:color w:val="auto"/>
              </w:rPr>
              <w:t>Contracts and grants</w:t>
            </w: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44,823</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17,288</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233</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2,480</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3,417</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1,093</w:t>
            </w: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4,580</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Total revenues</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45,309</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78,541</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55,769</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83,494</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130,688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86,900</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65,843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spacing w:after="0" w:line="131" w:lineRule="exact"/>
              <w:rPr>
                <w:sz w:val="20"/>
                <w:szCs w:val="20"/>
                <w:color w:val="auto"/>
              </w:rPr>
            </w:pPr>
            <w:r>
              <w:rPr>
                <w:rFonts w:ascii="Arial" w:cs="Arial" w:eastAsia="Arial" w:hAnsi="Arial"/>
                <w:sz w:val="12"/>
                <w:szCs w:val="12"/>
                <w:color w:val="auto"/>
              </w:rPr>
              <w:t>Operating expenses (income):</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ind w:left="180"/>
              <w:spacing w:after="0" w:line="131" w:lineRule="exact"/>
              <w:rPr>
                <w:sz w:val="20"/>
                <w:szCs w:val="20"/>
                <w:color w:val="auto"/>
              </w:rPr>
            </w:pPr>
            <w:r>
              <w:rPr>
                <w:rFonts w:ascii="Arial" w:cs="Arial" w:eastAsia="Arial" w:hAnsi="Arial"/>
                <w:sz w:val="12"/>
                <w:szCs w:val="12"/>
                <w:color w:val="auto"/>
              </w:rPr>
              <w:t>Cost of product sales</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34,367</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24,569</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22,342</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30,102</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31,603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23,147</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11,645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ind w:left="180"/>
              <w:spacing w:after="0" w:line="131" w:lineRule="exact"/>
              <w:rPr>
                <w:sz w:val="20"/>
                <w:szCs w:val="20"/>
                <w:color w:val="auto"/>
              </w:rPr>
            </w:pPr>
            <w:r>
              <w:rPr>
                <w:rFonts w:ascii="Arial" w:cs="Arial" w:eastAsia="Arial" w:hAnsi="Arial"/>
                <w:sz w:val="12"/>
                <w:szCs w:val="12"/>
                <w:color w:val="auto"/>
              </w:rPr>
              <w:t>Research and development</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ind w:right="59"/>
              <w:spacing w:after="0" w:line="131" w:lineRule="exact"/>
              <w:rPr>
                <w:sz w:val="20"/>
                <w:szCs w:val="20"/>
                <w:color w:val="auto"/>
              </w:rPr>
            </w:pPr>
            <w:r>
              <w:rPr>
                <w:rFonts w:ascii="Arial" w:cs="Arial" w:eastAsia="Arial" w:hAnsi="Arial"/>
                <w:sz w:val="12"/>
                <w:szCs w:val="12"/>
                <w:color w:val="auto"/>
              </w:rPr>
              <w:t>382</w:t>
            </w:r>
          </w:p>
        </w:tc>
        <w:tc>
          <w:tcPr>
            <w:tcW w:w="260" w:type="dxa"/>
            <w:vAlign w:val="bottom"/>
          </w:tcPr>
          <w:p>
            <w:pPr>
              <w:spacing w:after="0"/>
              <w:rPr>
                <w:sz w:val="11"/>
                <w:szCs w:val="11"/>
                <w:color w:val="auto"/>
              </w:rPr>
            </w:pPr>
          </w:p>
        </w:tc>
        <w:tc>
          <w:tcPr>
            <w:tcW w:w="600" w:type="dxa"/>
            <w:vAlign w:val="bottom"/>
          </w:tcPr>
          <w:p>
            <w:pPr>
              <w:jc w:val="right"/>
              <w:ind w:right="19"/>
              <w:spacing w:after="0" w:line="131" w:lineRule="exact"/>
              <w:rPr>
                <w:sz w:val="20"/>
                <w:szCs w:val="20"/>
                <w:color w:val="auto"/>
              </w:rPr>
            </w:pPr>
            <w:r>
              <w:rPr>
                <w:rFonts w:ascii="Arial" w:cs="Arial" w:eastAsia="Arial" w:hAnsi="Arial"/>
                <w:sz w:val="12"/>
                <w:szCs w:val="12"/>
                <w:color w:val="auto"/>
              </w:rPr>
              <w:t>2,808</w:t>
            </w:r>
          </w:p>
        </w:tc>
        <w:tc>
          <w:tcPr>
            <w:tcW w:w="300" w:type="dxa"/>
            <w:vAlign w:val="bottom"/>
          </w:tcPr>
          <w:p>
            <w:pPr>
              <w:spacing w:after="0"/>
              <w:rPr>
                <w:sz w:val="11"/>
                <w:szCs w:val="11"/>
                <w:color w:val="auto"/>
              </w:rPr>
            </w:pPr>
          </w:p>
        </w:tc>
        <w:tc>
          <w:tcPr>
            <w:tcW w:w="600" w:type="dxa"/>
            <w:vAlign w:val="bottom"/>
          </w:tcPr>
          <w:p>
            <w:pPr>
              <w:jc w:val="right"/>
              <w:ind w:right="39"/>
              <w:spacing w:after="0" w:line="131" w:lineRule="exact"/>
              <w:rPr>
                <w:sz w:val="20"/>
                <w:szCs w:val="20"/>
                <w:color w:val="auto"/>
              </w:rPr>
            </w:pPr>
            <w:r>
              <w:rPr>
                <w:rFonts w:ascii="Arial" w:cs="Arial" w:eastAsia="Arial" w:hAnsi="Arial"/>
                <w:sz w:val="12"/>
                <w:szCs w:val="12"/>
                <w:color w:val="auto"/>
              </w:rPr>
              <w:t>6,327</w:t>
            </w:r>
          </w:p>
        </w:tc>
        <w:tc>
          <w:tcPr>
            <w:tcW w:w="18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10,117</w:t>
            </w:r>
          </w:p>
        </w:tc>
        <w:tc>
          <w:tcPr>
            <w:tcW w:w="24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2"/>
                <w:szCs w:val="12"/>
                <w:color w:val="auto"/>
              </w:rPr>
              <w:t>18,381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2"/>
                <w:szCs w:val="12"/>
                <w:color w:val="auto"/>
              </w:rPr>
              <w:t>9,632</w:t>
            </w:r>
          </w:p>
        </w:tc>
        <w:tc>
          <w:tcPr>
            <w:tcW w:w="34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26,640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ind w:left="180"/>
              <w:spacing w:after="0" w:line="131" w:lineRule="exact"/>
              <w:rPr>
                <w:sz w:val="20"/>
                <w:szCs w:val="20"/>
                <w:color w:val="auto"/>
              </w:rPr>
            </w:pPr>
            <w:r>
              <w:rPr>
                <w:rFonts w:ascii="Arial" w:cs="Arial" w:eastAsia="Arial" w:hAnsi="Arial"/>
                <w:sz w:val="12"/>
                <w:szCs w:val="12"/>
                <w:color w:val="auto"/>
              </w:rPr>
              <w:t>Selling, general &amp; administrative</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10,924</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13,397</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19,547</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30,323</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42,793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28,924</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32,952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tcPr>
          <w:p>
            <w:pPr>
              <w:ind w:left="180"/>
              <w:spacing w:after="0" w:line="131" w:lineRule="exact"/>
              <w:rPr>
                <w:sz w:val="20"/>
                <w:szCs w:val="20"/>
                <w:color w:val="auto"/>
              </w:rPr>
            </w:pPr>
            <w:r>
              <w:rPr>
                <w:rFonts w:ascii="Arial" w:cs="Arial" w:eastAsia="Arial" w:hAnsi="Arial"/>
                <w:sz w:val="12"/>
                <w:szCs w:val="12"/>
                <w:color w:val="auto"/>
              </w:rPr>
              <w:t>Purchased in-process research and development</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ind w:right="59"/>
              <w:spacing w:after="0" w:line="131"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600" w:type="dxa"/>
            <w:vAlign w:val="bottom"/>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11"/>
                <w:szCs w:val="11"/>
                <w:color w:val="auto"/>
              </w:rPr>
            </w:pPr>
          </w:p>
        </w:tc>
        <w:tc>
          <w:tcPr>
            <w:tcW w:w="600" w:type="dxa"/>
            <w:vAlign w:val="bottom"/>
          </w:tcPr>
          <w:p>
            <w:pPr>
              <w:jc w:val="right"/>
              <w:ind w:right="39"/>
              <w:spacing w:after="0" w:line="131" w:lineRule="exact"/>
              <w:rPr>
                <w:sz w:val="20"/>
                <w:szCs w:val="20"/>
                <w:color w:val="auto"/>
              </w:rPr>
            </w:pPr>
            <w:r>
              <w:rPr>
                <w:rFonts w:ascii="Arial" w:cs="Arial" w:eastAsia="Arial" w:hAnsi="Arial"/>
                <w:sz w:val="12"/>
                <w:szCs w:val="12"/>
                <w:color w:val="auto"/>
              </w:rPr>
              <w:t>1,824</w:t>
            </w:r>
          </w:p>
        </w:tc>
        <w:tc>
          <w:tcPr>
            <w:tcW w:w="18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2"/>
                <w:szCs w:val="12"/>
                <w:color w:val="auto"/>
              </w:rPr>
              <w:t>26,575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line="131" w:lineRule="exact"/>
              <w:rPr>
                <w:sz w:val="20"/>
                <w:szCs w:val="20"/>
                <w:color w:val="auto"/>
              </w:rPr>
            </w:pPr>
            <w:r>
              <w:rPr>
                <w:rFonts w:ascii="Arial" w:cs="Arial" w:eastAsia="Arial" w:hAnsi="Arial"/>
                <w:sz w:val="12"/>
                <w:szCs w:val="12"/>
                <w:color w:val="auto"/>
              </w:rPr>
              <w:t>26,575</w:t>
            </w:r>
          </w:p>
        </w:tc>
        <w:tc>
          <w:tcPr>
            <w:tcW w:w="34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477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ind w:left="180"/>
              <w:spacing w:after="0" w:line="131" w:lineRule="exact"/>
              <w:rPr>
                <w:sz w:val="20"/>
                <w:szCs w:val="20"/>
                <w:color w:val="auto"/>
              </w:rPr>
            </w:pPr>
            <w:r>
              <w:rPr>
                <w:rFonts w:ascii="Arial" w:cs="Arial" w:eastAsia="Arial" w:hAnsi="Arial"/>
                <w:sz w:val="12"/>
                <w:szCs w:val="12"/>
                <w:color w:val="auto"/>
              </w:rPr>
              <w:t>Settlement of State of Michigan Obligation</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(3,819)</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1"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00" w:type="dxa"/>
            <w:vAlign w:val="bottom"/>
          </w:tcPr>
          <w:p>
            <w:pPr>
              <w:ind w:left="180"/>
              <w:spacing w:after="0"/>
              <w:rPr>
                <w:sz w:val="20"/>
                <w:szCs w:val="20"/>
                <w:color w:val="auto"/>
              </w:rPr>
            </w:pPr>
            <w:r>
              <w:rPr>
                <w:rFonts w:ascii="Arial" w:cs="Arial" w:eastAsia="Arial" w:hAnsi="Arial"/>
                <w:sz w:val="12"/>
                <w:szCs w:val="12"/>
                <w:color w:val="auto"/>
              </w:rPr>
              <w:t>Litigation settlement</w:t>
            </w:r>
          </w:p>
        </w:tc>
        <w:tc>
          <w:tcPr>
            <w:tcW w:w="4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(10,000)</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(10,000)</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0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Total operating expenses</w:t>
            </w: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45,673</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40,774</w:t>
            </w: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50,040</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66,723</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109,352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78,278</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71,714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320" w:type="dxa"/>
            <w:vAlign w:val="bottom"/>
            <w:gridSpan w:val="2"/>
          </w:tcPr>
          <w:p>
            <w:pPr>
              <w:spacing w:after="0"/>
              <w:rPr>
                <w:sz w:val="20"/>
                <w:szCs w:val="20"/>
                <w:color w:val="auto"/>
              </w:rPr>
            </w:pPr>
            <w:r>
              <w:rPr>
                <w:rFonts w:ascii="Arial" w:cs="Arial" w:eastAsia="Arial" w:hAnsi="Arial"/>
                <w:sz w:val="12"/>
                <w:szCs w:val="12"/>
                <w:color w:val="auto"/>
              </w:rPr>
              <w:t>Income (loss) from operations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
              <w:spacing w:after="0"/>
              <w:rPr>
                <w:sz w:val="20"/>
                <w:szCs w:val="20"/>
                <w:color w:val="auto"/>
              </w:rPr>
            </w:pPr>
            <w:r>
              <w:rPr>
                <w:rFonts w:ascii="Arial" w:cs="Arial" w:eastAsia="Arial" w:hAnsi="Arial"/>
                <w:sz w:val="12"/>
                <w:szCs w:val="12"/>
                <w:color w:val="auto"/>
              </w:rPr>
              <w:t>(364)</w:t>
            </w:r>
          </w:p>
        </w:tc>
        <w:tc>
          <w:tcPr>
            <w:tcW w:w="260" w:type="dxa"/>
            <w:vAlign w:val="bottom"/>
          </w:tcPr>
          <w:p>
            <w:pPr>
              <w:spacing w:after="0"/>
              <w:rPr>
                <w:sz w:val="12"/>
                <w:szCs w:val="12"/>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37,767</w:t>
            </w:r>
          </w:p>
        </w:tc>
        <w:tc>
          <w:tcPr>
            <w:tcW w:w="300" w:type="dxa"/>
            <w:vAlign w:val="bottom"/>
          </w:tcPr>
          <w:p>
            <w:pPr>
              <w:spacing w:after="0"/>
              <w:rPr>
                <w:sz w:val="12"/>
                <w:szCs w:val="12"/>
                <w:color w:val="auto"/>
              </w:rPr>
            </w:pPr>
          </w:p>
        </w:tc>
        <w:tc>
          <w:tcPr>
            <w:tcW w:w="600" w:type="dxa"/>
            <w:vAlign w:val="bottom"/>
          </w:tcPr>
          <w:p>
            <w:pPr>
              <w:jc w:val="right"/>
              <w:ind w:right="39"/>
              <w:spacing w:after="0"/>
              <w:rPr>
                <w:sz w:val="20"/>
                <w:szCs w:val="20"/>
                <w:color w:val="auto"/>
              </w:rPr>
            </w:pPr>
            <w:r>
              <w:rPr>
                <w:rFonts w:ascii="Arial" w:cs="Arial" w:eastAsia="Arial" w:hAnsi="Arial"/>
                <w:sz w:val="12"/>
                <w:szCs w:val="12"/>
                <w:color w:val="auto"/>
              </w:rPr>
              <w:t>5,729</w:t>
            </w:r>
          </w:p>
        </w:tc>
        <w:tc>
          <w:tcPr>
            <w:tcW w:w="18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16,771</w:t>
            </w: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21,336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8,622</w:t>
            </w:r>
          </w:p>
        </w:tc>
        <w:tc>
          <w:tcPr>
            <w:tcW w:w="34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(5,871)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1905</wp:posOffset>
            </wp:positionV>
            <wp:extent cx="38995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99535" cy="82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Other income (expense):</w:t>
      </w:r>
    </w:p>
    <w:p>
      <w:pPr>
        <w:ind w:left="220"/>
        <w:spacing w:after="0" w:line="227" w:lineRule="auto"/>
        <w:rPr>
          <w:sz w:val="20"/>
          <w:szCs w:val="20"/>
          <w:color w:val="auto"/>
        </w:rPr>
      </w:pPr>
      <w:r>
        <w:rPr>
          <w:rFonts w:ascii="Arial" w:cs="Arial" w:eastAsia="Arial" w:hAnsi="Arial"/>
          <w:sz w:val="12"/>
          <w:szCs w:val="12"/>
          <w:color w:val="auto"/>
        </w:rPr>
        <w:t>Interest income</w:t>
      </w:r>
    </w:p>
    <w:p>
      <w:pPr>
        <w:ind w:left="220"/>
        <w:spacing w:after="0" w:line="228" w:lineRule="auto"/>
        <w:rPr>
          <w:sz w:val="20"/>
          <w:szCs w:val="20"/>
          <w:color w:val="auto"/>
        </w:rPr>
      </w:pPr>
      <w:r>
        <w:rPr>
          <w:rFonts w:ascii="Arial" w:cs="Arial" w:eastAsia="Arial" w:hAnsi="Arial"/>
          <w:sz w:val="12"/>
          <w:szCs w:val="12"/>
          <w:color w:val="auto"/>
        </w:rPr>
        <w:t>Interest expense</w:t>
      </w:r>
    </w:p>
    <w:p>
      <w:pPr>
        <w:ind w:left="220"/>
        <w:spacing w:after="0"/>
        <w:rPr>
          <w:sz w:val="20"/>
          <w:szCs w:val="20"/>
          <w:color w:val="auto"/>
        </w:rPr>
      </w:pPr>
      <w:r>
        <w:rPr>
          <w:rFonts w:ascii="Arial" w:cs="Arial" w:eastAsia="Arial" w:hAnsi="Arial"/>
          <w:sz w:val="12"/>
          <w:szCs w:val="12"/>
          <w:color w:val="auto"/>
        </w:rPr>
        <w:t>Other income (expense), net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other income (expense)</w:t>
      </w:r>
    </w:p>
    <w:p>
      <w:pPr>
        <w:ind w:left="20"/>
        <w:spacing w:after="0" w:line="242" w:lineRule="auto"/>
        <w:rPr>
          <w:sz w:val="20"/>
          <w:szCs w:val="20"/>
          <w:color w:val="auto"/>
        </w:rPr>
      </w:pPr>
      <w:r>
        <w:rPr>
          <w:rFonts w:ascii="Arial" w:cs="Arial" w:eastAsia="Arial" w:hAnsi="Arial"/>
          <w:sz w:val="12"/>
          <w:szCs w:val="12"/>
          <w:color w:val="auto"/>
        </w:rPr>
        <w:t>Income (loss) before provision for (benefit from) income taxes Provision for (benefit from) income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income (loss)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2"/>
          <w:szCs w:val="12"/>
          <w:color w:val="auto"/>
        </w:rPr>
        <w:t>Earnings (loss) per share — basic</w:t>
      </w:r>
    </w:p>
    <w:p>
      <w:pPr>
        <w:ind w:left="20"/>
        <w:spacing w:after="0" w:line="227" w:lineRule="auto"/>
        <w:rPr>
          <w:sz w:val="20"/>
          <w:szCs w:val="20"/>
          <w:color w:val="auto"/>
        </w:rPr>
      </w:pPr>
      <w:r>
        <w:rPr>
          <w:rFonts w:ascii="Arial" w:cs="Arial" w:eastAsia="Arial" w:hAnsi="Arial"/>
          <w:sz w:val="12"/>
          <w:szCs w:val="12"/>
          <w:color w:val="auto"/>
        </w:rPr>
        <w:t>Earnings (loss) per share — diluted</w:t>
      </w:r>
    </w:p>
    <w:p>
      <w:pPr>
        <w:ind w:left="20"/>
        <w:spacing w:after="0" w:line="228" w:lineRule="auto"/>
        <w:rPr>
          <w:sz w:val="20"/>
          <w:szCs w:val="20"/>
          <w:color w:val="auto"/>
        </w:rPr>
      </w:pPr>
      <w:r>
        <w:rPr>
          <w:rFonts w:ascii="Arial" w:cs="Arial" w:eastAsia="Arial" w:hAnsi="Arial"/>
          <w:sz w:val="12"/>
          <w:szCs w:val="12"/>
          <w:color w:val="auto"/>
        </w:rPr>
        <w:t>Weighted average number of shares — basic</w:t>
      </w:r>
    </w:p>
    <w:p>
      <w:pPr>
        <w:ind w:left="20"/>
        <w:spacing w:after="0"/>
        <w:rPr>
          <w:sz w:val="20"/>
          <w:szCs w:val="20"/>
          <w:color w:val="auto"/>
        </w:rPr>
      </w:pPr>
      <w:r>
        <w:rPr>
          <w:rFonts w:ascii="Arial" w:cs="Arial" w:eastAsia="Arial" w:hAnsi="Arial"/>
          <w:sz w:val="12"/>
          <w:szCs w:val="12"/>
          <w:color w:val="auto"/>
        </w:rPr>
        <w:t>Weighted average number of shares — diluted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122</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80</w:t>
            </w:r>
          </w:p>
        </w:tc>
        <w:tc>
          <w:tcPr>
            <w:tcW w:w="16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65</w:t>
            </w:r>
          </w:p>
        </w:tc>
        <w:tc>
          <w:tcPr>
            <w:tcW w:w="16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485</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338</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405</w:t>
            </w:r>
          </w:p>
        </w:tc>
      </w:tr>
      <w:tr>
        <w:trPr>
          <w:trHeight w:val="131"/>
        </w:trPr>
        <w:tc>
          <w:tcPr>
            <w:tcW w:w="80" w:type="dxa"/>
            <w:vAlign w:val="bottom"/>
          </w:tcPr>
          <w:p>
            <w:pPr>
              <w:spacing w:after="0"/>
              <w:rPr>
                <w:sz w:val="11"/>
                <w:szCs w:val="11"/>
                <w:color w:val="auto"/>
              </w:rPr>
            </w:pP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(193)</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(451)</w:t>
            </w:r>
          </w:p>
        </w:tc>
        <w:tc>
          <w:tcPr>
            <w:tcW w:w="160" w:type="dxa"/>
            <w:vAlign w:val="bottom"/>
          </w:tcPr>
          <w:p>
            <w:pPr>
              <w:spacing w:after="0"/>
              <w:rPr>
                <w:sz w:val="11"/>
                <w:szCs w:val="11"/>
                <w:color w:val="auto"/>
              </w:rPr>
            </w:pP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(293)</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(241)</w:t>
            </w:r>
          </w:p>
        </w:tc>
        <w:tc>
          <w:tcPr>
            <w:tcW w:w="160" w:type="dxa"/>
            <w:vAlign w:val="bottom"/>
          </w:tcPr>
          <w:p>
            <w:pPr>
              <w:spacing w:after="0"/>
              <w:rPr>
                <w:sz w:val="11"/>
                <w:szCs w:val="11"/>
                <w:color w:val="auto"/>
              </w:rPr>
            </w:pP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(767)</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(575)</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(778)</w:t>
            </w:r>
          </w:p>
        </w:tc>
      </w:tr>
      <w:tr>
        <w:trPr>
          <w:trHeight w:val="148"/>
        </w:trPr>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(119)</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168</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6</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55</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291</w:t>
            </w:r>
          </w:p>
        </w:tc>
      </w:tr>
      <w:tr>
        <w:trPr>
          <w:trHeight w:val="133"/>
        </w:trPr>
        <w:tc>
          <w:tcPr>
            <w:tcW w:w="80" w:type="dxa"/>
            <w:vAlign w:val="bottom"/>
          </w:tcPr>
          <w:p>
            <w:pPr>
              <w:spacing w:after="0"/>
              <w:rPr>
                <w:sz w:val="11"/>
                <w:szCs w:val="11"/>
                <w:color w:val="auto"/>
              </w:rPr>
            </w:pPr>
          </w:p>
        </w:tc>
        <w:tc>
          <w:tcPr>
            <w:tcW w:w="740" w:type="dxa"/>
            <w:vAlign w:val="bottom"/>
          </w:tcPr>
          <w:p>
            <w:pPr>
              <w:jc w:val="right"/>
              <w:ind w:right="19"/>
              <w:spacing w:after="0" w:line="133" w:lineRule="exact"/>
              <w:rPr>
                <w:sz w:val="20"/>
                <w:szCs w:val="20"/>
                <w:color w:val="auto"/>
              </w:rPr>
            </w:pPr>
            <w:r>
              <w:rPr>
                <w:rFonts w:ascii="Arial" w:cs="Arial" w:eastAsia="Arial" w:hAnsi="Arial"/>
                <w:sz w:val="12"/>
                <w:szCs w:val="12"/>
                <w:color w:val="auto"/>
              </w:rPr>
              <w:t>(190)</w:t>
            </w:r>
          </w:p>
        </w:tc>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(642)</w:t>
            </w:r>
          </w:p>
        </w:tc>
        <w:tc>
          <w:tcPr>
            <w:tcW w:w="160" w:type="dxa"/>
            <w:vAlign w:val="bottom"/>
          </w:tcPr>
          <w:p>
            <w:pPr>
              <w:spacing w:after="0"/>
              <w:rPr>
                <w:sz w:val="11"/>
                <w:szCs w:val="11"/>
                <w:color w:val="auto"/>
              </w:rPr>
            </w:pPr>
          </w:p>
        </w:tc>
        <w:tc>
          <w:tcPr>
            <w:tcW w:w="740" w:type="dxa"/>
            <w:vAlign w:val="bottom"/>
          </w:tcPr>
          <w:p>
            <w:pPr>
              <w:jc w:val="right"/>
              <w:ind w:right="19"/>
              <w:spacing w:after="0" w:line="133" w:lineRule="exact"/>
              <w:rPr>
                <w:sz w:val="20"/>
                <w:szCs w:val="20"/>
                <w:color w:val="auto"/>
              </w:rPr>
            </w:pPr>
            <w:r>
              <w:rPr>
                <w:rFonts w:ascii="Arial" w:cs="Arial" w:eastAsia="Arial" w:hAnsi="Arial"/>
                <w:sz w:val="12"/>
                <w:szCs w:val="12"/>
                <w:color w:val="auto"/>
              </w:rPr>
              <w:t>(25)</w:t>
            </w:r>
          </w:p>
        </w:tc>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(170)</w:t>
            </w:r>
          </w:p>
        </w:tc>
        <w:tc>
          <w:tcPr>
            <w:tcW w:w="160" w:type="dxa"/>
            <w:vAlign w:val="bottom"/>
          </w:tcPr>
          <w:p>
            <w:pPr>
              <w:spacing w:after="0"/>
              <w:rPr>
                <w:sz w:val="11"/>
                <w:szCs w:val="11"/>
                <w:color w:val="auto"/>
              </w:rPr>
            </w:pPr>
          </w:p>
        </w:tc>
        <w:tc>
          <w:tcPr>
            <w:tcW w:w="740" w:type="dxa"/>
            <w:vAlign w:val="bottom"/>
          </w:tcPr>
          <w:p>
            <w:pPr>
              <w:jc w:val="right"/>
              <w:ind w:right="19"/>
              <w:spacing w:after="0" w:line="133" w:lineRule="exact"/>
              <w:rPr>
                <w:sz w:val="20"/>
                <w:szCs w:val="20"/>
                <w:color w:val="auto"/>
              </w:rPr>
            </w:pPr>
            <w:r>
              <w:rPr>
                <w:rFonts w:ascii="Arial" w:cs="Arial" w:eastAsia="Arial" w:hAnsi="Arial"/>
                <w:sz w:val="12"/>
                <w:szCs w:val="12"/>
                <w:color w:val="auto"/>
              </w:rPr>
              <w:t>(227)</w:t>
            </w:r>
          </w:p>
        </w:tc>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(261)</w:t>
            </w:r>
          </w:p>
        </w:tc>
        <w:tc>
          <w:tcPr>
            <w:tcW w:w="160" w:type="dxa"/>
            <w:vAlign w:val="bottom"/>
          </w:tcPr>
          <w:p>
            <w:pPr>
              <w:spacing w:after="0"/>
              <w:rPr>
                <w:sz w:val="11"/>
                <w:szCs w:val="11"/>
                <w:color w:val="auto"/>
              </w:rPr>
            </w:pP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(82)</w:t>
            </w:r>
          </w:p>
        </w:tc>
      </w:tr>
      <w:tr>
        <w:trPr>
          <w:trHeight w:val="131"/>
        </w:trPr>
        <w:tc>
          <w:tcPr>
            <w:tcW w:w="80" w:type="dxa"/>
            <w:vAlign w:val="bottom"/>
          </w:tcPr>
          <w:p>
            <w:pPr>
              <w:spacing w:after="0"/>
              <w:rPr>
                <w:sz w:val="11"/>
                <w:szCs w:val="11"/>
                <w:color w:val="auto"/>
              </w:rPr>
            </w:pP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(554)</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37,125</w:t>
            </w:r>
          </w:p>
        </w:tc>
        <w:tc>
          <w:tcPr>
            <w:tcW w:w="16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rPr>
              <w:t>5,704</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16,601</w:t>
            </w:r>
          </w:p>
        </w:tc>
        <w:tc>
          <w:tcPr>
            <w:tcW w:w="16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rPr>
              <w:t>21,109</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8,361</w:t>
            </w:r>
          </w:p>
        </w:tc>
        <w:tc>
          <w:tcPr>
            <w:tcW w:w="16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(5,953)</w:t>
            </w:r>
          </w:p>
        </w:tc>
      </w:tr>
      <w:tr>
        <w:trPr>
          <w:trHeight w:val="148"/>
        </w:trPr>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733</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1,250</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5,129</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5,325</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2,109</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(2,617)</w:t>
            </w:r>
          </w:p>
        </w:tc>
      </w:tr>
      <w:tr>
        <w:trPr>
          <w:trHeight w:val="149"/>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(554)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36,392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4,454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11,472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15,784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rPr>
                <w:sz w:val="20"/>
                <w:szCs w:val="20"/>
                <w:color w:val="auto"/>
              </w:rPr>
            </w:pPr>
            <w:r>
              <w:rPr>
                <w:rFonts w:ascii="Arial" w:cs="Arial" w:eastAsia="Arial" w:hAnsi="Arial"/>
                <w:sz w:val="12"/>
                <w:szCs w:val="12"/>
                <w:color w:val="auto"/>
              </w:rPr>
              <w:t>6,252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(3,336)</w:t>
            </w:r>
          </w:p>
        </w:tc>
      </w:tr>
      <w:tr>
        <w:trPr>
          <w:trHeight w:val="101"/>
        </w:trPr>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125"/>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9"/>
              <w:spacing w:after="0" w:line="125" w:lineRule="exact"/>
              <w:rPr>
                <w:sz w:val="20"/>
                <w:szCs w:val="20"/>
                <w:color w:val="auto"/>
              </w:rPr>
            </w:pPr>
            <w:r>
              <w:rPr>
                <w:rFonts w:ascii="Arial" w:cs="Arial" w:eastAsia="Arial" w:hAnsi="Arial"/>
                <w:sz w:val="12"/>
                <w:szCs w:val="12"/>
                <w:color w:val="auto"/>
              </w:rPr>
              <w:t>(0.03)</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25" w:lineRule="exact"/>
              <w:rPr>
                <w:sz w:val="20"/>
                <w:szCs w:val="20"/>
                <w:color w:val="auto"/>
              </w:rPr>
            </w:pPr>
            <w:r>
              <w:rPr>
                <w:rFonts w:ascii="Arial" w:cs="Arial" w:eastAsia="Arial" w:hAnsi="Arial"/>
                <w:sz w:val="12"/>
                <w:szCs w:val="12"/>
                <w:color w:val="auto"/>
              </w:rPr>
              <w:t>1.97</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line="125" w:lineRule="exact"/>
              <w:rPr>
                <w:sz w:val="20"/>
                <w:szCs w:val="20"/>
                <w:color w:val="auto"/>
              </w:rPr>
            </w:pPr>
            <w:r>
              <w:rPr>
                <w:rFonts w:ascii="Arial" w:cs="Arial" w:eastAsia="Arial" w:hAnsi="Arial"/>
                <w:sz w:val="12"/>
                <w:szCs w:val="12"/>
                <w:color w:val="auto"/>
              </w:rPr>
              <w:t>0.24</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25" w:lineRule="exact"/>
              <w:rPr>
                <w:sz w:val="20"/>
                <w:szCs w:val="20"/>
                <w:color w:val="auto"/>
              </w:rPr>
            </w:pPr>
            <w:r>
              <w:rPr>
                <w:rFonts w:ascii="Arial" w:cs="Arial" w:eastAsia="Arial" w:hAnsi="Arial"/>
                <w:sz w:val="12"/>
                <w:szCs w:val="12"/>
                <w:color w:val="auto"/>
              </w:rPr>
              <w:t>0.61</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line="125" w:lineRule="exact"/>
              <w:rPr>
                <w:sz w:val="20"/>
                <w:szCs w:val="20"/>
                <w:color w:val="auto"/>
              </w:rPr>
            </w:pPr>
            <w:r>
              <w:rPr>
                <w:rFonts w:ascii="Arial" w:cs="Arial" w:eastAsia="Arial" w:hAnsi="Arial"/>
                <w:sz w:val="12"/>
                <w:szCs w:val="12"/>
                <w:color w:val="auto"/>
              </w:rPr>
              <w:t>0.77</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25" w:lineRule="exact"/>
              <w:rPr>
                <w:sz w:val="20"/>
                <w:szCs w:val="20"/>
                <w:color w:val="auto"/>
              </w:rPr>
            </w:pPr>
            <w:r>
              <w:rPr>
                <w:rFonts w:ascii="Arial" w:cs="Arial" w:eastAsia="Arial" w:hAnsi="Arial"/>
                <w:sz w:val="12"/>
                <w:szCs w:val="12"/>
                <w:color w:val="auto"/>
              </w:rPr>
              <w:t>0.31</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25" w:lineRule="exact"/>
              <w:rPr>
                <w:sz w:val="20"/>
                <w:szCs w:val="20"/>
                <w:color w:val="auto"/>
              </w:rPr>
            </w:pPr>
            <w:r>
              <w:rPr>
                <w:rFonts w:ascii="Arial" w:cs="Arial" w:eastAsia="Arial" w:hAnsi="Arial"/>
                <w:sz w:val="12"/>
                <w:szCs w:val="12"/>
                <w:color w:val="auto"/>
              </w:rPr>
              <w:t>(0.15)</w:t>
            </w:r>
          </w:p>
        </w:tc>
      </w:tr>
      <w:tr>
        <w:trPr>
          <w:trHeight w:val="131"/>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(0.03)</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1.75</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rPr>
              <w:t>0.22</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0.56</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rPr>
              <w:t>0.69</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rPr>
              <w:t>0.28</w:t>
            </w:r>
          </w:p>
        </w:tc>
        <w:tc>
          <w:tcPr>
            <w:tcW w:w="1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2"/>
                <w:szCs w:val="12"/>
                <w:color w:val="auto"/>
              </w:rPr>
              <w:t>(0.15)</w:t>
            </w:r>
          </w:p>
        </w:tc>
      </w:tr>
      <w:tr>
        <w:trPr>
          <w:trHeight w:val="131"/>
        </w:trPr>
        <w:tc>
          <w:tcPr>
            <w:tcW w:w="8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w w:val="99"/>
              </w:rPr>
              <w:t>16,259,044</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w w:val="99"/>
              </w:rPr>
              <w:t>18,441,235</w:t>
            </w:r>
          </w:p>
        </w:tc>
        <w:tc>
          <w:tcPr>
            <w:tcW w:w="16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w w:val="99"/>
              </w:rPr>
              <w:t>18,904,992</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w w:val="99"/>
              </w:rPr>
              <w:t>18,919,850</w:t>
            </w:r>
          </w:p>
        </w:tc>
        <w:tc>
          <w:tcPr>
            <w:tcW w:w="160" w:type="dxa"/>
            <w:vAlign w:val="bottom"/>
          </w:tcPr>
          <w:p>
            <w:pPr>
              <w:spacing w:after="0"/>
              <w:rPr>
                <w:sz w:val="11"/>
                <w:szCs w:val="11"/>
                <w:color w:val="auto"/>
              </w:rPr>
            </w:pPr>
          </w:p>
        </w:tc>
        <w:tc>
          <w:tcPr>
            <w:tcW w:w="740" w:type="dxa"/>
            <w:vAlign w:val="bottom"/>
          </w:tcPr>
          <w:p>
            <w:pPr>
              <w:jc w:val="right"/>
              <w:ind w:right="59"/>
              <w:spacing w:after="0" w:line="131" w:lineRule="exact"/>
              <w:rPr>
                <w:sz w:val="20"/>
                <w:szCs w:val="20"/>
                <w:color w:val="auto"/>
              </w:rPr>
            </w:pPr>
            <w:r>
              <w:rPr>
                <w:rFonts w:ascii="Arial" w:cs="Arial" w:eastAsia="Arial" w:hAnsi="Arial"/>
                <w:sz w:val="12"/>
                <w:szCs w:val="12"/>
                <w:color w:val="auto"/>
                <w:w w:val="99"/>
              </w:rPr>
              <w:t>20,533,471</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w w:val="99"/>
              </w:rPr>
              <w:t>19,930,498</w:t>
            </w:r>
          </w:p>
        </w:tc>
        <w:tc>
          <w:tcPr>
            <w:tcW w:w="160" w:type="dxa"/>
            <w:vAlign w:val="bottom"/>
          </w:tcPr>
          <w:p>
            <w:pPr>
              <w:spacing w:after="0"/>
              <w:rPr>
                <w:sz w:val="11"/>
                <w:szCs w:val="11"/>
                <w:color w:val="auto"/>
              </w:rPr>
            </w:pPr>
          </w:p>
        </w:tc>
        <w:tc>
          <w:tcPr>
            <w:tcW w:w="720" w:type="dxa"/>
            <w:vAlign w:val="bottom"/>
          </w:tcPr>
          <w:p>
            <w:pPr>
              <w:jc w:val="right"/>
              <w:ind w:right="39"/>
              <w:spacing w:after="0" w:line="131" w:lineRule="exact"/>
              <w:rPr>
                <w:sz w:val="20"/>
                <w:szCs w:val="20"/>
                <w:color w:val="auto"/>
              </w:rPr>
            </w:pPr>
            <w:r>
              <w:rPr>
                <w:rFonts w:ascii="Arial" w:cs="Arial" w:eastAsia="Arial" w:hAnsi="Arial"/>
                <w:sz w:val="12"/>
                <w:szCs w:val="12"/>
                <w:color w:val="auto"/>
                <w:w w:val="99"/>
              </w:rPr>
              <w:t>22,370,191</w:t>
            </w:r>
          </w:p>
        </w:tc>
      </w:tr>
      <w:tr>
        <w:trPr>
          <w:trHeight w:val="147"/>
        </w:trPr>
        <w:tc>
          <w:tcPr>
            <w:tcW w:w="8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w w:val="99"/>
              </w:rPr>
              <w:t>16,259,044</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w w:val="99"/>
              </w:rPr>
              <w:t>20,752,243</w:t>
            </w:r>
          </w:p>
        </w:tc>
        <w:tc>
          <w:tcPr>
            <w:tcW w:w="16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w w:val="99"/>
              </w:rPr>
              <w:t>20,316,752</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w w:val="99"/>
              </w:rPr>
              <w:t>20,439,252</w:t>
            </w:r>
          </w:p>
        </w:tc>
        <w:tc>
          <w:tcPr>
            <w:tcW w:w="16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w w:val="99"/>
              </w:rPr>
              <w:t>22,751,733</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w w:val="99"/>
              </w:rPr>
              <w:t>20,048,412</w:t>
            </w:r>
          </w:p>
        </w:tc>
        <w:tc>
          <w:tcPr>
            <w:tcW w:w="160" w:type="dxa"/>
            <w:vAlign w:val="bottom"/>
          </w:tcPr>
          <w:p>
            <w:pPr>
              <w:spacing w:after="0"/>
              <w:rPr>
                <w:sz w:val="12"/>
                <w:szCs w:val="12"/>
                <w:color w:val="auto"/>
              </w:rPr>
            </w:pPr>
          </w:p>
        </w:tc>
        <w:tc>
          <w:tcPr>
            <w:tcW w:w="720" w:type="dxa"/>
            <w:vAlign w:val="bottom"/>
          </w:tcPr>
          <w:p>
            <w:pPr>
              <w:jc w:val="right"/>
              <w:ind w:right="39"/>
              <w:spacing w:after="0"/>
              <w:rPr>
                <w:sz w:val="20"/>
                <w:szCs w:val="20"/>
                <w:color w:val="auto"/>
              </w:rPr>
            </w:pPr>
            <w:r>
              <w:rPr>
                <w:rFonts w:ascii="Arial" w:cs="Arial" w:eastAsia="Arial" w:hAnsi="Arial"/>
                <w:sz w:val="12"/>
                <w:szCs w:val="12"/>
                <w:color w:val="auto"/>
                <w:w w:val="99"/>
              </w:rPr>
              <w:t>22,370,191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-2400300</wp:posOffset>
            </wp:positionH>
            <wp:positionV relativeFrom="paragraph">
              <wp:posOffset>-1136650</wp:posOffset>
            </wp:positionV>
            <wp:extent cx="6303010" cy="83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-970280</wp:posOffset>
            </wp:positionV>
            <wp:extent cx="6303010" cy="831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-779145</wp:posOffset>
            </wp:positionV>
            <wp:extent cx="6303010" cy="831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-612775</wp:posOffset>
            </wp:positionV>
            <wp:extent cx="6303010" cy="831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-338455</wp:posOffset>
            </wp:positionV>
            <wp:extent cx="6303010" cy="831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-172085</wp:posOffset>
            </wp:positionV>
            <wp:extent cx="6303010" cy="831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3010" cy="83185"/>
                    </a:xfrm>
                    <a:prstGeom prst="rect">
                      <a:avLst/>
                    </a:prstGeom>
                    <a:noFill/>
                  </pic:spPr>
                </pic:pic>
              </a:graphicData>
            </a:graphic>
          </wp:anchor>
        </w:drawing>
        <w:drawing>
          <wp:anchor simplePos="0" relativeHeight="251657728" behindDoc="1" locked="0" layoutInCell="0" allowOverlap="1">
            <wp:simplePos x="0" y="0"/>
            <wp:positionH relativeFrom="column">
              <wp:posOffset>-2400300</wp:posOffset>
            </wp:positionH>
            <wp:positionV relativeFrom="paragraph">
              <wp:posOffset>1905</wp:posOffset>
            </wp:positionV>
            <wp:extent cx="63030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30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60"/>
            <w:col w:w="6140"/>
          </w:cols>
          <w:pgMar w:left="920" w:top="887" w:right="1039" w:bottom="1440" w:gutter="0" w:footer="0" w:header="0"/>
          <w:type w:val="continuous"/>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3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2"/>
                <w:szCs w:val="12"/>
                <w:b w:val="1"/>
                <w:bCs w:val="1"/>
                <w:color w:val="auto"/>
              </w:rPr>
              <w:t>As of December 31,</w:t>
            </w:r>
          </w:p>
        </w:tc>
        <w:tc>
          <w:tcPr>
            <w:tcW w:w="4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37"/>
        </w:trPr>
        <w:tc>
          <w:tcPr>
            <w:tcW w:w="2340" w:type="dxa"/>
            <w:vAlign w:val="bottom"/>
            <w:gridSpan w:val="2"/>
          </w:tcPr>
          <w:p>
            <w:pPr>
              <w:spacing w:after="0"/>
              <w:rPr>
                <w:sz w:val="20"/>
                <w:szCs w:val="20"/>
                <w:color w:val="auto"/>
              </w:rPr>
            </w:pPr>
            <w:r>
              <w:rPr>
                <w:rFonts w:ascii="Arial" w:cs="Arial" w:eastAsia="Arial" w:hAnsi="Arial"/>
                <w:sz w:val="12"/>
                <w:szCs w:val="12"/>
                <w:b w:val="1"/>
                <w:bCs w:val="1"/>
                <w:color w:val="auto"/>
              </w:rPr>
              <w:t>(in thousands)</w:t>
            </w:r>
          </w:p>
        </w:tc>
        <w:tc>
          <w:tcPr>
            <w:tcW w:w="540" w:type="dxa"/>
            <w:vAlign w:val="bottom"/>
          </w:tcPr>
          <w:p>
            <w:pPr>
              <w:spacing w:after="0"/>
              <w:rPr>
                <w:sz w:val="11"/>
                <w:szCs w:val="11"/>
                <w:color w:val="auto"/>
              </w:rPr>
            </w:pPr>
          </w:p>
        </w:tc>
        <w:tc>
          <w:tcPr>
            <w:tcW w:w="660" w:type="dxa"/>
            <w:vAlign w:val="bottom"/>
          </w:tcPr>
          <w:p>
            <w:pPr>
              <w:jc w:val="right"/>
              <w:ind w:right="99"/>
              <w:spacing w:after="0"/>
              <w:rPr>
                <w:sz w:val="20"/>
                <w:szCs w:val="20"/>
                <w:color w:val="auto"/>
              </w:rPr>
            </w:pPr>
            <w:r>
              <w:rPr>
                <w:rFonts w:ascii="Arial" w:cs="Arial" w:eastAsia="Arial" w:hAnsi="Arial"/>
                <w:sz w:val="12"/>
                <w:szCs w:val="12"/>
                <w:b w:val="1"/>
                <w:bCs w:val="1"/>
                <w:color w:val="auto"/>
              </w:rPr>
              <w:t>2001</w:t>
            </w:r>
          </w:p>
        </w:tc>
        <w:tc>
          <w:tcPr>
            <w:tcW w:w="500" w:type="dxa"/>
            <w:vAlign w:val="bottom"/>
          </w:tcPr>
          <w:p>
            <w:pPr>
              <w:spacing w:after="0"/>
              <w:rPr>
                <w:sz w:val="11"/>
                <w:szCs w:val="11"/>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b w:val="1"/>
                <w:bCs w:val="1"/>
                <w:color w:val="auto"/>
              </w:rPr>
              <w:t>2002</w:t>
            </w:r>
          </w:p>
        </w:tc>
        <w:tc>
          <w:tcPr>
            <w:tcW w:w="320" w:type="dxa"/>
            <w:vAlign w:val="bottom"/>
          </w:tcPr>
          <w:p>
            <w:pPr>
              <w:spacing w:after="0"/>
              <w:rPr>
                <w:sz w:val="11"/>
                <w:szCs w:val="11"/>
                <w:color w:val="auto"/>
              </w:rPr>
            </w:pPr>
          </w:p>
        </w:tc>
        <w:tc>
          <w:tcPr>
            <w:tcW w:w="700" w:type="dxa"/>
            <w:vAlign w:val="bottom"/>
          </w:tcPr>
          <w:p>
            <w:pPr>
              <w:jc w:val="right"/>
              <w:ind w:right="79"/>
              <w:spacing w:after="0"/>
              <w:rPr>
                <w:sz w:val="20"/>
                <w:szCs w:val="20"/>
                <w:color w:val="auto"/>
              </w:rPr>
            </w:pPr>
            <w:r>
              <w:rPr>
                <w:rFonts w:ascii="Arial" w:cs="Arial" w:eastAsia="Arial" w:hAnsi="Arial"/>
                <w:sz w:val="12"/>
                <w:szCs w:val="12"/>
                <w:b w:val="1"/>
                <w:bCs w:val="1"/>
                <w:color w:val="auto"/>
              </w:rPr>
              <w:t>2003</w:t>
            </w:r>
          </w:p>
        </w:tc>
        <w:tc>
          <w:tcPr>
            <w:tcW w:w="520" w:type="dxa"/>
            <w:vAlign w:val="bottom"/>
          </w:tcPr>
          <w:p>
            <w:pPr>
              <w:spacing w:after="0"/>
              <w:rPr>
                <w:sz w:val="11"/>
                <w:szCs w:val="11"/>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b w:val="1"/>
                <w:bCs w:val="1"/>
                <w:color w:val="auto"/>
              </w:rPr>
              <w:t>2004</w:t>
            </w:r>
          </w:p>
        </w:tc>
        <w:tc>
          <w:tcPr>
            <w:tcW w:w="4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2005</w:t>
            </w:r>
          </w:p>
        </w:tc>
        <w:tc>
          <w:tcPr>
            <w:tcW w:w="4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2"/>
                <w:szCs w:val="12"/>
                <w:b w:val="1"/>
                <w:bCs w:val="1"/>
                <w:color w:val="auto"/>
              </w:rPr>
              <w:t>2006</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23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1" w:lineRule="exact"/>
              <w:rPr>
                <w:sz w:val="20"/>
                <w:szCs w:val="20"/>
                <w:color w:val="auto"/>
              </w:rPr>
            </w:pPr>
            <w:r>
              <w:rPr>
                <w:rFonts w:ascii="Arial" w:cs="Arial" w:eastAsia="Arial" w:hAnsi="Arial"/>
                <w:sz w:val="12"/>
                <w:szCs w:val="12"/>
                <w:b w:val="1"/>
                <w:bCs w:val="1"/>
                <w:color w:val="auto"/>
              </w:rPr>
              <w:t>Balance sheet data:</w:t>
            </w:r>
          </w:p>
        </w:tc>
        <w:tc>
          <w:tcPr>
            <w:tcW w:w="5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tcPr>
          <w:p>
            <w:pPr>
              <w:spacing w:after="0" w:line="131" w:lineRule="exact"/>
              <w:rPr>
                <w:sz w:val="20"/>
                <w:szCs w:val="20"/>
                <w:color w:val="auto"/>
              </w:rPr>
            </w:pPr>
            <w:r>
              <w:rPr>
                <w:rFonts w:ascii="Arial" w:cs="Arial" w:eastAsia="Arial" w:hAnsi="Arial"/>
                <w:sz w:val="12"/>
                <w:szCs w:val="12"/>
                <w:color w:val="auto"/>
              </w:rPr>
              <w:t>Cash and cash equivalents</w:t>
            </w:r>
          </w:p>
        </w:tc>
        <w:tc>
          <w:tcPr>
            <w:tcW w:w="1200" w:type="dxa"/>
            <w:vAlign w:val="bottom"/>
            <w:gridSpan w:val="2"/>
          </w:tcPr>
          <w:p>
            <w:pPr>
              <w:jc w:val="right"/>
              <w:ind w:right="99"/>
              <w:spacing w:after="0" w:line="131" w:lineRule="exact"/>
              <w:rPr>
                <w:sz w:val="20"/>
                <w:szCs w:val="20"/>
                <w:color w:val="auto"/>
              </w:rPr>
            </w:pPr>
            <w:r>
              <w:rPr>
                <w:rFonts w:ascii="Arial" w:cs="Arial" w:eastAsia="Arial" w:hAnsi="Arial"/>
                <w:sz w:val="12"/>
                <w:szCs w:val="12"/>
                <w:color w:val="auto"/>
              </w:rPr>
              <w:t>$  5,854</w:t>
            </w:r>
          </w:p>
        </w:tc>
        <w:tc>
          <w:tcPr>
            <w:tcW w:w="500" w:type="dxa"/>
            <w:vAlign w:val="bottom"/>
          </w:tcPr>
          <w:p>
            <w:pPr>
              <w:jc w:val="right"/>
              <w:ind w:right="259"/>
              <w:spacing w:after="0" w:line="131"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39"/>
              <w:spacing w:after="0" w:line="131" w:lineRule="exact"/>
              <w:rPr>
                <w:sz w:val="20"/>
                <w:szCs w:val="20"/>
                <w:color w:val="auto"/>
              </w:rPr>
            </w:pPr>
            <w:r>
              <w:rPr>
                <w:rFonts w:ascii="Arial" w:cs="Arial" w:eastAsia="Arial" w:hAnsi="Arial"/>
                <w:sz w:val="12"/>
                <w:szCs w:val="12"/>
                <w:color w:val="auto"/>
              </w:rPr>
              <w:t>4,891</w:t>
            </w:r>
          </w:p>
        </w:tc>
        <w:tc>
          <w:tcPr>
            <w:tcW w:w="320" w:type="dxa"/>
            <w:vAlign w:val="bottom"/>
          </w:tcPr>
          <w:p>
            <w:pPr>
              <w:jc w:val="right"/>
              <w:ind w:right="119"/>
              <w:spacing w:after="0" w:line="13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79"/>
              <w:spacing w:after="0" w:line="131" w:lineRule="exact"/>
              <w:rPr>
                <w:sz w:val="20"/>
                <w:szCs w:val="20"/>
                <w:color w:val="auto"/>
              </w:rPr>
            </w:pPr>
            <w:r>
              <w:rPr>
                <w:rFonts w:ascii="Arial" w:cs="Arial" w:eastAsia="Arial" w:hAnsi="Arial"/>
                <w:sz w:val="12"/>
                <w:szCs w:val="12"/>
                <w:color w:val="auto"/>
              </w:rPr>
              <w:t>7,119</w:t>
            </w:r>
          </w:p>
        </w:tc>
        <w:tc>
          <w:tcPr>
            <w:tcW w:w="520" w:type="dxa"/>
            <w:vAlign w:val="bottom"/>
          </w:tcPr>
          <w:p>
            <w:pPr>
              <w:jc w:val="right"/>
              <w:ind w:right="279"/>
              <w:spacing w:after="0" w:line="131"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31" w:lineRule="exact"/>
              <w:rPr>
                <w:sz w:val="20"/>
                <w:szCs w:val="20"/>
                <w:color w:val="auto"/>
              </w:rPr>
            </w:pPr>
            <w:r>
              <w:rPr>
                <w:rFonts w:ascii="Arial" w:cs="Arial" w:eastAsia="Arial" w:hAnsi="Arial"/>
                <w:sz w:val="12"/>
                <w:szCs w:val="12"/>
                <w:color w:val="auto"/>
              </w:rPr>
              <w:t>6,821</w:t>
            </w:r>
          </w:p>
        </w:tc>
        <w:tc>
          <w:tcPr>
            <w:tcW w:w="480" w:type="dxa"/>
            <w:vAlign w:val="bottom"/>
          </w:tcPr>
          <w:p>
            <w:pPr>
              <w:jc w:val="right"/>
              <w:ind w:right="279"/>
              <w:spacing w:after="0" w:line="131"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36,294</w:t>
            </w:r>
          </w:p>
        </w:tc>
        <w:tc>
          <w:tcPr>
            <w:tcW w:w="440" w:type="dxa"/>
            <w:vAlign w:val="bottom"/>
          </w:tcPr>
          <w:p>
            <w:pPr>
              <w:jc w:val="right"/>
              <w:ind w:right="139"/>
              <w:spacing w:after="0" w:line="131"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19,906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Working capital</w:t>
            </w:r>
          </w:p>
        </w:tc>
        <w:tc>
          <w:tcPr>
            <w:tcW w:w="1200" w:type="dxa"/>
            <w:vAlign w:val="bottom"/>
            <w:gridSpan w:val="2"/>
            <w:shd w:val="clear" w:color="auto" w:fill="CCEEFF"/>
          </w:tcPr>
          <w:p>
            <w:pPr>
              <w:jc w:val="right"/>
              <w:ind w:right="59"/>
              <w:spacing w:after="0" w:line="131" w:lineRule="exact"/>
              <w:rPr>
                <w:sz w:val="20"/>
                <w:szCs w:val="20"/>
                <w:color w:val="auto"/>
              </w:rPr>
            </w:pPr>
            <w:r>
              <w:rPr>
                <w:rFonts w:ascii="Arial" w:cs="Arial" w:eastAsia="Arial" w:hAnsi="Arial"/>
                <w:sz w:val="12"/>
                <w:szCs w:val="12"/>
                <w:color w:val="auto"/>
              </w:rPr>
              <w:t>(35,299)</w:t>
            </w: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1,130</w:t>
            </w: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(3,147)</w:t>
            </w: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7,509</w:t>
            </w: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29,023</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18,726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tcPr>
          <w:p>
            <w:pPr>
              <w:spacing w:after="0" w:line="131" w:lineRule="exact"/>
              <w:rPr>
                <w:sz w:val="20"/>
                <w:szCs w:val="20"/>
                <w:color w:val="auto"/>
              </w:rPr>
            </w:pPr>
            <w:r>
              <w:rPr>
                <w:rFonts w:ascii="Arial" w:cs="Arial" w:eastAsia="Arial" w:hAnsi="Arial"/>
                <w:sz w:val="12"/>
                <w:szCs w:val="12"/>
                <w:color w:val="auto"/>
              </w:rPr>
              <w:t>Total assets</w:t>
            </w:r>
          </w:p>
        </w:tc>
        <w:tc>
          <w:tcPr>
            <w:tcW w:w="1200" w:type="dxa"/>
            <w:vAlign w:val="bottom"/>
            <w:gridSpan w:val="2"/>
          </w:tcPr>
          <w:p>
            <w:pPr>
              <w:jc w:val="right"/>
              <w:ind w:right="99"/>
              <w:spacing w:after="0" w:line="131" w:lineRule="exact"/>
              <w:rPr>
                <w:sz w:val="20"/>
                <w:szCs w:val="20"/>
                <w:color w:val="auto"/>
              </w:rPr>
            </w:pPr>
            <w:r>
              <w:rPr>
                <w:rFonts w:ascii="Arial" w:cs="Arial" w:eastAsia="Arial" w:hAnsi="Arial"/>
                <w:sz w:val="12"/>
                <w:szCs w:val="12"/>
                <w:color w:val="auto"/>
              </w:rPr>
              <w:t>25,423</w:t>
            </w:r>
          </w:p>
        </w:tc>
        <w:tc>
          <w:tcPr>
            <w:tcW w:w="500" w:type="dxa"/>
            <w:vAlign w:val="bottom"/>
          </w:tcPr>
          <w:p>
            <w:pPr>
              <w:spacing w:after="0"/>
              <w:rPr>
                <w:sz w:val="11"/>
                <w:szCs w:val="11"/>
                <w:color w:val="auto"/>
              </w:rPr>
            </w:pPr>
          </w:p>
        </w:tc>
        <w:tc>
          <w:tcPr>
            <w:tcW w:w="800" w:type="dxa"/>
            <w:vAlign w:val="bottom"/>
          </w:tcPr>
          <w:p>
            <w:pPr>
              <w:jc w:val="right"/>
              <w:ind w:right="39"/>
              <w:spacing w:after="0" w:line="131" w:lineRule="exact"/>
              <w:rPr>
                <w:sz w:val="20"/>
                <w:szCs w:val="20"/>
                <w:color w:val="auto"/>
              </w:rPr>
            </w:pPr>
            <w:r>
              <w:rPr>
                <w:rFonts w:ascii="Arial" w:cs="Arial" w:eastAsia="Arial" w:hAnsi="Arial"/>
                <w:sz w:val="12"/>
                <w:szCs w:val="12"/>
                <w:color w:val="auto"/>
              </w:rPr>
              <w:t>22,790</w:t>
            </w:r>
          </w:p>
        </w:tc>
        <w:tc>
          <w:tcPr>
            <w:tcW w:w="320" w:type="dxa"/>
            <w:vAlign w:val="bottom"/>
          </w:tcPr>
          <w:p>
            <w:pPr>
              <w:spacing w:after="0"/>
              <w:rPr>
                <w:sz w:val="11"/>
                <w:szCs w:val="11"/>
                <w:color w:val="auto"/>
              </w:rPr>
            </w:pPr>
          </w:p>
        </w:tc>
        <w:tc>
          <w:tcPr>
            <w:tcW w:w="700" w:type="dxa"/>
            <w:vAlign w:val="bottom"/>
          </w:tcPr>
          <w:p>
            <w:pPr>
              <w:jc w:val="right"/>
              <w:ind w:right="79"/>
              <w:spacing w:after="0" w:line="131" w:lineRule="exact"/>
              <w:rPr>
                <w:sz w:val="20"/>
                <w:szCs w:val="20"/>
                <w:color w:val="auto"/>
              </w:rPr>
            </w:pPr>
            <w:r>
              <w:rPr>
                <w:rFonts w:ascii="Arial" w:cs="Arial" w:eastAsia="Arial" w:hAnsi="Arial"/>
                <w:sz w:val="12"/>
                <w:szCs w:val="12"/>
                <w:color w:val="auto"/>
              </w:rPr>
              <w:t>37,127</w:t>
            </w:r>
          </w:p>
        </w:tc>
        <w:tc>
          <w:tcPr>
            <w:tcW w:w="520" w:type="dxa"/>
            <w:vAlign w:val="bottom"/>
          </w:tcPr>
          <w:p>
            <w:pPr>
              <w:spacing w:after="0"/>
              <w:rPr>
                <w:sz w:val="11"/>
                <w:szCs w:val="11"/>
                <w:color w:val="auto"/>
              </w:rPr>
            </w:pPr>
          </w:p>
        </w:tc>
        <w:tc>
          <w:tcPr>
            <w:tcW w:w="800" w:type="dxa"/>
            <w:vAlign w:val="bottom"/>
          </w:tcPr>
          <w:p>
            <w:pPr>
              <w:jc w:val="right"/>
              <w:ind w:right="19"/>
              <w:spacing w:after="0" w:line="131" w:lineRule="exact"/>
              <w:rPr>
                <w:sz w:val="20"/>
                <w:szCs w:val="20"/>
                <w:color w:val="auto"/>
              </w:rPr>
            </w:pPr>
            <w:r>
              <w:rPr>
                <w:rFonts w:ascii="Arial" w:cs="Arial" w:eastAsia="Arial" w:hAnsi="Arial"/>
                <w:sz w:val="12"/>
                <w:szCs w:val="12"/>
                <w:color w:val="auto"/>
              </w:rPr>
              <w:t>69,056</w:t>
            </w:r>
          </w:p>
        </w:tc>
        <w:tc>
          <w:tcPr>
            <w:tcW w:w="48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2"/>
                <w:szCs w:val="12"/>
                <w:color w:val="auto"/>
              </w:rPr>
              <w:t>100,332</w:t>
            </w:r>
          </w:p>
        </w:tc>
        <w:tc>
          <w:tcPr>
            <w:tcW w:w="440" w:type="dxa"/>
            <w:vAlign w:val="bottom"/>
          </w:tcPr>
          <w:p>
            <w:pPr>
              <w:spacing w:after="0"/>
              <w:rPr>
                <w:sz w:val="11"/>
                <w:szCs w:val="11"/>
                <w:color w:val="auto"/>
              </w:rPr>
            </w:pPr>
          </w:p>
        </w:tc>
        <w:tc>
          <w:tcPr>
            <w:tcW w:w="1040" w:type="dxa"/>
            <w:vAlign w:val="bottom"/>
          </w:tcPr>
          <w:p>
            <w:pPr>
              <w:jc w:val="right"/>
              <w:spacing w:after="0" w:line="131" w:lineRule="exact"/>
              <w:rPr>
                <w:sz w:val="20"/>
                <w:szCs w:val="20"/>
                <w:color w:val="auto"/>
              </w:rPr>
            </w:pPr>
            <w:r>
              <w:rPr>
                <w:rFonts w:ascii="Arial" w:cs="Arial" w:eastAsia="Arial" w:hAnsi="Arial"/>
                <w:sz w:val="12"/>
                <w:szCs w:val="12"/>
                <w:color w:val="auto"/>
              </w:rPr>
              <w:t>130,831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shd w:val="clear" w:color="auto" w:fill="CCEEFF"/>
          </w:tcPr>
          <w:p>
            <w:pPr>
              <w:spacing w:after="0" w:line="131" w:lineRule="exact"/>
              <w:rPr>
                <w:sz w:val="20"/>
                <w:szCs w:val="20"/>
                <w:color w:val="auto"/>
              </w:rPr>
            </w:pPr>
            <w:r>
              <w:rPr>
                <w:rFonts w:ascii="Arial" w:cs="Arial" w:eastAsia="Arial" w:hAnsi="Arial"/>
                <w:sz w:val="12"/>
                <w:szCs w:val="12"/>
                <w:color w:val="auto"/>
              </w:rPr>
              <w:t>Total long-term liabilities</w:t>
            </w:r>
          </w:p>
        </w:tc>
        <w:tc>
          <w:tcPr>
            <w:tcW w:w="1200" w:type="dxa"/>
            <w:vAlign w:val="bottom"/>
            <w:gridSpan w:val="2"/>
            <w:shd w:val="clear" w:color="auto" w:fill="CCEEFF"/>
          </w:tcPr>
          <w:p>
            <w:pPr>
              <w:jc w:val="right"/>
              <w:ind w:right="99"/>
              <w:spacing w:after="0" w:line="131" w:lineRule="exact"/>
              <w:rPr>
                <w:sz w:val="20"/>
                <w:szCs w:val="20"/>
                <w:color w:val="auto"/>
              </w:rPr>
            </w:pPr>
            <w:r>
              <w:rPr>
                <w:rFonts w:ascii="Arial" w:cs="Arial" w:eastAsia="Arial" w:hAnsi="Arial"/>
                <w:sz w:val="12"/>
                <w:szCs w:val="12"/>
                <w:color w:val="auto"/>
              </w:rPr>
              <w:t>4,857</w:t>
            </w: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39"/>
              <w:spacing w:after="0" w:line="131" w:lineRule="exact"/>
              <w:rPr>
                <w:sz w:val="20"/>
                <w:szCs w:val="20"/>
                <w:color w:val="auto"/>
              </w:rPr>
            </w:pPr>
            <w:r>
              <w:rPr>
                <w:rFonts w:ascii="Arial" w:cs="Arial" w:eastAsia="Arial" w:hAnsi="Arial"/>
                <w:sz w:val="12"/>
                <w:szCs w:val="12"/>
                <w:color w:val="auto"/>
              </w:rPr>
              <w:t>4,592</w:t>
            </w: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79"/>
              <w:spacing w:after="0" w:line="131" w:lineRule="exact"/>
              <w:rPr>
                <w:sz w:val="20"/>
                <w:szCs w:val="20"/>
                <w:color w:val="auto"/>
              </w:rPr>
            </w:pPr>
            <w:r>
              <w:rPr>
                <w:rFonts w:ascii="Arial" w:cs="Arial" w:eastAsia="Arial" w:hAnsi="Arial"/>
                <w:sz w:val="12"/>
                <w:szCs w:val="12"/>
                <w:color w:val="auto"/>
              </w:rPr>
              <w:t>1,228</w:t>
            </w: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11,921</w:t>
            </w:r>
          </w:p>
        </w:tc>
        <w:tc>
          <w:tcPr>
            <w:tcW w:w="4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10,502</w:t>
            </w: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35,606</w:t>
            </w: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stockholders’ equity (deficit)</w:t>
            </w: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2"/>
                <w:szCs w:val="12"/>
                <w:color w:val="auto"/>
              </w:rPr>
              <w:t>(32,295)</w:t>
            </w: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4,155</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8,448</w:t>
            </w: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22,949</w:t>
            </w: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59,737</w:t>
            </w: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56,759</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132080</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40" w:top="918" w:right="10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28"/>
          <w:szCs w:val="28"/>
          <w:b w:val="1"/>
          <w:bCs w:val="1"/>
          <w:color w:val="auto"/>
        </w:rPr>
        <w:t>Management’s discussion and analysis of</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28"/>
          <w:szCs w:val="28"/>
          <w:b w:val="1"/>
          <w:bCs w:val="1"/>
          <w:color w:val="auto"/>
        </w:rPr>
        <w:t>financial condition and results of operations</w:t>
      </w:r>
    </w:p>
    <w:p>
      <w:pPr>
        <w:spacing w:after="0" w:line="10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You should review the “Risk factors” section of this prospectus for a discussion of important factors that could cause actual results to differ materially from the results described in or implied by the forward-looking statements contained in the following discussion and analysis.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44"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We are a biopharmaceutical company focused on the development, manufacture and commercialization of immunobiotics. We operate in two business segments: biodefense and commercial. We commenced operations as BioPort Corporation in September 1998 through an acquisition from the Michigan Biologic Products Institute of rights to our marketed product, BioThrax, vaccine manufacturing facilities at a multi-building campus on approximately 12.5 acres in Lansing, Michigan and vaccine development and production know-how. Following this acquisition, we completed renovations at the Lansing facilities that had been initiated by the State of Michigan. In December 2001, the FDA approved a supplement to our manufacturing facility license for the manufacture of BioThrax at the renovated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 June 2004, we completed a corporate reorganization in which we:</w:t>
      </w:r>
    </w:p>
    <w:p>
      <w:pPr>
        <w:spacing w:after="0" w:line="119" w:lineRule="exact"/>
        <w:rPr>
          <w:sz w:val="20"/>
          <w:szCs w:val="20"/>
          <w:color w:val="auto"/>
        </w:rPr>
      </w:pPr>
    </w:p>
    <w:p>
      <w:pPr>
        <w:ind w:left="220" w:right="60" w:hanging="210"/>
        <w:spacing w:after="0" w:line="258" w:lineRule="auto"/>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issued 18,666,479 shares of class A common stock in exchange for 18,017,994 shares of BioPort class A common stock and 648,485 shares of BioPort class B common stock;</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repurchased and retired all other issued and outstanding shares of BioPort class B common stock; and</w:t>
      </w:r>
    </w:p>
    <w:p>
      <w:pPr>
        <w:spacing w:after="0" w:line="105" w:lineRule="exact"/>
        <w:rPr>
          <w:rFonts w:ascii="Arial" w:cs="Arial" w:eastAsia="Arial" w:hAnsi="Arial"/>
          <w:sz w:val="17"/>
          <w:szCs w:val="17"/>
          <w:color w:val="auto"/>
        </w:rPr>
      </w:pPr>
    </w:p>
    <w:p>
      <w:pPr>
        <w:ind w:left="220" w:right="260" w:hanging="210"/>
        <w:spacing w:after="0" w:line="258" w:lineRule="auto"/>
        <w:tabs>
          <w:tab w:leader="none" w:pos="2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assumed all outstanding stock options to purchase BioPort class B common stock and granted option holders replacement stock options to purchase an equal number of shares of our class B common stock.</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 a result of the reorganization, BioPort became a wholly owned subsidiary of Emergent. We subsequently renamed BioPort as Emergent BioDefense Operations Lansing Inc. We acquired our portfolio of commercial vaccine candidates through our acquisition of Microscience in a share exchange in June 2005 and our acquisition of substantially all of the assets of Antex for cash in May 2003. We subsequently renamed Microscience as Emergent Product Development UK Limited. We expect to continue to seek to obtain marketed products and development stage product candidates through acquisitions and licensing arrangements with third parties.</w:t>
      </w:r>
    </w:p>
    <w:p>
      <w:pPr>
        <w:spacing w:after="0" w:line="104"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Our biodefense business has generated net income for each of the last three fiscal years. However, in our commercial business, we have not received approval to market any of our product candidates and, to date, have received no product sales revenues. Our only sources of revenue in our commercial business are development grant funding and an upfront license fee and additional payments for development work under a collaboration agreement with Sanofi Pasteur. As a result, our commercial business has incurred a net loss for each of the last three fiscal years.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6" w:right="105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Biodefense</w:t>
      </w:r>
    </w:p>
    <w:p>
      <w:pPr>
        <w:spacing w:after="0" w:line="14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In our biodefense business, we develop and commercialize immunobiotics for use against biological agents that are potential weapons of bioterrorism. Our marketed product, BioThrax, is the only vaccine approved by the FDA for the prevention of anthrax infection. In addition to BioThrax, our biodefense product portfolio includes three biodefense product candidates in preclinical development and a next generation anthrax vaccine program with product candidates in preclinical and Phase I clinical development. The DoD and HHS have been the principal customers for BioThrax. In addition, we have supplied small amounts of BioThrax directly to several foreign governments. Since 1998, we have been a party to two supply agreements for BioThrax with the DoD. Pursuant to these contracts, we have supplied over nine million doses of BioThrax through September 2006 for immunization of military personnel. Our current contract with the DoD provides for the supply of a minimum of approximately</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1.5 million additional doses of BioThrax to the DoD through September 2007. Under a contract that we entered into with HHS in May 2005, we supplied five million doses of BioThrax to HHS for placement into the strategic national stockpile for a fixed price of $123 million.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w:t>
      </w:r>
    </w:p>
    <w:p>
      <w:pPr>
        <w:spacing w:after="0" w:line="102"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We have derived and expect for the foreseeable future to continue to derive substantially all of our revenue from sales of BioThrax. Our total revenues from BioThrax sales were $55.5 million in 2003, $81.0 million in 2004, $127.3 million in 2005 and $61.3 million in the nine months ended September 30, 2006. We are focused on increasing sales of BioThrax to</w:t>
      </w:r>
    </w:p>
    <w:p>
      <w:pPr>
        <w:ind w:right="760"/>
        <w:spacing w:after="0" w:line="258" w:lineRule="auto"/>
        <w:rPr>
          <w:sz w:val="20"/>
          <w:szCs w:val="20"/>
          <w:color w:val="auto"/>
        </w:rPr>
      </w:pPr>
      <w:r>
        <w:rPr>
          <w:rFonts w:ascii="Arial" w:cs="Arial" w:eastAsia="Arial" w:hAnsi="Arial"/>
          <w:sz w:val="17"/>
          <w:szCs w:val="17"/>
          <w:color w:val="auto"/>
        </w:rPr>
        <w:t>U.S. government customers, expanding the market for BioThrax to other customers and pursuing label expansions and improvements for BioThrax.</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are collaborating with HPA in the development of a recombinant bivalent botulinum vaccine candidate and a new botulinum toxoid vaccine that we plan to use as the basis for a botulinum immune globulin candidate. We are independently developing an anthrax immune globulin candidate, in part with funding from NIAID. We have submitted three separate proposals for testing and development of three distinct next generation anthrax vaccine product candidates, featuring attributes such as self-administration and a longer shelf life, in response to a request for proposals issued by NIAID. We are actively pursuing additional government sponsored development grants and working with various government agencies to encourage them to conduct studies relating to BioThrax and our other biodefense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our commercial business, we develop immunobiotics for use against infectious diseases with significant unmet or underserved medical needs. Our commercial product portfolio includes a typhoid vaccine candidate and a hepatitis B therapeutic vaccine candidate, both of which are in Phase II clinical development, a group B streptococcus vaccine candidate in Phase I clinical development and a chlamydia vaccine candidate and a meningitis B vaccine candidate, both of which are in preclinical development. In May 2006, we entered into a license and co-development agreement with Sanofi Pasteur under which we granted Sanofi Pasteur an exclusive, worldwide license under our proprietary technology to develop and commercialize a meningitis B vaccine candidate.</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plan to encourage government entities and non-government and philanthropic organizations to provide development funding for, or to conduct clinical studies of, one or more of our commercial product candidates. For example, the Wellcome Trust provided funding for our Phase I clinical trial of our typhoid vaccine candidate in Vietnam and has agreed to provide funding for our Phase II clinical trial of this vaccine candidate in Vietnam.</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Manufacturing infrastructure</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To augment our existing manufacturing capabilities, we are constructing a new 50,000 square foot manufacturing facility on our Lansing, Michigan campus.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anticipate that we will incur up to approximately $35 million for these purposes during 2006, of which we had incurred approximately $21 million through September 2006. We expect to complete construction of this facility in mid 2007, with validation and qualification activities required for regulatory approval continuing thereafter. We are constructing this new facility as a large scale manufacturing plant that we can use to produce multiple vaccine products, subject to complying with appropriate change-over procedures. We anticipate that we will initiate large scale manufacturing of BioThrax for commercial sale at the new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for commercial sale at our new facility will be delayed and we will incur additional unanticipated costs.</w:t>
      </w:r>
    </w:p>
    <w:p>
      <w:pPr>
        <w:spacing w:after="0" w:line="10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also own two buildings in Frederick, Maryland that we plan to build out as new manufacturing facilities. We anticipate that we will incur up to $1 million related to initial engineering design and preliminary utility build out for these facilities during 2006, of which we had incurred approximately $234,000 through September 30, 2006.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w:t>
      </w: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 and estimates</w:t>
      </w:r>
    </w:p>
    <w:p>
      <w:pPr>
        <w:spacing w:after="0" w:line="14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On an ongoing basis, we evaluate our estimates and judgments, including those related to accrued expenses, fair valuation of stock related to stock-based compensation and income taxes. We based our estimates on historical experience and on various other assumptions that we believe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30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We believe the following critical accounting policies affect our more significant judgments and estimates used in the preparation of our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We recognize revenues from product sales in accordance with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or</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SAB 104. SAB 104 requires recognition of revenues from product sales that require no continuing performance on our part if four basic criteria have been met:</w:t>
      </w:r>
    </w:p>
    <w:p>
      <w:pPr>
        <w:spacing w:after="0" w:line="38"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tab/>
        <w:t>there is persuasive evidence of an arrangement;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61" w:name="page62"/>
    <w:bookmarkEnd w:id="61"/>
    <w:p>
      <w:pPr>
        <w:ind w:left="220" w:hanging="210"/>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delivery has occurred or title has passed to our customer based on contract terms;</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fee is fixed and determinable and no further obligation exists; and</w:t>
      </w:r>
    </w:p>
    <w:p>
      <w:pPr>
        <w:spacing w:after="0" w:line="53" w:lineRule="exact"/>
        <w:rPr>
          <w:rFonts w:ascii="Arial" w:cs="Arial" w:eastAsia="Arial" w:hAnsi="Arial"/>
          <w:sz w:val="17"/>
          <w:szCs w:val="17"/>
          <w:color w:val="auto"/>
        </w:rPr>
      </w:pPr>
    </w:p>
    <w:p>
      <w:pPr>
        <w:ind w:left="220" w:hanging="210"/>
        <w:spacing w:after="0"/>
        <w:tabs>
          <w:tab w:leader="none" w:pos="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collectibility is reasonably assured.</w:t>
      </w:r>
    </w:p>
    <w:p>
      <w:pPr>
        <w:spacing w:after="0" w:line="11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cannot sell BioThrax to our customers without written FDA approval for each lot that we manufacture. As part of the FDA review process, we submit a detailed lot protocol for each BioThrax lot that we produce for sale. We also are required to submit product samples to the FDA for testing. Although we generally submit lot protocols and product samples promptly following the satisfactory completion of internal testing, we are permitted to submit product samples in advance of the lot protocols. The length of the FDA review process is approximately four to six weeks. However, individual lots may be released sooner or later depending on factors such as reviewer questions, license supplement approval, reviewer availability and whether our internal testing of product samples is completed before or concurrently with FDA testing. During the period covered by our financial statements included in this prospectus, the FDA has not denied the sale of any BioThrax lots that we have submitted for approval.</w:t>
      </w:r>
    </w:p>
    <w:p>
      <w:pPr>
        <w:spacing w:after="0" w:line="302"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We have generated BioThrax sales revenues under U.S. government contracts with the DoD and HHS. Under our DoD contract, we invoice the DoD for progress payments upon reaching contractually specified stages in the manufacture of BioThrax. We record as deferred revenue the full amount of each progress payment invoice that we submit to the DoD. Title to the product passes to the DoD upon submission of the first invoice. The earnings process is complete upon FDA release of the product for sale and distribution. Following FDA release of the product, we segregate the product for later shipment and recognize as period revenue all deferred revenue related to the released product in accordance with the “bill and hold” sale requirements under SAB 104. At that time, we also invoice the DoD for the final progress payment and recognize the amount of that invoice as period revenue. Our contract with HHS does not provide for progress payments. We invoice HHS and recognize the related revenue upon delivery of the product to the government carrier, at which time title to the product passes to HHS. We do not record allowances for sales returns, rebates or special promotional programs for sales of BioThrax or provisions for sales made in prior periods.</w:t>
      </w:r>
    </w:p>
    <w:p>
      <w:pPr>
        <w:spacing w:after="0" w:line="25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 xml:space="preserve">Under the collaboration agreement that we entered into with Sanofi Pasteur in May 2006 for our meningitis B vaccine candidate, we received an upfront license fee and are entitled to additional payments for development work under the collaboration and upon achieving contractually defined development and commercialization milestones. We evaluate the various components of a collaboration in accordance with Emerging Issues Task Force, or EITF, Issue No. 00-21, </w:t>
      </w:r>
      <w:r>
        <w:rPr>
          <w:rFonts w:ascii="Arial" w:cs="Arial" w:eastAsia="Arial" w:hAnsi="Arial"/>
          <w:sz w:val="17"/>
          <w:szCs w:val="17"/>
          <w:i w:val="1"/>
          <w:iCs w:val="1"/>
          <w:color w:val="auto"/>
        </w:rPr>
        <w:t>Accounting for Revenue Arrangements</w:t>
      </w:r>
      <w:r>
        <w:rPr>
          <w:rFonts w:ascii="Arial" w:cs="Arial" w:eastAsia="Arial" w:hAnsi="Arial"/>
          <w:sz w:val="17"/>
          <w:szCs w:val="17"/>
          <w:color w:val="auto"/>
        </w:rPr>
        <w:t xml:space="preserve"> </w:t>
      </w:r>
      <w:r>
        <w:rPr>
          <w:rFonts w:ascii="Arial" w:cs="Arial" w:eastAsia="Arial" w:hAnsi="Arial"/>
          <w:sz w:val="17"/>
          <w:szCs w:val="17"/>
          <w:i w:val="1"/>
          <w:iCs w:val="1"/>
          <w:color w:val="auto"/>
        </w:rPr>
        <w:t>with Multiple Deliverables</w:t>
      </w:r>
      <w:r>
        <w:rPr>
          <w:rFonts w:ascii="Arial" w:cs="Arial" w:eastAsia="Arial" w:hAnsi="Arial"/>
          <w:sz w:val="17"/>
          <w:szCs w:val="17"/>
          <w:color w:val="auto"/>
        </w:rPr>
        <w:t>, or EITF No. 00-21, which addresses whether, for revenue recognition purposes, there is one or</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elements in an arrangement. We concluded that under EITF No. 00-21, the upfront license fee, the development work and the milestone payments under our agreement with Sanofi Pasteur should be accounted for as a single unit of accounting. We recognize amounts received under this agreement over the estimated development period as we perform services. We recorded the amount of the upfront license fee as deferred revenue. We are recognizing this revenue over the estimated development period under the contract, currently estimated at seven years, as adjusted from time to time for any delays or acceleration in the development of the product candidate. Under the collaboration agreement, we are entitled to payments up to specified levels for development work we perform for Sanofi Pasteur. We invoice Sanofi Pasteur in the beginning of each quarter for the estimated work to occur in that quarter. We record the invoice amount as deferred revenue. As services are completed, we recognize the amount of the related deferred revenue as period revenue. Under the collaboration agreement, we also will be entitled to royalty payments on any future net sales of this product candidate.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62" w:name="page63"/>
    <w:bookmarkEnd w:id="62"/>
    <w:p>
      <w:pPr>
        <w:spacing w:after="0" w:line="244" w:lineRule="auto"/>
        <w:rPr>
          <w:sz w:val="20"/>
          <w:szCs w:val="20"/>
          <w:color w:val="auto"/>
        </w:rPr>
      </w:pPr>
      <w:r>
        <w:rPr>
          <w:rFonts w:ascii="Arial" w:cs="Arial" w:eastAsia="Arial" w:hAnsi="Arial"/>
          <w:sz w:val="17"/>
          <w:szCs w:val="17"/>
          <w:color w:val="auto"/>
        </w:rPr>
        <w:t>From time to time, we are awarded reimbursement contracts for services and development grant contracts with government entities and non -government and philanthropic organizations. Under these contracts, we typically are reimbursed for our costs in connection with specific development activities and may also be entitled to additional fees. We record the reimbursement of our costs and any associated fees as contract and grant revenue and the associated costs as research and development expense. We issue invoices under these contracts after we incur the reimbursable costs. We recognize revenue upon invoicing the sponsoring organization.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41"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Accounts receivable are stated at invoice amounts and consist primarily of amounts due from the DoD and HHS as well as amounts due under reimbursement contracts with other government entities and non-government and philanthropic organizations. Because the prior collection history for receivables from these entities indicate that collection is likely, we do not currently record an allowance for doubtful accounts.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41"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We analyze our inventory levels quarterly and write down in the applicable period inventory that has become obsolete, inventory that has a cost basis in excess of its expected net realizable value and inventory in excess of expected customer demand. We also write off in the applicable period the costs related to expired inventory. We capitalize the costs associated with the manufacture of BioThrax as inventory from the initiation of the manufacturing process through the completion of manufacturing, labeling and packaging.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expenses</w:t>
      </w:r>
    </w:p>
    <w:p>
      <w:pPr>
        <w:spacing w:after="0" w:line="141"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As part of the process of preparing financial statements, we are required to estimate accrued expenses. This process involves identifying services that have been performed on our behalf and estimating the level of service performed and the associated cost incurred for such service where we have not yet been invoiced or otherwise notified of actual cost. We make these estimates as of each balance sheet date in our financial statements. Examples of estimated accrued expenses include:</w:t>
      </w:r>
    </w:p>
    <w:p>
      <w:pPr>
        <w:spacing w:after="0" w:line="99" w:lineRule="exact"/>
        <w:rPr>
          <w:sz w:val="20"/>
          <w:szCs w:val="20"/>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fees payable to contract research organizations in conjunction with clinical trials;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fees payable to third party manufacturers in conjunction with the production of clinical trial materials;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professional service fees.</w:t>
      </w:r>
    </w:p>
    <w:p>
      <w:pPr>
        <w:spacing w:after="0" w:line="11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accruing service fees, we estimate the time period over which services were provided and the level of effort in each period. If the actual timing of the provision of services or the level of effort varies from the estimate, we will adjust the accrual accordingly. The majority of our service providers invoice us monthly in arrears for services performed. In the event that we do not identify costs that have begun to be incurred or we underestimate or overestimate the level of services performed or the costs of such services, our actual expenses could differ from such estimates. The date on which some services commence, the level of services performed on or before a given date and the cost of such services are often subjective determinations. We make judgments based upon the facts and circumstances known to us.</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Purchased in-process research and development</w:t>
      </w:r>
    </w:p>
    <w:p>
      <w:pPr>
        <w:spacing w:after="0" w:line="14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 xml:space="preserve">We account for purchased in-process research and development in accordance with Statement of Financial Accounting Standards, or SFAS, No. 2, </w:t>
      </w:r>
      <w:r>
        <w:rPr>
          <w:rFonts w:ascii="Arial" w:cs="Arial" w:eastAsia="Arial" w:hAnsi="Arial"/>
          <w:sz w:val="17"/>
          <w:szCs w:val="17"/>
          <w:i w:val="1"/>
          <w:iCs w:val="1"/>
          <w:color w:val="auto"/>
        </w:rPr>
        <w:t>Accounting for Research and Development Costs</w:t>
      </w:r>
      <w:r>
        <w:rPr>
          <w:rFonts w:ascii="Arial" w:cs="Arial" w:eastAsia="Arial" w:hAnsi="Arial"/>
          <w:sz w:val="17"/>
          <w:szCs w:val="17"/>
          <w:color w:val="auto"/>
        </w:rPr>
        <w:t xml:space="preserve"> along with Financial Accounting Standards Board, or FASB, Interpretation No. 4, </w:t>
      </w:r>
      <w:r>
        <w:rPr>
          <w:rFonts w:ascii="Arial" w:cs="Arial" w:eastAsia="Arial" w:hAnsi="Arial"/>
          <w:sz w:val="17"/>
          <w:szCs w:val="17"/>
          <w:i w:val="1"/>
          <w:iCs w:val="1"/>
          <w:color w:val="auto"/>
        </w:rPr>
        <w:t>Applicability of FASB Statement No. 2 to Business Combinations Accounted for by the Purchase</w:t>
      </w:r>
      <w:r>
        <w:rPr>
          <w:rFonts w:ascii="Arial" w:cs="Arial" w:eastAsia="Arial" w:hAnsi="Arial"/>
          <w:sz w:val="17"/>
          <w:szCs w:val="17"/>
          <w:color w:val="auto"/>
        </w:rPr>
        <w:t xml:space="preserve"> </w:t>
      </w:r>
      <w:r>
        <w:rPr>
          <w:rFonts w:ascii="Arial" w:cs="Arial" w:eastAsia="Arial" w:hAnsi="Arial"/>
          <w:sz w:val="17"/>
          <w:szCs w:val="17"/>
          <w:i w:val="1"/>
          <w:iCs w:val="1"/>
          <w:color w:val="auto"/>
        </w:rPr>
        <w:t>Method.</w:t>
      </w:r>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Under these standards, we are required to determine whether the technology relating to a particular research and development project we acquire has an alternative future use. If we determine that the technology has no alternative future use, we expense the value of the research and development project not directly attributed to fixed assets. Otherwise, we capitalize the value of the research and development project not attributable to fixed assets as an intangible asset and conduct an impairment analysis at least annually. In connection with our acquisition of Microscience and our acquisition of substantially all of the assets of Antex and ViVacs GmbH, a German limited liability company, or ViVacs, we allocated the value of the purchase consideration to current assets, current liabilities, fixed assets and development programs. Because we determined that the development programs at Microscience, Antex and ViVacs had no future alternative use, we charged the value attributable to the development programs as in-process research and development. For the Microscience acquisition, which was a share exchange, our board of directors determined the fair value of our shares issued in the exchange for financial statement purposes. For the Antex and ViVacs acquisitions, which were cash transactions, no fair value determination was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23"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 xml:space="preserve">Through December 31, 2005, in accordance with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or SFAS No. 123, we elected to account for our employee stock-based compensation using the intrinsic value method in accordance with Accounting Principles Board, or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related interpretations, or APB No. 25, rather than the alternative fair value accounting method provided for under SFAS No. 123. Accordingly, we did not record compensation expense on employee stock options granted in fixed amounts and with fixed exercise prices when the exercise prices of the options were equal to the fair value of the underlying common stock on the date of grant. Pro forma information regarding net loss and loss per share is required by SFAS No. 123 and has been determined as if we had accounted for employee stock option grants under the fair value method prescribed by that statement. We provide this pro forma disclosure in our financial statements. We account for transactions in which services are received in exchange for equity instruments based on the fair value of the services received from non-employees or of the equity instruments issued, whichever is more reliably measured, in accordance with SFAS No. 123 and EITF Issue No. 96-18, </w:t>
      </w:r>
      <w:r>
        <w:rPr>
          <w:rFonts w:ascii="Arial" w:cs="Arial" w:eastAsia="Arial" w:hAnsi="Arial"/>
          <w:sz w:val="17"/>
          <w:szCs w:val="17"/>
          <w:i w:val="1"/>
          <w:iCs w:val="1"/>
          <w:color w:val="auto"/>
        </w:rPr>
        <w:t>Accounting for Equity Instruments that Are Issued to</w:t>
      </w:r>
      <w:r>
        <w:rPr>
          <w:rFonts w:ascii="Arial" w:cs="Arial" w:eastAsia="Arial" w:hAnsi="Arial"/>
          <w:sz w:val="17"/>
          <w:szCs w:val="17"/>
          <w:color w:val="auto"/>
        </w:rPr>
        <w:t xml:space="preserve"> </w:t>
      </w:r>
      <w:r>
        <w:rPr>
          <w:rFonts w:ascii="Arial" w:cs="Arial" w:eastAsia="Arial" w:hAnsi="Arial"/>
          <w:sz w:val="17"/>
          <w:szCs w:val="17"/>
          <w:i w:val="1"/>
          <w:iCs w:val="1"/>
          <w:color w:val="auto"/>
        </w:rPr>
        <w:t>Other than Employees for Acquiring, or in Conjunction with Selling, Goods or Services</w:t>
      </w:r>
      <w:r>
        <w:rPr>
          <w:rFonts w:ascii="Arial" w:cs="Arial" w:eastAsia="Arial" w:hAnsi="Arial"/>
          <w:sz w:val="17"/>
          <w:szCs w:val="17"/>
          <w:color w:val="auto"/>
        </w:rPr>
        <w:t>, or EITF No. 96-18.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EITF No. 96-18, we periodically remeasure stock-based compensation for options granted to non-employees as the underlying options vest. As of October 20, 2006, we had no outstanding options that had been granted to non-employees other than our directors.</w:t>
      </w:r>
    </w:p>
    <w:p>
      <w:pPr>
        <w:spacing w:after="0" w:line="28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 xml:space="preserve">In December 2004, the FASB issued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No. 123(R), which is a revision of SFAS No. 123. SFAS No. 123(R) supersedes APB No. 25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Generally, the approach in SFAS No. 123(R) is similar to the approach described in SFAS No. 123. However, SFAS No. 123(R) requires all share-based payments to employees, including grants of employee stock options, to be recognized in the income statement based on their estimated fair values. Pro forma disclosure is no longer an alternative. We adopted SFAS No. 123(R) on January 1, 2006 using the modified prospective method. We will continue to value our share-based payment transactions using a Black-Scholes valuation model. Under the modified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64" w:name="page65"/>
    <w:bookmarkEnd w:id="64"/>
    <w:p>
      <w:pPr>
        <w:ind w:right="20"/>
        <w:spacing w:after="0" w:line="245" w:lineRule="auto"/>
        <w:rPr>
          <w:sz w:val="20"/>
          <w:szCs w:val="20"/>
          <w:color w:val="auto"/>
        </w:rPr>
      </w:pPr>
      <w:r>
        <w:rPr>
          <w:rFonts w:ascii="Arial" w:cs="Arial" w:eastAsia="Arial" w:hAnsi="Arial"/>
          <w:sz w:val="17"/>
          <w:szCs w:val="17"/>
          <w:color w:val="auto"/>
        </w:rPr>
        <w:t>prospective method, we recognize compensation cost in our financial statements for all awards granted after January 1, 2006 and for all awards outstanding as of January 1, 2006 for which the requisite service had not been rendered as of the date of adoption. Prior period operating results have not been restated. We measure the amount of compensation cost based on the fair value of the underlying common stock on the date of grant. We recognize compensation cost over the period that an employee provides service in exchange for the award.</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a result of our adoption of SFAS No. 123(R) effective January 1, 2006, we recorded stock-based compensation expense of $385,000 for the nine months ended September 30, 2006 related to stock options that were outstanding and had not completely vested as of January 1, 2006. During the nine months ended September 30, 2006, we granted 258,933 stock options. We recorded additional stock-based compensation expense of $57,000 related to these options during the nine months ended September 30, 2006. Both basic and diluted loss per share for the nine months ended September 30, 2006 are $ 0.01 less than if we had continued to account for stock-based compensation under APB No. 25. The effect of adopting SFAS No. 123(R) on net loss and net loss per share is not necessarily representative of the effects in future years due to, among other things, the vesting period of the stock options and the fair value of additional stock option grants in future years. Based on options granted to employees as of September 30, 2006, total compensation expense not yet recognized related to unvested options is approximately $ 970,000, after tax. We expect to recognize that expense over a weighted average period of 2.8 years. Based on options granted to employees as of September 30, 2006, we expect to recognize amortization of stock-based compensation, after tax, of approximately $143,000 during the remainder of 2006, $464,000 in 2007, $250,000 in 2008 and $113,000 in 2009.</w:t>
      </w:r>
    </w:p>
    <w:p>
      <w:pPr>
        <w:spacing w:after="0" w:line="110"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The factors that most affect charges or credits to operations related to stock-based compensation are the fair value of the common stock underlying stock options for which stock-based compensation is recorded, the volatility of fair value of the common stock, the expected life of the instrument and the assumed risk free rate of return. Because shares of our common stock have not been publicly traded, our board of directors has determined the fair value of our common stock for accounting purposes. There is no certainty that the results of our board’s determination would be the value at which the shares would be traded for cash. In determining the fair value of our common stock, our board of directors considered:</w:t>
      </w:r>
    </w:p>
    <w:p>
      <w:pPr>
        <w:spacing w:after="0" w:line="104" w:lineRule="exact"/>
        <w:rPr>
          <w:sz w:val="20"/>
          <w:szCs w:val="20"/>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history and nature of our business and results of operations;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prospects for growth, including potential contracts for BioThrax product sales;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available cash, assets and financial condition;</w:t>
      </w:r>
    </w:p>
    <w:p>
      <w:pPr>
        <w:spacing w:after="0" w:line="105" w:lineRule="exact"/>
        <w:rPr>
          <w:rFonts w:ascii="Arial" w:cs="Arial" w:eastAsia="Arial" w:hAnsi="Arial"/>
          <w:sz w:val="17"/>
          <w:szCs w:val="17"/>
          <w:color w:val="auto"/>
        </w:rPr>
      </w:pPr>
    </w:p>
    <w:p>
      <w:pPr>
        <w:ind w:left="220" w:right="620" w:hanging="210"/>
        <w:spacing w:after="0" w:line="258" w:lineRule="auto"/>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prior determinations of the fair value of the common stock underlying stock options granted and the effect of corporate developments, including the progress of our product candidates, that have occurred between the time of the grants;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rights and preferences of the security being granted compared to the rights and preferences of our other outstanding equity;</w:t>
      </w:r>
    </w:p>
    <w:p>
      <w:pPr>
        <w:spacing w:after="0" w:line="105" w:lineRule="exact"/>
        <w:rPr>
          <w:rFonts w:ascii="Arial" w:cs="Arial" w:eastAsia="Arial" w:hAnsi="Arial"/>
          <w:sz w:val="17"/>
          <w:szCs w:val="17"/>
          <w:color w:val="auto"/>
        </w:rPr>
      </w:pPr>
    </w:p>
    <w:p>
      <w:pPr>
        <w:ind w:left="220" w:right="440" w:hanging="210"/>
        <w:spacing w:after="0" w:line="258" w:lineRule="auto"/>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values of public companies that we believe are comparable to us, adjusted for the risks related to and the lack of a liquid market for the shares;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time frame in which a liquid market would likely be available for the shares;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business developments involving our direct competitors;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general economic trends and the economic outlook and market conditions for our industry.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65" w:name="page66"/>
    <w:bookmarkEnd w:id="65"/>
    <w:p>
      <w:pPr>
        <w:ind w:right="380"/>
        <w:spacing w:after="0" w:line="258" w:lineRule="auto"/>
        <w:rPr>
          <w:sz w:val="20"/>
          <w:szCs w:val="20"/>
          <w:color w:val="auto"/>
        </w:rPr>
      </w:pPr>
      <w:r>
        <w:rPr>
          <w:rFonts w:ascii="Arial" w:cs="Arial" w:eastAsia="Arial" w:hAnsi="Arial"/>
          <w:sz w:val="17"/>
          <w:szCs w:val="17"/>
          <w:color w:val="auto"/>
        </w:rPr>
        <w:t>If our estimates of the fair value of these equity instruments are too high or too low, it would have the effect of overstating or understating expenses.</w:t>
      </w:r>
    </w:p>
    <w:p>
      <w:pPr>
        <w:spacing w:after="0" w:line="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2004, in connection with our reorganization, we recorded stock-based compensation expense as a result of the issuance of stock options to purchase our class B common stock to replace the outstanding stock options to purchase BioPort class B common stock. The exercise period of these replacement options was extended to June 2007. Based upon the guidance in APB No. 25, because the stock options granted for our class B common stock provided for an extended term over that of the cancelled BioPort options, a new measurement date was created and we recorded as stock-based compensation expense the excess of the intrinsic value of the modified options over the intrinsic value of the BioPort options when originally issued. This resulted in stock-based compensation expense of $4.3 million for 2004. We did not record any stock-based compensation expense for options granted during 2003 or 2005.</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4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Our deferred tax assets include the unamortized portion of in-process research and development expenses, the anticipated future benefit of the net operating losses that we have incurred and other timing differences between financial reporting basis of assets and liabilities. We have historically incurred net operating losses for income tax purposes in some states and in some foreign jurisdictions, primarily the United Kingdom. The amount of the deferred tax assets on our balance sheet reflects our expectations regarding our ability to use our net operating losses to offset future taxable income. The applicable tax rules in particular jurisdictions limit our ability to use net operating losses as a result of ownership changes. In particular, we believe that these rules will significantly limit our ability to use net operating losses generated by Microscience and Antex prior to our acquisition of Microscience in June 2005 and our acquisition of substantially all of the assets of Antex in May 2003.</w:t>
      </w:r>
    </w:p>
    <w:p>
      <w:pPr>
        <w:spacing w:after="0" w:line="10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review our deferred tax assets on a quarterly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operations overview</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4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We have generated substantially all of our revenues from sales of BioThrax. We delivered approximately 5.2 million total doses of BioThrax, representing 97% of our total revenues, in 2005. We delivered approximately 2.5 million total doses of BioThrax, representing 93% of our total revenues, in the nine months ended September 30, 2006. The DoD and HHS have been the principal customers for BioThrax. We also have had limited sales of BioThrax to foreign governments and private industry. In addition, we periodically realize revenues from grants from government entities and non-government and philanthropic organizations and from licensing fees, milestone payments and development reimbursement. These items accounted for 3% of our total revenues in 2005 and 7% of our total revenues in the nine months ended September 30, 2006. If our ongoing development efforts are</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8" w:right="1079" w:bottom="1440" w:gutter="0" w:footer="0" w:header="0"/>
        </w:sectPr>
      </w:pPr>
    </w:p>
    <w:bookmarkStart w:id="66" w:name="page67"/>
    <w:bookmarkEnd w:id="66"/>
    <w:p>
      <w:pPr>
        <w:ind w:right="420"/>
        <w:spacing w:after="0" w:line="258" w:lineRule="auto"/>
        <w:rPr>
          <w:sz w:val="20"/>
          <w:szCs w:val="20"/>
          <w:color w:val="auto"/>
        </w:rPr>
      </w:pPr>
      <w:r>
        <w:rPr>
          <w:rFonts w:ascii="Arial" w:cs="Arial" w:eastAsia="Arial" w:hAnsi="Arial"/>
          <w:sz w:val="17"/>
          <w:szCs w:val="17"/>
          <w:color w:val="auto"/>
        </w:rPr>
        <w:t>successful, we would expect to generate revenues from sales of additional products and milestone payments, development payments and royalties on sales of products that we license to third parties.</w:t>
      </w:r>
    </w:p>
    <w:p>
      <w:pPr>
        <w:spacing w:after="0" w:line="9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May 2005, we entered into an agreement to supply five million doses of BioThrax to HHS for placement into the strategic national stockpile for a fixed price of $123 million. We completed delivery of all five million doses by February 2006, seven months earlier than required.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 We expect to deliver to HHS between 1.25 million and 1.75 million doses of BioThrax in each of November 2006 and December 2006, with the balance to be delivered in the first half of 2007 prior to expiration of the contract.</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January 2004, we entered into our current contract with the DoD for the delivery of a minimum number of doses of BioThrax over one base contract year plus two option periods for a minimum fixed price of approximately $91 million. Under the original terms of this contract, we were required to deliver a minimum of approximately 3.8 million total doses through September 2006. We delivered approximately 4.9 million total doses under this contract from 2004 through September 30, 2006 pursuant to DoD purchase orders. We have amended our current contract with the DoD to provide for the supply of a minimum of approximately 1.5 million additional doses of BioThrax to the DoD through September 2007. We expect to deliver to the DoD approximately 480,000 of these doses by December 2006, with the balance to be delivered by September 2007. We have invoiced the DoD, as contemplated under this contract, for progress payments as doses of BioThrax are manufactured for sale to the DoD. In accordance with our revenue recognition policy, we record deferred revenue for invoiced amounts until the FDA releases the product for sale and delivery. As of September 30, 2006, the amount of our deferred revenue for DoD sales was $8.4 million. In April 2006, the DoD issued a notice that it intends to negotiate a sole source fixed price contract for the purchase of up to an additional 11 million doses of BioThrax over one base year plus four option years. Although we are in discussions with the DoD, the DoD has not issued a formal request for proposals for such a contract and we have not yet entered into an agreement with the DoD for this procurement.</w:t>
      </w:r>
    </w:p>
    <w:p>
      <w:pPr>
        <w:spacing w:after="0" w:line="305"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May 2006, we entered into a collaboration agreement with Sanofi Pasteur relating to the development and commercialization of our meningitis B vaccine candidate and received a $3.8 million upfront license fee. This agreement also provides for a series of milestone payments upon the achievement of specified development and commercialization objectives, payments for development work under the collaboration and royalties on net sales of this product. We recognize the upfront license fee, milestone payments and development payments under this agreement as revenue in accordance with our revenue recognition policies.</w:t>
      </w:r>
    </w:p>
    <w:p>
      <w:pPr>
        <w:spacing w:after="0" w:line="303"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Our revenue, operating results and profitability have varied, and we expect that they will continue to vary, on a quarterly basis primarily because of the timing of our fulfilling orders for BioThrax. We expect contracts and grant revenues to increase in 2006 compared to 2005 as we receive reimbursement for development expenses under our meningitis B collaboration with Sanofi Pasteur, funding from the Wellcome Trust for costs associated with our completed Phase I clinical trial and planned Phase II clinical trial of our typhoid vaccine candidate in Vietnam and funding from NIAID for costs associated with our animal efficacy studies in rabbits of our anthrax immune globulin candidate.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product sales</w:t>
      </w:r>
    </w:p>
    <w:p>
      <w:pPr>
        <w:spacing w:after="0" w:line="14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primary expense that we incur to deliver BioThrax to our customers is manufacturing costs, which are primarily fixed costs. These fixed manufacturing costs consist of attributable facilities, utilities and salaries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67" w:name="page68"/>
    <w:bookmarkEnd w:id="67"/>
    <w:p>
      <w:pPr>
        <w:spacing w:after="0" w:line="244" w:lineRule="auto"/>
        <w:rPr>
          <w:sz w:val="20"/>
          <w:szCs w:val="20"/>
          <w:color w:val="auto"/>
        </w:rPr>
      </w:pPr>
      <w:r>
        <w:rPr>
          <w:rFonts w:ascii="Arial" w:cs="Arial" w:eastAsia="Arial" w:hAnsi="Arial"/>
          <w:sz w:val="17"/>
          <w:szCs w:val="17"/>
          <w:color w:val="auto"/>
        </w:rPr>
        <w:t>and personnel related expenses for indirect manufacturing support staff. Variable manufacturing costs for BioThrax consist primarily of costs for materials, direct labor and contract filling operations. In 2005, we improved manufacturing efficiencies for BioThrax by extending the hours of operation for our manufacturing facility. As a result, the cost of product sales per dose of BioThrax decreased in 2005 compared to 2004. We do not expect further significant improvements in manufacturing efficiencies for BioThrax until we complete our new manufacturing facility in Lansing, Michigan. We currently are producing BioThrax at close to the maximum capacity of our existing manufacturing facility. We expect our manufacturing costs to remain relatively stable for the remainder of 2006 and during 2007.</w:t>
      </w:r>
    </w:p>
    <w:p>
      <w:pPr>
        <w:spacing w:after="0" w:line="10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determine the cost of product sales for doses sold for a period based on the average manufacturing cost per dose for that period. We calculate the average manufacturing cost per dose by dividing the actual costs of manufacturing in the applicable period by the number of units produced in that period. In addition to the fixed and variable manufacturing costs described above, the average manufacturing cost per dose depends on the efficiency of the manufacturing process, utilization of available manufacturing capacity and the production yield for any period.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We expense research and development costs as incurred. Our research and development expenses consist primarily of:</w:t>
      </w:r>
    </w:p>
    <w:p>
      <w:pPr>
        <w:spacing w:after="0" w:line="119" w:lineRule="exact"/>
        <w:rPr>
          <w:sz w:val="20"/>
          <w:szCs w:val="20"/>
          <w:color w:val="auto"/>
        </w:rPr>
      </w:pPr>
    </w:p>
    <w:p>
      <w:pPr>
        <w:ind w:left="220" w:hanging="210"/>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salaries and related expenses for personnel;</w:t>
      </w:r>
    </w:p>
    <w:p>
      <w:pPr>
        <w:spacing w:after="0" w:line="105" w:lineRule="exact"/>
        <w:rPr>
          <w:rFonts w:ascii="Arial" w:cs="Arial" w:eastAsia="Arial" w:hAnsi="Arial"/>
          <w:sz w:val="17"/>
          <w:szCs w:val="17"/>
          <w:color w:val="auto"/>
        </w:rPr>
      </w:pPr>
    </w:p>
    <w:p>
      <w:pPr>
        <w:ind w:left="220" w:right="240" w:hanging="210"/>
        <w:spacing w:after="0" w:line="258" w:lineRule="auto"/>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fees to professional service providers for, among other things, independently monitoring our clinical trials and acquiring and evaluating data from our clinical trials;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costs of contract manufacturing services;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costs of materials used in clinical trials and research and development;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depreciation of capital assets used to develop our products;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operating costs, such as the cost of facilities and the legal costs of pursuing patent protection of our intellectual property.</w:t>
      </w:r>
    </w:p>
    <w:p>
      <w:pPr>
        <w:spacing w:after="0" w:line="11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successful development of our product candidates is highly uncertain. We believe that significant investment in product development is a competitive necessity and plan to continue these investments in order to be in a position to realize the potential of our product candidates. We cannot reasonably estimate or know the nature, timing and projected costs of the efforts that will be necessary to complete the remainder of the development of, or the period, if any, in which material net cash inflows may commence from any of our product candidates. This is due to the numerous risks and uncertainties associated with developing drugs, including the uncertainty of:</w:t>
      </w:r>
    </w:p>
    <w:p>
      <w:pPr>
        <w:spacing w:after="0" w:line="104" w:lineRule="exact"/>
        <w:rPr>
          <w:sz w:val="20"/>
          <w:szCs w:val="20"/>
          <w:color w:val="auto"/>
        </w:rPr>
      </w:pPr>
    </w:p>
    <w:p>
      <w:pPr>
        <w:ind w:left="220" w:hanging="210"/>
        <w:spacing w:after="0"/>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scope, rate of progress and expense of our clinical trials and other research and development activities;</w:t>
      </w:r>
    </w:p>
    <w:p>
      <w:pPr>
        <w:spacing w:after="0" w:line="105" w:lineRule="exact"/>
        <w:rPr>
          <w:rFonts w:ascii="Arial" w:cs="Arial" w:eastAsia="Arial" w:hAnsi="Arial"/>
          <w:sz w:val="17"/>
          <w:szCs w:val="17"/>
          <w:color w:val="auto"/>
        </w:rPr>
      </w:pPr>
    </w:p>
    <w:p>
      <w:pPr>
        <w:ind w:left="220" w:right="400" w:hanging="210"/>
        <w:spacing w:after="0" w:line="258" w:lineRule="auto"/>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obtain adequate supplies of our product candidates required for later stage clinical trials, including from third party manufacturers;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potential benefits of our product candidates over other products;</w:t>
      </w:r>
    </w:p>
    <w:p>
      <w:pPr>
        <w:spacing w:after="0" w:line="105" w:lineRule="exact"/>
        <w:rPr>
          <w:rFonts w:ascii="Arial" w:cs="Arial" w:eastAsia="Arial" w:hAnsi="Arial"/>
          <w:sz w:val="17"/>
          <w:szCs w:val="17"/>
          <w:color w:val="auto"/>
        </w:rPr>
      </w:pPr>
    </w:p>
    <w:p>
      <w:pPr>
        <w:ind w:left="220" w:right="60" w:hanging="210"/>
        <w:spacing w:after="0" w:line="258" w:lineRule="auto"/>
        <w:tabs>
          <w:tab w:leader="none" w:pos="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market, commercialize and achieve market acceptance for any of our product candidates that we are developing or may develop in the future;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68" w:name="page69"/>
    <w:bookmarkEnd w:id="68"/>
    <w:p>
      <w:pPr>
        <w:ind w:left="220" w:hanging="210"/>
        <w:spacing w:after="0"/>
        <w:tabs>
          <w:tab w:leader="none" w:pos="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future clinical trial results;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terms and timing of regulatory approvals;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19"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mean a significant change in the costs and timing associated with the development of that product candidate.</w:t>
      </w:r>
    </w:p>
    <w:p>
      <w:pPr>
        <w:spacing w:after="0" w:line="90"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We expect that development spending will increase for all of our biodefense product candidates as our product development activities continue and we prepare for regulatory submissions and other regulatory activities. We expect our development expenses in our commercial business to increase in connection with our ongoing activities, particularly as we conduct additional and later stage clinical trials for our product candidates.</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expect that the magnitude of any increase in our research and development spending will be dependent upon such factors as the results from our ongoing preclinical studies and clinical trials, the size, structure and duration of any follow on clinical program that we may initiate, cost associated with manufacturing our product candidates on a large scale basis for later stage clinical trials, our ability to use data generated by government agencies, such as the ongoing CDC studies with BioThrax, and our ability to rely upon and utilize clinical and nonclinical data, such as the data generated by CDC from use of the pentavalent botulinum toxoid vaccine previously manufactured by the State of Michigan. Furthermore, if the FDA or other regulatory authority were to require us to conduct clinical trials beyond those which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8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General and administrative expenses consist primarily of salaries and other related costs for personnel serving the executive, business development, finance, accounting, information technology, legal and human resource functions. Other costs include facility costs not otherwise included in cost of product sales or research and development expense and professional fees for legal and accounting services. We expect that our general and administrative expenses will increase as we add personnel to support the increased scale of our operations and become subject to the reporting obligations applicable to public companies. Our general and administrative expenses have increased as a result of preparing for this offering and supporting the overall growth of the company. We currently market and sell BioThrax directly to the DoD and HHS with a small, targeted marketing and sales group. Accordingly, our marketing and sales expense for these efforts has been limited. As we seek to broaden the market for BioThrax and if we receive marketing approval for additional products, we expect that we will increase our spending for marketing and sales activities.</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other income (expense)</w:t>
      </w:r>
    </w:p>
    <w:p>
      <w:pPr>
        <w:spacing w:after="0" w:line="88"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Total other income (expense) consists principally of interest income and interest expense. We earn interest on our cash, cash equivalents and short-term investments, and we incur interest expense on our indebtedness. Our net interest expense will increase in future periods as compared to prior periods as a result of the mortgage loan that we entered into in April 2006 and the term loan that we entered into in August 2006, as well as any borrowings under our revolving lines of credit. In addition, some of our existing debt arrangements provide for increasing amortization of principal payments in future periods. See “Liquidity and capital resources — Debt financing” for additional information.</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7" w:right="1059" w:bottom="1440" w:gutter="0" w:footer="0" w:header="0"/>
        </w:sectPr>
      </w:pPr>
    </w:p>
    <w:bookmarkStart w:id="69" w:name="page70"/>
    <w:bookmarkEnd w:id="69"/>
    <w:p>
      <w:pPr>
        <w:spacing w:after="0"/>
        <w:rPr>
          <w:sz w:val="20"/>
          <w:szCs w:val="20"/>
          <w:color w:val="auto"/>
        </w:rPr>
      </w:pPr>
      <w:r>
        <w:rPr>
          <w:rFonts w:ascii="Arial" w:cs="Arial" w:eastAsia="Arial" w:hAnsi="Arial"/>
          <w:sz w:val="21"/>
          <w:szCs w:val="21"/>
          <w:b w:val="1"/>
          <w:bCs w:val="1"/>
          <w:color w:val="auto"/>
        </w:rPr>
        <w:t>Results of operations</w:t>
      </w:r>
    </w:p>
    <w:p>
      <w:pPr>
        <w:spacing w:after="0" w:line="122" w:lineRule="exact"/>
        <w:rPr>
          <w:sz w:val="20"/>
          <w:szCs w:val="20"/>
          <w:color w:val="auto"/>
        </w:rPr>
      </w:pPr>
    </w:p>
    <w:p>
      <w:pPr>
        <w:ind w:right="2220"/>
        <w:spacing w:after="0" w:line="367" w:lineRule="auto"/>
        <w:rPr>
          <w:sz w:val="20"/>
          <w:szCs w:val="20"/>
          <w:color w:val="auto"/>
        </w:rPr>
      </w:pPr>
      <w:r>
        <w:rPr>
          <w:rFonts w:ascii="Arial" w:cs="Arial" w:eastAsia="Arial" w:hAnsi="Arial"/>
          <w:sz w:val="17"/>
          <w:szCs w:val="17"/>
          <w:b w:val="1"/>
          <w:bCs w:val="1"/>
          <w:color w:val="auto"/>
        </w:rPr>
        <w:t xml:space="preserve">Nine months ended September 30, 2006 compared to nine months ended September 30, 2005 </w:t>
      </w:r>
      <w:r>
        <w:rPr>
          <w:rFonts w:ascii="Arial" w:cs="Arial" w:eastAsia="Arial" w:hAnsi="Arial"/>
          <w:sz w:val="17"/>
          <w:szCs w:val="17"/>
          <w:b w:val="1"/>
          <w:bCs w:val="1"/>
          <w:i w:val="1"/>
          <w:iCs w:val="1"/>
          <w:color w:val="auto"/>
        </w:rPr>
        <w:t>Revenues</w:t>
      </w:r>
    </w:p>
    <w:p>
      <w:pPr>
        <w:ind w:right="20"/>
        <w:spacing w:after="0" w:line="244" w:lineRule="auto"/>
        <w:rPr>
          <w:sz w:val="20"/>
          <w:szCs w:val="20"/>
          <w:color w:val="auto"/>
        </w:rPr>
      </w:pPr>
      <w:r>
        <w:rPr>
          <w:rFonts w:ascii="Arial" w:cs="Arial" w:eastAsia="Arial" w:hAnsi="Arial"/>
          <w:sz w:val="17"/>
          <w:szCs w:val="17"/>
          <w:color w:val="auto"/>
        </w:rPr>
        <w:t>Product sales revenues, which relate only to the biodefense segment, decreased by $24.5 million, or 29%, to $61.3 million for the nine months ended September 30, 2006 from $ 85.8 million for the nine months ended September 30, 2005. This decrease in product sales revenues was primarily due to a 29% decrease in the number of doses we delivered as a result of the timing of our fulfilling orders from the DoD and HHS. Product sales revenues in the nine months ended September 30, 2006 consisted of BioThrax sales to HHS of $35.4 million, sales to the DoD of $25.3 million and sales to the Canadian government of $ 630,000. Product sales revenues in the nine months ended September 30, 2005 consisted of BioThrax sales to HHS of $69.9 million, sales to the DoD of $14.5 million, sales to the Canadian government of $1.1 million and other sales of $291,000.</w:t>
      </w:r>
    </w:p>
    <w:p>
      <w:pPr>
        <w:spacing w:after="0" w:line="10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Contracts and grant revenues increased by $3.5 million to $4.6 million for the nine months ended September 30, 2006 from $1.1 million for the nine months ended September 30, 2005. Contracts and grant revenues for the nine months ended September 30, 2006 consisted of $3.2 million in upfront and development program revenue from the Sanofi Pasteur collaboration and $1.5 million in grant revenue from the Wellcome Trust. Contracts and grant revenues for the nine months ended September 30, 2005 resulted from reimbursement from the DoD for expenses related to production development and supply chain management improvements for BioThrax incurred in prior periods, and for additional work that we performed on a project basis for the DoD’s Defense Advanced Research Projects Agency, or DARPA, to evaluate a new vaccine adjuvant for BioThrax.</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13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Cost of product sales, which relate only to the biodefense segment, consists of expenses incurred in the manufacture of BioThrax. Cost of product sales decreased by $11.5 million, or 50%, to $ 11.6 million for the nine months ended September 30, 2006 from $23.1 million for the nine months ended September 30, 2005. This decrease was attributable to the delivery of 1.0 million fewer doses of BioThrax in the nine months ended September 30, 2006 and improved utilization of our manufacturing capacity for BioThrax as a result of extending the hours of operation for our manufacturing facility. The reduction in the number of doses delivered resulted in a reduction in costs of approximately $6.8 million. Manufacturing efficiencies resulted in a cost savings of approximately $4.7 million.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Research and development expenses increased by $17.0 million to $26.6 million for the nine months ended September 30, 2006 from $9.6 million for the nine months ended September 30, 2005. This increase reflects increased expenses of $9.1 million in the biodefense segment and $8.8 million in the commercial segment, offset by a reduction of $892,000 in other research and development expenses.</w:t>
      </w:r>
    </w:p>
    <w:p>
      <w:pPr>
        <w:spacing w:after="0" w:line="9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increase in biodefense spending was attributable to increased efforts on all our biodefense programs as we completed various studies and began subsequent studies and trials. This increase primarily reflects additional personnel and contract service costs. The increase in spending for BioThrax enhancements is related to preparing for animal efficacy studies to support applications for marketing approval of these enhancements, which we expect to submit to the FDA in 2008. The increase in spending for immune globulin development related primarily to costs associated with our plasma donor stimulation program for our anthrax immune globulin candidate. The increase in spending for the recombinant botulinum vaccine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70" w:name="page71"/>
    <w:bookmarkEnd w:id="70"/>
    <w:p>
      <w:pPr>
        <w:ind w:left="680" w:right="920"/>
        <w:spacing w:after="0" w:line="247" w:lineRule="auto"/>
        <w:rPr>
          <w:sz w:val="20"/>
          <w:szCs w:val="20"/>
          <w:color w:val="auto"/>
        </w:rPr>
      </w:pPr>
      <w:r>
        <w:rPr>
          <w:rFonts w:ascii="Arial" w:cs="Arial" w:eastAsia="Arial" w:hAnsi="Arial"/>
          <w:sz w:val="17"/>
          <w:szCs w:val="17"/>
          <w:color w:val="auto"/>
        </w:rPr>
        <w:t>program, which is in preclinical development, resulted from advancing this program to the process development stage and the manufacture of clinical trial material. The increase in spending for the next generation anthrax vaccine program, which has product candidates in preclinical and Phase I clinical development, resulted from formulation development and the manufacture of clinical trial material.</w:t>
      </w:r>
    </w:p>
    <w:p>
      <w:pPr>
        <w:spacing w:after="0" w:line="99" w:lineRule="exact"/>
        <w:rPr>
          <w:sz w:val="20"/>
          <w:szCs w:val="20"/>
          <w:color w:val="auto"/>
        </w:rPr>
      </w:pPr>
    </w:p>
    <w:p>
      <w:pPr>
        <w:ind w:left="680" w:right="800"/>
        <w:spacing w:after="0" w:line="242" w:lineRule="auto"/>
        <w:rPr>
          <w:sz w:val="20"/>
          <w:szCs w:val="20"/>
          <w:color w:val="auto"/>
        </w:rPr>
      </w:pPr>
      <w:r>
        <w:rPr>
          <w:rFonts w:ascii="Arial" w:cs="Arial" w:eastAsia="Arial" w:hAnsi="Arial"/>
          <w:sz w:val="17"/>
          <w:szCs w:val="17"/>
          <w:color w:val="auto"/>
        </w:rPr>
        <w:t>The increase in commercial spending was mainly attributable to spending on the commercial products listed in the table below following our acquisition of Microscience in June 2005. This increase primarily reflects additional personnel and contract service costs. Research and development spending by Microscience prior to our acquisition of Microscience in June 2005 is not included in our results for the nine months ended September 30, 2005. The spending in the nine months ended September 30, 2006 for our typhoid vaccine candidate resulted from ongoing work for the Phase I clinical trial in Vietnam that we recently completed and preparing for our Phase II clinical trial in Vietnam that we plan to initiate in the fourth quarter of 2006. The spending in the nine months ended September 30, 2006 for our hepatitis B therapeutic vaccine candidate resulted from preparing for our Phase II clinical trial that we plan to initiate in the fourth quarter of 2006. The spending in the nine months ended September 30, 2006 for our group B streptococcus vaccine candidate resulted from costs associated with our analysis of results from the Phase I clinical trial that we recently completed for one of the protein components of the vaccine candidate and preparation for Phase I clinical trials for the two other protein components of the vaccine candidate. Both our chlamydia vaccine and meningitis B vaccine candidates are in preclinical development.</w:t>
      </w:r>
    </w:p>
    <w:p>
      <w:pPr>
        <w:spacing w:after="0" w:line="110" w:lineRule="exact"/>
        <w:rPr>
          <w:sz w:val="20"/>
          <w:szCs w:val="20"/>
          <w:color w:val="auto"/>
        </w:rPr>
      </w:pPr>
    </w:p>
    <w:p>
      <w:pPr>
        <w:ind w:left="680" w:right="1120"/>
        <w:spacing w:after="0" w:line="258" w:lineRule="auto"/>
        <w:rPr>
          <w:sz w:val="20"/>
          <w:szCs w:val="20"/>
          <w:color w:val="auto"/>
        </w:rPr>
      </w:pPr>
      <w:r>
        <w:rPr>
          <w:rFonts w:ascii="Arial" w:cs="Arial" w:eastAsia="Arial" w:hAnsi="Arial"/>
          <w:sz w:val="17"/>
          <w:szCs w:val="17"/>
          <w:color w:val="auto"/>
        </w:rPr>
        <w:t>The decrease in spending on other research and development expenses was attributable to our discontinuation of preclinical programs that we acquired from Antex and determined not to pursue.</w:t>
      </w:r>
    </w:p>
    <w:p>
      <w:pPr>
        <w:spacing w:after="0" w:line="90" w:lineRule="exact"/>
        <w:rPr>
          <w:sz w:val="20"/>
          <w:szCs w:val="20"/>
          <w:color w:val="auto"/>
        </w:rPr>
      </w:pPr>
    </w:p>
    <w:p>
      <w:pPr>
        <w:ind w:left="680" w:right="1020"/>
        <w:spacing w:after="0" w:line="258" w:lineRule="auto"/>
        <w:rPr>
          <w:sz w:val="20"/>
          <w:szCs w:val="20"/>
          <w:color w:val="auto"/>
        </w:rPr>
      </w:pPr>
      <w:r>
        <w:rPr>
          <w:rFonts w:ascii="Arial" w:cs="Arial" w:eastAsia="Arial" w:hAnsi="Arial"/>
          <w:sz w:val="17"/>
          <w:szCs w:val="17"/>
          <w:color w:val="auto"/>
        </w:rPr>
        <w:t>Our principal research and development expenses for the nine months ended September 30, 2005 and 2006 are shown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3980" w:type="dxa"/>
            <w:vAlign w:val="bottom"/>
            <w:tcBorders>
              <w:top w:val="single" w:sz="8" w:color="auto"/>
            </w:tcBorders>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80" w:type="dxa"/>
            <w:vAlign w:val="bottom"/>
            <w:gridSpan w:val="2"/>
            <w:vMerge w:val="continue"/>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3980" w:type="dxa"/>
            <w:vAlign w:val="bottom"/>
            <w:tcBorders>
              <w:top w:val="single" w:sz="8" w:color="auto"/>
            </w:tcBorders>
          </w:tcPr>
          <w:p>
            <w:pPr>
              <w:spacing w:after="0"/>
              <w:rPr>
                <w:sz w:val="2"/>
                <w:szCs w:val="2"/>
                <w:color w:val="auto"/>
              </w:rPr>
            </w:pPr>
          </w:p>
        </w:tc>
        <w:tc>
          <w:tcPr>
            <w:tcW w:w="34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Biodefense:</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BioThrax enhancements</w:t>
            </w:r>
          </w:p>
        </w:tc>
        <w:tc>
          <w:tcPr>
            <w:tcW w:w="3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1,815</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2,678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Immune globulin development</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2,154</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Recombinant bivalent botulinum vaccine</w:t>
            </w: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718</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1,323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Next generation anthrax vaccine</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180</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ind w:left="200"/>
              <w:spacing w:after="0"/>
              <w:rPr>
                <w:sz w:val="20"/>
                <w:szCs w:val="20"/>
                <w:color w:val="auto"/>
              </w:rPr>
            </w:pPr>
            <w:r>
              <w:rPr>
                <w:rFonts w:ascii="Arial" w:cs="Arial" w:eastAsia="Arial" w:hAnsi="Arial"/>
                <w:sz w:val="17"/>
                <w:szCs w:val="17"/>
                <w:color w:val="auto"/>
              </w:rPr>
              <w:t>Total biodefense</w:t>
            </w: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4,867</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13,980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Commercial:</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Typhoid vaccine</w:t>
            </w: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897</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4,483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Hepatitis B therapeutic vaccine</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727</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Group B streptococcus vaccine</w:t>
            </w:r>
          </w:p>
        </w:tc>
        <w:tc>
          <w:tcPr>
            <w:tcW w:w="3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54"/>
              <w:spacing w:after="0"/>
              <w:rPr>
                <w:sz w:val="20"/>
                <w:szCs w:val="20"/>
                <w:color w:val="auto"/>
              </w:rPr>
            </w:pPr>
            <w:r>
              <w:rPr>
                <w:rFonts w:ascii="Arial" w:cs="Arial" w:eastAsia="Arial" w:hAnsi="Arial"/>
                <w:sz w:val="17"/>
                <w:szCs w:val="17"/>
                <w:color w:val="auto"/>
              </w:rPr>
              <w:t>411</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1,764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Chlamydia vaccine</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431</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Meningitis B vaccine</w:t>
            </w:r>
          </w:p>
        </w:tc>
        <w:tc>
          <w:tcPr>
            <w:tcW w:w="3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670</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commercial</w:t>
            </w:r>
          </w:p>
        </w:tc>
        <w:tc>
          <w:tcPr>
            <w:tcW w:w="3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3,136</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color w:val="auto"/>
              </w:rPr>
              <w:t>Other</w:t>
            </w:r>
          </w:p>
        </w:tc>
        <w:tc>
          <w:tcPr>
            <w:tcW w:w="3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1,629</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Total</w:t>
            </w:r>
          </w:p>
        </w:tc>
        <w:tc>
          <w:tcPr>
            <w:tcW w:w="3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9,632</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26,640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440" w:type="dxa"/>
            <w:vAlign w:val="bottom"/>
          </w:tcPr>
          <w:p>
            <w:pPr>
              <w:jc w:val="right"/>
              <w:ind w:right="2273"/>
              <w:spacing w:after="0"/>
              <w:rPr>
                <w:sz w:val="20"/>
                <w:szCs w:val="20"/>
                <w:color w:val="auto"/>
              </w:rPr>
            </w:pPr>
            <w:r>
              <w:rPr>
                <w:rFonts w:ascii="Arial" w:cs="Arial" w:eastAsia="Arial" w:hAnsi="Arial"/>
                <w:sz w:val="17"/>
                <w:szCs w:val="17"/>
                <w:color w:val="auto"/>
              </w:rPr>
              <w:t>67</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3980" w:type="dxa"/>
            <w:vAlign w:val="bottom"/>
            <w:tcBorders>
              <w:bottom w:val="single" w:sz="8" w:color="808080"/>
            </w:tcBorders>
          </w:tcPr>
          <w:p>
            <w:pPr>
              <w:spacing w:after="0"/>
              <w:rPr>
                <w:sz w:val="17"/>
                <w:szCs w:val="17"/>
                <w:color w:val="auto"/>
              </w:rPr>
            </w:pPr>
          </w:p>
        </w:tc>
        <w:tc>
          <w:tcPr>
            <w:tcW w:w="34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39"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Selling, general and administrative expenses increased by $4.0 million, or 14%, to $33.0 million for the nine months ended September 30, 2006 from $28.9 million for the nine months ended September 30, 2005. Selling, general and administrative expenses related to the biodefense segment decreased by $194,000, or 1%, to $24.4 million for the nine months ended September 30, 2006 from $24.6 million for the nine months ended September 30, 2005. Selling, general and administrative expenses related to the commercial segment increased by $4.2 million, or 98%, to $8.5 million for the nine months ended September 30, 2006 from $ 4.3 million for the nine months ended September 30, 2005. The increase in the commercial segment was primarily attributable to an increase in general and administrative expenses of $3.6 million resulting from the addition of personnel and facilities for Emergent Product Development UK following our acquisition of Microscience in June 2005.</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June 2005, we recorded a non-cash charge for purchased in-process research and development of $26.6 million associated with our acquisition of Microscience. We valued the 3,636,801 shares of class A common stock that we issued in the acquisition at $28.2 million after the inclusion of acquisition costs. Of this amount, we identified $1.4 million as current assets, $0.9 million as fixed assets, $0.7 million as current liabilities and $26.6 million as the value attributable to development programs. Because we determined that the development programs had no future alternative use, we charged the value attributable to the development programs as purchased in-process research and development. We are amortizing this charge for tax purposes over 15 years.</w:t>
      </w:r>
    </w:p>
    <w:p>
      <w:pPr>
        <w:spacing w:after="0" w:line="104"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In July 2006, we recorded a non-cash charge for purchased in-process research and development of $ 477,000 associated with our acquisition of ViVacs. We paid total purchase consideration of $250,000 and assumed a net deficit of liabilities in excess of assets of $47,000. We valued the acquisition at $430,000 after the inclusion of acquisition costs. Of this amount, we identified $153,000 as current assets, $97,000 as fixed assets, $297,000 as current liabilities and $477,000 as the value attributable to development programs and technology. Because we determined that the development programs and technology had no future alternative use, we charged the value attributable to the development programs and technology as purchased in-process research and development. We are amortizing this charge for tax purposes over 15 years.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settlement</w:t>
      </w:r>
    </w:p>
    <w:p>
      <w:pPr>
        <w:spacing w:after="0" w:line="139"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In June 2005, we recorded a gain of $10.0 million relating to a settlement of a litigation matter that we initiated to resolve a contract and intellectual property dispute. There were no settlements for the nine months ended September 30, 2006.</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13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Total other expense decreased by $179,000 to $82,000 for the nine months ended September 30, 2006 from $261,000 for the nine months ended September 30, 2005. The decrease resulted principally from an increase in interest income of $67,000 as a result of higher investment return on increased average cash balances, an increase in interest expense of $203,000 related primarily to the mortgage loan we entered into in April 2006 and the term loan we entered into in August 2006, and an increase in other income (expense) of $315,000.</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recorded a benefit from income taxes of $2.6 million for the nine months ended September 30, 2006 compared to a provision for income taxes of $2.1 million for the nine months ended September 30, 2005. The benefit from income taxes for the nine months ended September 30, 2006 resulted primarily from our loss before benefit from income taxes of $6.0 million and an estimated effective annual tax rate of 44%. The provision for income taxes for the nine months ended September 30, 2005 resulted primarily from our income before provision for income taxes of $8.4 million and an estimated effective annual tax rate of 25%. The increase in the estimated effective annual tax rate by 19% is due primarily to an increase in the valuation allowance related to estimated foreign and state net operating losses. While the net operating losses for foreign and state jurisdictions have been recorded as deferred tax assets, a full valuation allowance also has been recorded for such tax assets due to current uncertainty as to whether we will generate sufficient future taxable income in the applicable jurisdictions to fully utilize these net operating losses.</w:t>
      </w:r>
    </w:p>
    <w:p>
      <w:pPr>
        <w:spacing w:after="0" w:line="384" w:lineRule="exact"/>
        <w:rPr>
          <w:sz w:val="20"/>
          <w:szCs w:val="20"/>
          <w:color w:val="auto"/>
        </w:rPr>
      </w:pPr>
    </w:p>
    <w:p>
      <w:pPr>
        <w:ind w:right="3700"/>
        <w:spacing w:after="0" w:line="399" w:lineRule="auto"/>
        <w:rPr>
          <w:sz w:val="20"/>
          <w:szCs w:val="20"/>
          <w:color w:val="auto"/>
        </w:rPr>
      </w:pPr>
      <w:r>
        <w:rPr>
          <w:rFonts w:ascii="Arial" w:cs="Arial" w:eastAsia="Arial" w:hAnsi="Arial"/>
          <w:sz w:val="17"/>
          <w:szCs w:val="17"/>
          <w:b w:val="1"/>
          <w:bCs w:val="1"/>
          <w:color w:val="auto"/>
        </w:rPr>
        <w:t xml:space="preserve">Year ended December 31, 2005 compared to year ended December 31, 2004 </w:t>
      </w:r>
      <w:r>
        <w:rPr>
          <w:rFonts w:ascii="Arial" w:cs="Arial" w:eastAsia="Arial" w:hAnsi="Arial"/>
          <w:sz w:val="17"/>
          <w:szCs w:val="17"/>
          <w:b w:val="1"/>
          <w:bCs w:val="1"/>
          <w:i w:val="1"/>
          <w:iCs w:val="1"/>
          <w:color w:val="auto"/>
        </w:rPr>
        <w:t>Revenues</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Product sales revenues increased by $46.3 million, or 57%, to $127.3 million for 2005 from $81.0 million for 2004. This increase in product sales revenues was primarily due to a 52% increase in the number of doses delivered. Product sales revenues in 2005 consisted of BioThrax sales to HHS of $111.2 million, sales to the DoD of $14.5 million and aggregate sales to the governments of Canada and Taiwan of $1.6 million. Product sales revenues in 2004 consisted of BioThrax sales to the DoD of $80.6 million and sales to the Canadian government of $360,000.</w:t>
      </w:r>
    </w:p>
    <w:p>
      <w:pPr>
        <w:spacing w:after="0" w:line="102"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Contracts and grant revenues increased by $937,000, or 38%, to $3.4 million in 2005 from $2.5 million in 2004 primarily as a result of additional work that we performed on a project basis for DARPA to evaluate a new vaccine adjuvant for BioThrax.</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Cost of product sales increased by $1.5 million, or 5%, to $ 31.6 million for 2005 from $30.1 million for 2004. This increase was attributable to the delivery of 1.8 million additional doses of BioThrax in 2005 and a decrease in production yield, resulting in a higher average manufacturing cost per dose in 2005, offset by improved utilization of our manufacturing capacity for BioThrax as a result of extending the hours of operation for our manufacturing facility. The increase in the number of doses delivered combined with the decrease in production yield resulted in additional costs of $6.6 million. Manufacturing efficiencies resulted in a cost savings of $5.1 million.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Research and development expenses increased by $8.3 million, or 82%, to $18.4 million for 2005 from $10.1 million for 2004. This increase reflects increased expenses of $4.0 million in the biodefense segment and $5.8 million in the commercial segment, offset by a reduction of $1.6 million in other research and development expenses.</w:t>
      </w:r>
    </w:p>
    <w:p>
      <w:pPr>
        <w:spacing w:after="0" w:line="96"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The increase in biodefense spending resulted from costs associated with our plasma donor stimulation program for our anthrax immune globulin candidate, process development related to our recombinant botulinum vaccine candidate and evaluation of third party technology related to our next generation anthrax vaccine program for potential acquisition or in license, offset by decreased spending on BioThrax</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7" w:right="1039" w:bottom="1440" w:gutter="0" w:footer="0" w:header="0"/>
        </w:sectPr>
      </w:pPr>
    </w:p>
    <w:bookmarkStart w:id="73" w:name="page74"/>
    <w:bookmarkEnd w:id="73"/>
    <w:p>
      <w:pPr>
        <w:ind w:right="160"/>
        <w:spacing w:after="0" w:line="247" w:lineRule="auto"/>
        <w:rPr>
          <w:sz w:val="20"/>
          <w:szCs w:val="20"/>
          <w:color w:val="auto"/>
        </w:rPr>
      </w:pPr>
      <w:r>
        <w:rPr>
          <w:rFonts w:ascii="Arial" w:cs="Arial" w:eastAsia="Arial" w:hAnsi="Arial"/>
          <w:sz w:val="17"/>
          <w:szCs w:val="17"/>
          <w:color w:val="auto"/>
        </w:rPr>
        <w:t>enhancements. In 2004, the immune globulin program was in initial development and we had not yet begun work on the recombinant botulinum vaccine and next generation anthrax vaccine candidates. The decrease in spending on BioThrax enhancements resulted from substantial completion during 2004 of research regarding manufacturing process development for BioThrax to improve the stability and consistency of production lots.</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increase in spending in the commercial segment was attributable to spending on the commercial programs listed in the table below following our acquisition of Microscience in June 2005. Research and development spending by Microscience is not included in our results prior to the acquisition date. The commercial spending in 2005 resulted from the Phase I clinical trial in Vietnam for our typhoid vaccine candidate, preparation for a planned Phase II clinical trial for our hepatitis B therapeutic vaccine candidate, including the manufacture of clinical trial material, preparation for one of three planned Phase I clinical trials related to one of the protein components of our group B streptococcus vaccine candidate and preclinical work for our chlamydia vaccine and meningitis B vaccine candidates.</w:t>
      </w:r>
    </w:p>
    <w:p>
      <w:pPr>
        <w:spacing w:after="0" w:line="102"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The decrease in spending on other research and development expenses was attributable to our discontinuation of preclinical programs that we acquired from Antex and determined not to pursue.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Our principal research and development expenses for 2004 and 2005 are shown in the following table: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20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9"/>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3"/>
        </w:trPr>
        <w:tc>
          <w:tcPr>
            <w:tcW w:w="5220" w:type="dxa"/>
            <w:vAlign w:val="bottom"/>
            <w:gridSpan w:val="2"/>
            <w:vMerge w:val="continue"/>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20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Biodefense:</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BioThrax enhancements</w:t>
            </w:r>
          </w:p>
        </w:tc>
        <w:tc>
          <w:tcPr>
            <w:tcW w:w="2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5,929</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Immune globulin development</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350</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Recombinant bivalent botulinum vaccine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Next generation anthrax vaccine</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ind w:left="180"/>
              <w:spacing w:after="0"/>
              <w:rPr>
                <w:sz w:val="20"/>
                <w:szCs w:val="20"/>
                <w:color w:val="auto"/>
              </w:rPr>
            </w:pPr>
            <w:r>
              <w:rPr>
                <w:rFonts w:ascii="Arial" w:cs="Arial" w:eastAsia="Arial" w:hAnsi="Arial"/>
                <w:sz w:val="17"/>
                <w:szCs w:val="17"/>
                <w:color w:val="auto"/>
              </w:rPr>
              <w:t>Total biodefense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6,279</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Commercial:</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Typhoid vaccine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Hepatitis B therapeutic vaccine</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Group B streptococcus vaccine</w:t>
            </w: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Chlamydia vaccine</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1,136</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Meningitis B vaccine</w:t>
            </w:r>
          </w:p>
        </w:tc>
        <w:tc>
          <w:tcPr>
            <w:tcW w:w="2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commercial</w:t>
            </w:r>
          </w:p>
        </w:tc>
        <w:tc>
          <w:tcPr>
            <w:tcW w:w="2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1,136</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Other</w:t>
            </w:r>
          </w:p>
        </w:tc>
        <w:tc>
          <w:tcPr>
            <w:tcW w:w="2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2,702</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w:t>
            </w:r>
          </w:p>
        </w:tc>
        <w:tc>
          <w:tcPr>
            <w:tcW w:w="2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10,117</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39" w:lineRule="exact"/>
        <w:rPr>
          <w:sz w:val="20"/>
          <w:szCs w:val="20"/>
          <w:color w:val="auto"/>
        </w:rPr>
      </w:pPr>
    </w:p>
    <w:p>
      <w:pPr>
        <w:jc w:val="both"/>
        <w:ind w:right="80"/>
        <w:spacing w:after="0" w:line="247" w:lineRule="auto"/>
        <w:rPr>
          <w:sz w:val="20"/>
          <w:szCs w:val="20"/>
          <w:color w:val="auto"/>
        </w:rPr>
      </w:pPr>
      <w:r>
        <w:rPr>
          <w:rFonts w:ascii="Arial" w:cs="Arial" w:eastAsia="Arial" w:hAnsi="Arial"/>
          <w:sz w:val="17"/>
          <w:szCs w:val="17"/>
          <w:color w:val="auto"/>
        </w:rPr>
        <w:t>Selling, general and administrative expenses increased by $12.5 million, or 41%, to $42.8 million for 2005 from $30.3 million for 2004. Selling, general and administrative expenses related to our biodefense segment increased by $6.4 million to $35.4 million for 2005 from $29.0 million for 2004. Selling, general and administrative expenses related to our commercial segment increased by $6.0 million to $7.3 million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for 2005 from $1.3 million for 2004. The increase in the biodefense segment was attributable to an increase in general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expenses of $5.5 million resulting from additional personnel and professional service providers for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headquarters organization who devoted time to the biodefense segment and an increase in sales and marketing expenses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$1.0 million resulting from the addition of sales personnel to investigate potential other markets for BioThrax. The increase in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commercial segment was attributable to an increase in general and administrative expenses of $5.3 million resulting from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addition of personnel for Emergent Product Development UK and legal expenses associated with reorganizing our corporate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structure following our acquisition of Microscience in June 2005.</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139" w:lineRule="exact"/>
        <w:rPr>
          <w:sz w:val="20"/>
          <w:szCs w:val="20"/>
          <w:color w:val="auto"/>
        </w:rPr>
      </w:pPr>
    </w:p>
    <w:p>
      <w:pPr>
        <w:ind w:right="920"/>
        <w:spacing w:after="0" w:line="258" w:lineRule="auto"/>
        <w:rPr>
          <w:sz w:val="20"/>
          <w:szCs w:val="20"/>
          <w:color w:val="auto"/>
        </w:rPr>
      </w:pPr>
      <w:r>
        <w:rPr>
          <w:rFonts w:ascii="Arial" w:cs="Arial" w:eastAsia="Arial" w:hAnsi="Arial"/>
          <w:sz w:val="17"/>
          <w:szCs w:val="17"/>
          <w:color w:val="auto"/>
        </w:rPr>
        <w:t>In 2005, as described above, we recorded a non-cash charge of $26.6 million for purchased in-process research and development associated with our acquisition of Microscience.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settlement</w:t>
      </w:r>
    </w:p>
    <w:p>
      <w:pPr>
        <w:spacing w:after="0" w:line="139"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In 2005, we recorded a gain of $10.0 million relating to a settlement of a litigation matter that we initiated to resolve a contract and intellectual property dispute. There were no settlements in 2004.</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13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Total other expense increased by $57,000 to $227,000 for 2005 from $170,000 for 2004. This increase resulted primarily from an increase in interest expense associated with our financing of the acquisition costs for one building at our Frederick facility.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9"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Provision for income taxes increased by $196,000, or 4%, to $5.3 million for 2005 from $5.1 million for 2004. The provision for income taxes for 2005 resulted primarily from our income before provision for income taxes of $21.1 million and an effective annual tax rate of 25%. The provision for income taxes for 2004 resulted primarily from our income before provision for income taxes of $16.6 million and an effective annual tax rate of 31%. The provision for income taxes also reflects research and development tax credits of $474,000 for 2005 and $492,000 for 2004 and small amounts of permanent tax differences in each year.</w:t>
      </w:r>
    </w:p>
    <w:p>
      <w:pPr>
        <w:spacing w:after="0" w:line="187" w:lineRule="exact"/>
        <w:rPr>
          <w:sz w:val="20"/>
          <w:szCs w:val="20"/>
          <w:color w:val="auto"/>
        </w:rPr>
      </w:pPr>
    </w:p>
    <w:p>
      <w:pPr>
        <w:ind w:right="3700"/>
        <w:spacing w:after="0" w:line="399" w:lineRule="auto"/>
        <w:rPr>
          <w:sz w:val="20"/>
          <w:szCs w:val="20"/>
          <w:color w:val="auto"/>
        </w:rPr>
      </w:pPr>
      <w:r>
        <w:rPr>
          <w:rFonts w:ascii="Arial" w:cs="Arial" w:eastAsia="Arial" w:hAnsi="Arial"/>
          <w:sz w:val="17"/>
          <w:szCs w:val="17"/>
          <w:b w:val="1"/>
          <w:bCs w:val="1"/>
          <w:color w:val="auto"/>
        </w:rPr>
        <w:t xml:space="preserve">Year ended December 31, 2004 compared to year ended December 31, 2003 </w:t>
      </w:r>
      <w:r>
        <w:rPr>
          <w:rFonts w:ascii="Arial" w:cs="Arial" w:eastAsia="Arial" w:hAnsi="Arial"/>
          <w:sz w:val="17"/>
          <w:szCs w:val="17"/>
          <w:b w:val="1"/>
          <w:bCs w:val="1"/>
          <w:i w:val="1"/>
          <w:iCs w:val="1"/>
          <w:color w:val="auto"/>
        </w:rPr>
        <w:t>Revenues</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Product sales revenues increased by $25.5 million, or 46%, to $81.0 million for 2004 from $55.5 million for 2003. This increase in product sales revenues was primarily due to a 45% increase in the number of doses delivered. Product sales revenues in 2004 consisted of BioThrax sales to the DoD of $80.6 million and sales to the Canadian government of $360,000. Product sales revenues in 2003 consisted of BioThrax sales to the DoD of $55.2 million and sales to the Canadian government of $270,000.</w:t>
      </w:r>
    </w:p>
    <w:p>
      <w:pPr>
        <w:spacing w:after="0" w:line="99"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Contracts and grant revenues increased to $2.5 million in 2004 from $233,000 in 2003 primarily as a result of additional work that we performed on a project basis for DARPA to evaluate a new vaccine adjuvant for BioThrax.</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i w:val="1"/>
          <w:iCs w:val="1"/>
          <w:color w:val="auto"/>
        </w:rPr>
        <w:t>Cost of product sales</w:t>
      </w:r>
    </w:p>
    <w:p>
      <w:pPr>
        <w:spacing w:after="0" w:line="139"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Cost of product sales increased by $7.8 million, or 35%, to $30.1 million for 2004 from $22.3 million for 2003. This increase was attributable to the delivery of approximately 1.0 million additional doses of BioThrax in 2004. We were able to deliver these additional doses as a result of increasing our manufacturing capacity at our Lansing facility in 2004 by extending the hours of operation of the facility. The increase in the number of doses delivered resulted in additional costs of $3.5 million. Increasing manufacturing capacity resulted in additional costs of $4.3 million, primarily for the training of new personnel. Our increase in manufacturing capacity allowed us to spread our fixed manufacturing costs over a greater number of doses, which resulted in a decrease in the cost of product sales per dose of BioThrax in 2004 compared to 2003.</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Research and development expenses increased by $3.8 million, or 60%, to $10.1 million for 2004 from $6.3 million for 2003. This increase reflects increased expenses of $1.9 million in the biodefense segment and $1.8 million in the commercial segment. The increase in the biodefense segment was attributable to work on the initiation of programs for BioThrax enhancements and consisted primarily of personnel and contract service costs. The increase in the commercial segment was attributable to spending on commercial product candidates acquired from Antex in May 2003. Research and development spending by Antex is not included in our results prior to the acquisition date.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increased by $10.8 million, or 55%, to $30.3 million for 2004 from $19.5 million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2003. Selling, general and administrative expenses related to the biodefense segment increased by $9.5 million to $29.0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 2004 from $19.5 million for 2003. This increase was attributable to growth in corporate staff to support expanding business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activity and increased costs for professional service providers. Selling, general and administrative expenses related to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commercial segment increased by $1.3 million for 2004 from an immaterial amount for 2003 as we hired additional employees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support the newly acquired Antex operations. The overall increase in selling, general and administrative expenses was primarily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attributable to an increase of $7.0 million in general and administrative expenditures as a result of our corporate reorganization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June 2004 and the formation of our headquarters organization, including a non-cash stock-based compensation charge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$4.3 million. In addition, general and administrative expenses increased $1.1 million as a result of our acquisition of assets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Antex. Selling and marketing expense increased to $843,000 for 2004 from an immaterial amount for 2003. This increase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spending resulted from the addition of personnel and outside consulting fees.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Purchased in-process research and development</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2003, we recorded a non-cash charge of $1.8 million associated with our acquisition of assets from Antex. We paid total purchase consideration of $3.4 million in cash. We valued the transaction at $3.8 million after the inclusion of acquisition costs. Of this amount, we identified $300,000 as current assets, $1.7 million as fixed assets and $1.8 million as the value attributable to development programs. Because we determined that the development programs had no future alternative use, we charged the value attributable to the development programs as purchased in-process research and development. We are amortizing this charge for tax purposes over 15 years.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8" w:right="10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i w:val="1"/>
          <w:iCs w:val="1"/>
          <w:color w:val="auto"/>
        </w:rPr>
        <w:t>Settlement of State of Michigan obligation</w:t>
      </w:r>
    </w:p>
    <w:p>
      <w:pPr>
        <w:spacing w:after="0" w:line="139"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In 2004, we recorded a gain of $3.8 million from the satisfaction for less than originally estimated of an obligation to the State of Michigan related to our acquisition of assets from the Michigan Biologic Products Institute in 1998. We have no ongoing obligations to the State of Michigan related to our acquisition of assets from the Michigan Biologic Products Institute. There was no settlement of obligations in 2003.</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139" w:lineRule="exact"/>
        <w:rPr>
          <w:sz w:val="20"/>
          <w:szCs w:val="20"/>
          <w:color w:val="auto"/>
        </w:rPr>
      </w:pPr>
    </w:p>
    <w:p>
      <w:pPr>
        <w:ind w:right="640"/>
        <w:spacing w:after="0" w:line="258" w:lineRule="auto"/>
        <w:rPr>
          <w:sz w:val="20"/>
          <w:szCs w:val="20"/>
          <w:color w:val="auto"/>
        </w:rPr>
      </w:pPr>
      <w:r>
        <w:rPr>
          <w:rFonts w:ascii="Arial" w:cs="Arial" w:eastAsia="Arial" w:hAnsi="Arial"/>
          <w:sz w:val="17"/>
          <w:szCs w:val="17"/>
          <w:color w:val="auto"/>
        </w:rPr>
        <w:t>Total other expense, net, increased to $170,000 for 2004 from $25,000 for 2003. The increase resulted principally from a decrease in other income of $162,000.</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Provision for income taxes increased by $3.9 million to $5.1 million for 2004 from $1.3 million for 2003. The provision for income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taxes for 2004 resulted primarily from our income before provision for income taxes of $16.6 million and an effective annual tax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rate of 31%. The provision for income taxes for 2003 resulted primarily from our income before provision for income taxes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$5.7 million and an effective annual tax rate of 22%. The provision for income taxes also reflects research and development tax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credits of $492,000 for 2004 and $441,000 for 2003 and small amounts of permanent tax differences in each year.</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liquidity</w:t>
      </w:r>
    </w:p>
    <w:p>
      <w:pPr>
        <w:spacing w:after="0" w:line="88"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require cash to meet our operating expenses and for capital expenditures, acquisitions and principal and interest payments on our debt. We have funded our cash requirements from inception through September 30, 2006 principally with a combination of revenues from BioThrax product sales, debt financings and facilities and equipment leases, revenues under our collaboration agreement with Sanofi Pasteur, development funding from government entities and non-government and philanthropic organizations and, to a lesser extent, from the sale of our class B common stock upon exercise of stock options. We have operated profitably for each of the years in the three year period ended December 31, 2005, but incurred a loss in the nine months ended September 30, 2006. As of September 30, 2006, we had cash and cash equivalents of $19.9 million.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88"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following table provides information regarding our cash flows for the years ended December 31, 2003, 2004 and 2005 and the nine months ended September 30, 2005 and September 30, 2006.</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center"/>
              <w:ind w:left="350"/>
              <w:spacing w:after="0"/>
              <w:rPr>
                <w:sz w:val="20"/>
                <w:szCs w:val="20"/>
                <w:color w:val="auto"/>
              </w:rPr>
            </w:pPr>
            <w:r>
              <w:rPr>
                <w:rFonts w:ascii="Arial" w:cs="Arial" w:eastAsia="Arial" w:hAnsi="Arial"/>
                <w:sz w:val="14"/>
                <w:szCs w:val="14"/>
                <w:b w:val="1"/>
                <w:bCs w:val="1"/>
                <w:color w:val="auto"/>
                <w:w w:val="98"/>
              </w:rPr>
              <w:t>Nine months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7"/>
        </w:trPr>
        <w:tc>
          <w:tcPr>
            <w:tcW w:w="396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ind w:left="180"/>
              <w:spacing w:after="0"/>
              <w:rPr>
                <w:sz w:val="20"/>
                <w:szCs w:val="20"/>
                <w:color w:val="auto"/>
              </w:rPr>
            </w:pPr>
            <w:r>
              <w:rPr>
                <w:rFonts w:ascii="Arial" w:cs="Arial" w:eastAsia="Arial" w:hAnsi="Arial"/>
                <w:sz w:val="17"/>
                <w:szCs w:val="17"/>
                <w:color w:val="auto"/>
              </w:rPr>
              <w:t>Operating activities(1)</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6"/>
              <w:spacing w:after="0"/>
              <w:rPr>
                <w:sz w:val="20"/>
                <w:szCs w:val="20"/>
                <w:color w:val="auto"/>
              </w:rPr>
            </w:pPr>
            <w:r>
              <w:rPr>
                <w:rFonts w:ascii="Arial" w:cs="Arial" w:eastAsia="Arial" w:hAnsi="Arial"/>
                <w:sz w:val="17"/>
                <w:szCs w:val="17"/>
                <w:color w:val="auto"/>
                <w:w w:val="99"/>
              </w:rPr>
              <w:t>11,072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36"/>
              <w:spacing w:after="0"/>
              <w:rPr>
                <w:sz w:val="20"/>
                <w:szCs w:val="20"/>
                <w:color w:val="auto"/>
              </w:rPr>
            </w:pPr>
            <w:r>
              <w:rPr>
                <w:rFonts w:ascii="Arial" w:cs="Arial" w:eastAsia="Arial" w:hAnsi="Arial"/>
                <w:sz w:val="17"/>
                <w:szCs w:val="17"/>
                <w:color w:val="auto"/>
              </w:rPr>
              <w:t>9,196</w:t>
            </w:r>
          </w:p>
        </w:tc>
        <w:tc>
          <w:tcPr>
            <w:tcW w:w="800" w:type="dxa"/>
            <w:vAlign w:val="bottom"/>
          </w:tcPr>
          <w:p>
            <w:pPr>
              <w:jc w:val="right"/>
              <w:spacing w:after="0"/>
              <w:rPr>
                <w:sz w:val="20"/>
                <w:szCs w:val="20"/>
                <w:color w:val="auto"/>
              </w:rPr>
            </w:pPr>
            <w:r>
              <w:rPr>
                <w:rFonts w:ascii="Arial" w:cs="Arial" w:eastAsia="Arial" w:hAnsi="Arial"/>
                <w:sz w:val="17"/>
                <w:szCs w:val="17"/>
                <w:color w:val="auto"/>
              </w:rPr>
              <w:t>$41,974</w:t>
            </w:r>
          </w:p>
        </w:tc>
        <w:tc>
          <w:tcPr>
            <w:tcW w:w="220" w:type="dxa"/>
            <w:vAlign w:val="bottom"/>
          </w:tcPr>
          <w:p>
            <w:pPr>
              <w:spacing w:after="0"/>
              <w:rPr>
                <w:sz w:val="17"/>
                <w:szCs w:val="17"/>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7"/>
                <w:szCs w:val="17"/>
                <w:color w:val="auto"/>
              </w:rPr>
              <w:t>$21,581</w:t>
            </w:r>
          </w:p>
        </w:tc>
        <w:tc>
          <w:tcPr>
            <w:tcW w:w="380" w:type="dxa"/>
            <w:vAlign w:val="bottom"/>
          </w:tcPr>
          <w:p>
            <w:pPr>
              <w:jc w:val="center"/>
              <w:ind w:left="199"/>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(8,032)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Investing activities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(7,917)</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(18,175)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(2,317)</w:t>
            </w:r>
          </w:p>
        </w:tc>
        <w:tc>
          <w:tcPr>
            <w:tcW w:w="3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7"/>
                <w:szCs w:val="17"/>
                <w:color w:val="auto"/>
              </w:rPr>
              <w:t>Financing activities</w:t>
            </w:r>
          </w:p>
        </w:tc>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(927)</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8,681</w:t>
            </w: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(6,660)</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(6,574)</w:t>
            </w: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24,385</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Total net cash provided (used)</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2,228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(298)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$12,690</w:t>
            </w:r>
          </w:p>
        </w:tc>
        <w:tc>
          <w:tcPr>
            <w:tcW w:w="380" w:type="dxa"/>
            <w:vAlign w:val="bottom"/>
            <w:shd w:val="clear" w:color="auto" w:fill="CCEEFF"/>
          </w:tcPr>
          <w:p>
            <w:pPr>
              <w:jc w:val="center"/>
              <w:ind w:left="199"/>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4880" w:right="3760" w:hanging="4870"/>
        <w:spacing w:after="0" w:line="725" w:lineRule="auto"/>
        <w:tabs>
          <w:tab w:leader="none" w:pos="311"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Includes the effect of exchange rate changes on cash and cash equivalents.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-127635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77" w:name="page78"/>
    <w:bookmarkEnd w:id="77"/>
    <w:p>
      <w:pPr>
        <w:ind w:right="20"/>
        <w:spacing w:after="0" w:line="243" w:lineRule="auto"/>
        <w:rPr>
          <w:sz w:val="20"/>
          <w:szCs w:val="20"/>
          <w:color w:val="auto"/>
        </w:rPr>
      </w:pPr>
      <w:r>
        <w:rPr>
          <w:rFonts w:ascii="Arial" w:cs="Arial" w:eastAsia="Arial" w:hAnsi="Arial"/>
          <w:sz w:val="17"/>
          <w:szCs w:val="17"/>
          <w:color w:val="auto"/>
        </w:rPr>
        <w:t>Net cash used in operating activities of $8.0 million in the nine months ended September 30, 2006 resulted principally from our net loss of $3.3 million, an increase in inventories of $11.6 million, reflecting the value of work in process for BioThrax lots being manufactured or awaiting delivery, and a non-cash benefit from income taxes of $4.9 million, reflecting our net loss before provision for income taxes for the period, offset by an increase in accounts payable of $6.1 million related to expenses incurred but unpaid at September 30, 2006 and an increase in deferred revenue of $4.6 million related to amounts billed under our contract with the DoD and deferral of a portion of the upfront license fee from Sanofi Pasteur. The net loss for the period and the increase in inventory are primarily related to the timing of our fulfilling orders from the DoD and HHS. The increase in deferred revenue primarily reflects progress billings to the DoD, pursuant to our contract, for product not yet released or shipped and, therefore, not recorded as revenue during the period.</w:t>
      </w:r>
    </w:p>
    <w:p>
      <w:pPr>
        <w:spacing w:after="0" w:line="5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Net cash provided by operating activities of $21.6 million in the nine months ended September 30, 2005 resulted principally from our net income of $6.3 million, a non-cash charge for purchased in-process research and development relating to the Microscience acquisition, which reduced net income by $26.6 million, and a reduction in accounts receivable of $16.3 million as a result of the collection of amounts due from the DoD during 2005 for invoices outstanding at the end of 2004 for progress in the manufacture of BioThrax lots, offset by a reduction in deferred revenue of $10.9 million, reflecting the recognition of revenue related to the delivery to the DoD of BioThrax lots for which we had previously invoiced the DoD for progress payments and been paid, and an increase in deferred tax assets of $10.3 million, reflecting a deferred tax asset recorded to reflect the timing differences between the book charge and the tax deferral of expense related to the purchased in-process research and development expense related to the Microscience acquisition.</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Net cash provided by operating activities of $42.3 million in 2005 resulted principally from our net income of $15.8 million, a non-cash charge for purchased in-process research and development related to the Microscience acquisition, which reduced net income by $26.6 million, and a reduction of accounts receivable of $ 16.1 million as a result of the collection of amounts due from the DoD during 2005 for invoices outstanding at the end of 2004 for progress in the manufacture of BioThrax lots, offset by a reduction of deferred revenue of $10.9 million, reflecting the delivery to the DoD in the first quarter of 2005 of BioThrax lots for which we had previously invoiced the DoD for progress payments and been paid and an increase in deferred tax assets of $11.0 million, reflecting a deferred tax asset recorded to reflect the timing differences between the book charge and the tax deferral of expense related to the purchased in-process research and development expense related to the Microscience acquisition.</w:t>
      </w:r>
    </w:p>
    <w:p>
      <w:pPr>
        <w:spacing w:after="0" w:line="302"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Net cash provided by operating activities of $9.2 million in 2004 resulted principally from our net income of $11.5 million, a non-cash stock based compensation charge that we incurred as a result of our issuance of new stock options in our corporate reorganization in June 2004, which reduced net income by $4.3 million, an increase in income taxes payable of $ 5.8 million related to the timing of payment of taxes and related deferred tax assets, and an increase in deferred revenue of $3.9 million, reflecting invoices to and payments from the DoD for progress in the manufacture of BioThrax lots, offset by an increase in accounts receivable of $15.7 million, reflecting invoices for amounts due from the DoD for progress in the manufacture of BioThrax lots, and a one-time non-cash gain of $3.8 million resulting from the satisfaction of an obligation to the State of Michigan for less than originally estimated.</w:t>
      </w:r>
    </w:p>
    <w:p>
      <w:pPr>
        <w:spacing w:after="0" w:line="106"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color w:val="auto"/>
        </w:rPr>
        <w:t>Net cash provided by operating activities of $ 11.1 million in 2003 resulted principally from our net income of $4.5 million and an increase of $11.9 million in deferred revenue reflecting invoices to and payments from the DoD for progress in the manufacture of BioThrax lots, offset by an increase in inventories of $4.7 million reflecting the timing of deliveries to the DoD.</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78" w:name="page79"/>
    <w:bookmarkEnd w:id="78"/>
    <w:p>
      <w:pPr>
        <w:ind w:right="60"/>
        <w:spacing w:after="0" w:line="243" w:lineRule="auto"/>
        <w:rPr>
          <w:sz w:val="20"/>
          <w:szCs w:val="20"/>
          <w:color w:val="auto"/>
        </w:rPr>
      </w:pPr>
      <w:r>
        <w:rPr>
          <w:rFonts w:ascii="Arial" w:cs="Arial" w:eastAsia="Arial" w:hAnsi="Arial"/>
          <w:sz w:val="17"/>
          <w:szCs w:val="17"/>
          <w:color w:val="auto"/>
        </w:rPr>
        <w:t>Net cash used in investing activities in the nine months ended September 30, 2006 and 2005 and in 2005, 2004 and 2003 resulted principally from the purchase of property, plant and equipment. Capital expenditures in the nine months ended September 30, 2006 relate primarily to costs for construction of our new building in Lansing, Michigan and the acquisition of our second facility in Frederick, Maryland. Capital expenditures in 2005 were primarily attributable to investments in information technology upgrades and miscellaneous facility enhancements. Capital expenditures in 2004 include infrastructure investments of $4.7 million, $3.8 million for an enterprise resource planning system and $8.5 million for the purchase of one of our facilities in Frederick, Maryland. Capital expenditures in 2003 include infrastructure investments in our Lansing facilities. Net cash used in investing activities in 2003 also includes cash of $3.8 million used for the acquisition of assets from Antex.</w:t>
      </w:r>
    </w:p>
    <w:p>
      <w:pPr>
        <w:spacing w:after="0" w:line="10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Net cash provided by financing activities of $24.4 million in the nine months ended September 30, 2006 resulted primarily from proceeds from notes payable related to the financing of the purchase of our Frederick facility in May 2006 and the financing of a portion of the costs related to the construction of our new building in Lansing. Net cash used in financing activities of $6.6 million in the nine months ended September 30, 2005 resulted principally from the payment of a special dividend from a portion of the proceeds of a litigation settlement and the repayment of notes payable to employees and the repurchase of class B common stock.</w:t>
      </w:r>
    </w:p>
    <w:p>
      <w:pPr>
        <w:spacing w:after="0" w:line="303"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Net cash used in financing activities of $6.7 million in 2005 resulted principally from the payment of a special dividend of $5.4 million from a portion of the proceeds of a litigation settlement and the repayment of notes payable to employees.</w:t>
      </w:r>
    </w:p>
    <w:p>
      <w:pPr>
        <w:spacing w:after="0" w:line="9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Net cash provided by financing activities of $8.7 million in 2004 resulted principally from an increase in notes payable as a result of $11.0 million of total debt incurred to finance the purchase of one of our facilities in Frederick, Maryland and to finance the purchase of an enterprise resource planning system, offset by the repayment of non-recurring royalty and product supply obligations to the State of Michigan of $2.4 million.</w:t>
      </w:r>
    </w:p>
    <w:p>
      <w:pPr>
        <w:spacing w:after="0" w:line="99"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Net cash used in financing activities of $927,000 in 2003 resulted primarily from the repayment of royalty and product supply obligations to the State of Michigan.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contractual obligations at September 30, 2006.</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0" w:type="dxa"/>
            <w:vAlign w:val="bottom"/>
          </w:tcPr>
          <w:p>
            <w:pPr>
              <w:spacing w:after="0"/>
              <w:rPr>
                <w:sz w:val="1"/>
                <w:szCs w:val="1"/>
                <w:color w:val="auto"/>
              </w:rPr>
            </w:pPr>
          </w:p>
        </w:tc>
      </w:tr>
      <w:tr>
        <w:trPr>
          <w:trHeight w:val="163"/>
        </w:trPr>
        <w:tc>
          <w:tcPr>
            <w:tcW w:w="30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2007</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After 2010</w:t>
            </w:r>
          </w:p>
        </w:tc>
        <w:tc>
          <w:tcPr>
            <w:tcW w:w="0" w:type="dxa"/>
            <w:vAlign w:val="bottom"/>
          </w:tcPr>
          <w:p>
            <w:pPr>
              <w:spacing w:after="0"/>
              <w:rPr>
                <w:sz w:val="1"/>
                <w:szCs w:val="1"/>
                <w:color w:val="auto"/>
              </w:rPr>
            </w:pPr>
          </w:p>
        </w:tc>
      </w:tr>
      <w:tr>
        <w:trPr>
          <w:trHeight w:val="32"/>
        </w:trPr>
        <w:tc>
          <w:tcPr>
            <w:tcW w:w="3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Contractual obligations:</w:t>
            </w: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Pr>
          <w:p>
            <w:pPr>
              <w:ind w:left="160"/>
              <w:spacing w:after="0"/>
              <w:rPr>
                <w:sz w:val="20"/>
                <w:szCs w:val="20"/>
                <w:color w:val="auto"/>
              </w:rPr>
            </w:pPr>
            <w:r>
              <w:rPr>
                <w:rFonts w:ascii="Arial" w:cs="Arial" w:eastAsia="Arial" w:hAnsi="Arial"/>
                <w:sz w:val="16"/>
                <w:szCs w:val="16"/>
                <w:color w:val="auto"/>
              </w:rPr>
              <w:t>Short and long-term debt(1)</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49,707</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3,504</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5,627</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5,297</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rPr>
              <w:t>5,287</w:t>
            </w:r>
          </w:p>
        </w:tc>
        <w:tc>
          <w:tcPr>
            <w:tcW w:w="2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
              <w:spacing w:after="0"/>
              <w:rPr>
                <w:sz w:val="20"/>
                <w:szCs w:val="20"/>
                <w:color w:val="auto"/>
              </w:rPr>
            </w:pPr>
            <w:r>
              <w:rPr>
                <w:rFonts w:ascii="Arial" w:cs="Arial" w:eastAsia="Arial" w:hAnsi="Arial"/>
                <w:sz w:val="16"/>
                <w:szCs w:val="16"/>
                <w:color w:val="auto"/>
              </w:rPr>
              <w:t>5,286</w:t>
            </w:r>
          </w:p>
        </w:tc>
        <w:tc>
          <w:tcPr>
            <w:tcW w:w="3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24,707</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obligations</w:t>
            </w: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15,919</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1,699</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1,801</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686</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647</w:t>
            </w: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10,664</w:t>
            </w:r>
          </w:p>
        </w:tc>
        <w:tc>
          <w:tcPr>
            <w:tcW w:w="0" w:type="dxa"/>
            <w:vAlign w:val="bottom"/>
          </w:tcPr>
          <w:p>
            <w:pPr>
              <w:spacing w:after="0"/>
              <w:rPr>
                <w:sz w:val="1"/>
                <w:szCs w:val="1"/>
                <w:color w:val="auto"/>
              </w:rPr>
            </w:pPr>
          </w:p>
        </w:tc>
      </w:tr>
      <w:tr>
        <w:trPr>
          <w:trHeight w:val="203"/>
        </w:trPr>
        <w:tc>
          <w:tcPr>
            <w:tcW w:w="3000" w:type="dxa"/>
            <w:vAlign w:val="bottom"/>
          </w:tcPr>
          <w:p>
            <w:pPr>
              <w:ind w:left="160"/>
              <w:spacing w:after="0"/>
              <w:rPr>
                <w:sz w:val="20"/>
                <w:szCs w:val="20"/>
                <w:color w:val="auto"/>
              </w:rPr>
            </w:pPr>
            <w:r>
              <w:rPr>
                <w:rFonts w:ascii="Arial" w:cs="Arial" w:eastAsia="Arial" w:hAnsi="Arial"/>
                <w:sz w:val="16"/>
                <w:szCs w:val="16"/>
                <w:color w:val="auto"/>
              </w:rPr>
              <w:t>Contractual settlement liabilities</w:t>
            </w: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000" w:type="dxa"/>
            <w:vAlign w:val="bottom"/>
            <w:shd w:val="clear" w:color="auto" w:fill="CCEEFF"/>
          </w:tcPr>
          <w:p>
            <w:pPr>
              <w:ind w:left="300"/>
              <w:spacing w:after="0"/>
              <w:rPr>
                <w:sz w:val="20"/>
                <w:szCs w:val="20"/>
                <w:color w:val="auto"/>
              </w:rPr>
            </w:pPr>
            <w:r>
              <w:rPr>
                <w:rFonts w:ascii="Arial" w:cs="Arial" w:eastAsia="Arial" w:hAnsi="Arial"/>
                <w:sz w:val="16"/>
                <w:szCs w:val="16"/>
                <w:b w:val="1"/>
                <w:bCs w:val="1"/>
                <w:color w:val="auto"/>
              </w:rPr>
              <w:t>Total contractual obligations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65,826</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7,426</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7,098</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5,973</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5,933</w:t>
            </w: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35,371</w:t>
            </w:r>
          </w:p>
        </w:tc>
        <w:tc>
          <w:tcPr>
            <w:tcW w:w="0" w:type="dxa"/>
            <w:vAlign w:val="bottom"/>
          </w:tcPr>
          <w:p>
            <w:pPr>
              <w:spacing w:after="0"/>
              <w:rPr>
                <w:sz w:val="1"/>
                <w:szCs w:val="1"/>
                <w:color w:val="auto"/>
              </w:rPr>
            </w:pPr>
          </w:p>
        </w:tc>
      </w:tr>
    </w:tbl>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(1) Includes scheduled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6311265" cy="1244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11265" cy="124460"/>
                    </a:xfrm>
                    <a:prstGeom prst="rect">
                      <a:avLst/>
                    </a:prstGeom>
                    <a:noFill/>
                  </pic:spPr>
                </pic:pic>
              </a:graphicData>
            </a:graphic>
          </wp:anchor>
        </w:drawing>
      </w:r>
    </w:p>
    <w:p>
      <w:pPr>
        <w:spacing w:after="0" w:line="9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preceding table excludes contingent contractual payments that we may become obligated to make upon achievement of specified research, development and commercialization milestones and contingent contractual royalty payments. The amount of contingent contractual milestone payments that we may become obligated to make is variable based on the actual achievement and timing of the applicable milestones and the characteristics of any products or product candidates that are developed, including</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79" w:name="page80"/>
    <w:bookmarkEnd w:id="79"/>
    <w:p>
      <w:pPr>
        <w:ind w:right="160"/>
        <w:spacing w:after="0" w:line="247" w:lineRule="auto"/>
        <w:rPr>
          <w:sz w:val="20"/>
          <w:szCs w:val="20"/>
          <w:color w:val="auto"/>
        </w:rPr>
      </w:pPr>
      <w:r>
        <w:rPr>
          <w:rFonts w:ascii="Arial" w:cs="Arial" w:eastAsia="Arial" w:hAnsi="Arial"/>
          <w:sz w:val="17"/>
          <w:szCs w:val="17"/>
          <w:color w:val="auto"/>
        </w:rPr>
        <w:t>factors such as number of products or product candidates developed, type and number of components of each product or product candidate, ownership of the various components and the specific markets affected. Based on our current development plans, we estimate that the maximum amount of these contingent contractual milestone payments under our existing contracts would be approximately $11 million. We are not obligated to pay any minimum royalties under our existing contracts.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financing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2006, we had $36.5 million principal amount of debt outstanding, comprised primarily of the following:</w:t>
      </w:r>
    </w:p>
    <w:p>
      <w:pPr>
        <w:spacing w:after="0" w:line="119" w:lineRule="exact"/>
        <w:rPr>
          <w:sz w:val="20"/>
          <w:szCs w:val="20"/>
          <w:color w:val="auto"/>
        </w:rPr>
      </w:pPr>
    </w:p>
    <w:p>
      <w:pPr>
        <w:ind w:left="220" w:right="80" w:hanging="210"/>
        <w:spacing w:after="0" w:line="258"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$2.5 million outstanding under a forgivable loan from the Department of Business and Economic Development of the State of Maryland used to finance eligible costs incurred to purchase one of our facilities in Frederick, Maryland;</w:t>
      </w:r>
    </w:p>
    <w:p>
      <w:pPr>
        <w:spacing w:after="0" w:line="77" w:lineRule="exact"/>
        <w:rPr>
          <w:rFonts w:ascii="Arial" w:cs="Arial" w:eastAsia="Arial" w:hAnsi="Arial"/>
          <w:sz w:val="17"/>
          <w:szCs w:val="17"/>
          <w:color w:val="auto"/>
        </w:rPr>
      </w:pPr>
    </w:p>
    <w:p>
      <w:pPr>
        <w:ind w:left="220" w:right="220" w:hanging="210"/>
        <w:spacing w:after="0" w:line="258"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$7.0 million outstanding under a mortgage loan from Mercantile Potomac Bank used to finance the remaining portion of the purchase price for the Frederick facility;</w:t>
      </w:r>
    </w:p>
    <w:p>
      <w:pPr>
        <w:spacing w:after="0" w:line="77"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$8.4 million outstanding under a mortgage loan from HSBC Realty Credit Corporation used to finance the purchase price for a second facility on the Frederick site;</w:t>
      </w:r>
    </w:p>
    <w:p>
      <w:pPr>
        <w:spacing w:after="0" w:line="77" w:lineRule="exact"/>
        <w:rPr>
          <w:rFonts w:ascii="Arial" w:cs="Arial" w:eastAsia="Arial" w:hAnsi="Arial"/>
          <w:sz w:val="17"/>
          <w:szCs w:val="17"/>
          <w:color w:val="auto"/>
        </w:rPr>
      </w:pPr>
    </w:p>
    <w:p>
      <w:pPr>
        <w:ind w:left="220" w:right="500" w:hanging="210"/>
        <w:spacing w:after="0" w:line="258"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$1.3 million outstanding under a term loan from Fifth Third Bank used to finance the purchase of an enterprise resource planning system;</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$2.2 million outstanding under a $10.0 million revolving line of credit with Fifth Third Bank;</w:t>
      </w:r>
    </w:p>
    <w:p>
      <w:pPr>
        <w:spacing w:after="0" w:line="105"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$10.0 million outstanding under a term loan from HSBC Realty Credit Corporation used to finance a portion of the costs of our facility expansion in Lansing, Michigan; 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$5.0 million outstanding under a $5.0 million revolving line of credit with HSBC Realty Credit Corporation.</w:t>
      </w:r>
    </w:p>
    <w:p>
      <w:pPr>
        <w:spacing w:after="0" w:line="119"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We can borrow under the line of credit with Fifth Third Bank through November 2006 and under the line of credit with HSBC Realty Credit Corporation through October 2007.</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Some of these debt instruments contain financial and operating covenants. In particular:</w:t>
      </w:r>
    </w:p>
    <w:p>
      <w:pPr>
        <w:spacing w:after="0" w:line="119" w:lineRule="exact"/>
        <w:rPr>
          <w:sz w:val="20"/>
          <w:szCs w:val="20"/>
          <w:color w:val="auto"/>
        </w:rPr>
      </w:pPr>
    </w:p>
    <w:p>
      <w:pPr>
        <w:ind w:left="220" w:right="240" w:hanging="210"/>
        <w:spacing w:after="0" w:line="241" w:lineRule="auto"/>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Under our mortgage loan from Mercantile Potomac Bank for our Frederick facility, we are required to maintain at all times a minimum tangible net worth of not less than $5.0 million. In addition, we are required to maintain at all times a ratio of earnings before interest, taxes, depreciation and amortization to the sum of current obligations under capital leases and principal obligations and interest expenses for borrowed money, in each case due and payable within the following</w:t>
      </w:r>
    </w:p>
    <w:p>
      <w:pPr>
        <w:ind w:left="220"/>
        <w:spacing w:after="0"/>
        <w:rPr>
          <w:rFonts w:ascii="Arial" w:cs="Arial" w:eastAsia="Arial" w:hAnsi="Arial"/>
          <w:sz w:val="17"/>
          <w:szCs w:val="17"/>
          <w:color w:val="auto"/>
        </w:rPr>
      </w:pPr>
      <w:r>
        <w:rPr>
          <w:rFonts w:ascii="Arial" w:cs="Arial" w:eastAsia="Arial" w:hAnsi="Arial"/>
          <w:sz w:val="17"/>
          <w:szCs w:val="17"/>
          <w:color w:val="auto"/>
        </w:rPr>
        <w:t>12 months, of not less than 1.1 to 1.0.</w:t>
      </w:r>
    </w:p>
    <w:p>
      <w:pPr>
        <w:spacing w:after="0" w:line="105" w:lineRule="exact"/>
        <w:rPr>
          <w:rFonts w:ascii="Arial" w:cs="Arial" w:eastAsia="Arial" w:hAnsi="Arial"/>
          <w:sz w:val="17"/>
          <w:szCs w:val="17"/>
          <w:color w:val="auto"/>
        </w:rPr>
      </w:pPr>
    </w:p>
    <w:p>
      <w:pPr>
        <w:ind w:left="220" w:right="260" w:hanging="210"/>
        <w:spacing w:after="0" w:line="247" w:lineRule="auto"/>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Under our forgivable loan from the State of Maryland, we are not required to repay the principal amount of the loan if beginning December 31, 2009 and through 2012 we maintain a specified number of employees at the Frederick site, by December 31, 2009 we have invested at least $42.9 million in total funds toward financing the purchase of the buildings on the site and for related improvements and operation of the facility and we occupy the facility through 2012.</w:t>
      </w:r>
    </w:p>
    <w:p>
      <w:pPr>
        <w:spacing w:after="0" w:line="85" w:lineRule="exact"/>
        <w:rPr>
          <w:rFonts w:ascii="Arial" w:cs="Arial" w:eastAsia="Arial" w:hAnsi="Arial"/>
          <w:sz w:val="17"/>
          <w:szCs w:val="17"/>
          <w:color w:val="auto"/>
        </w:rPr>
      </w:pPr>
    </w:p>
    <w:p>
      <w:pPr>
        <w:ind w:left="220" w:right="340" w:hanging="210"/>
        <w:spacing w:after="0" w:line="247" w:lineRule="auto"/>
        <w:tabs>
          <w:tab w:leader="none" w:pos="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Under our term loan and revolving line of credit with HSBC Realty Credit Corporation, we are required to maintain on an annual basis a minimum tangible net worth of not less than the sum of 85% of our tangible net worth for the most recently completed fiscal year plus 25% of current net operating profit after taxes. In addition, we are required to maintain on a quarterly basis a ratio of earnings before</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80" w:name="page81"/>
    <w:bookmarkEnd w:id="80"/>
    <w:p>
      <w:pPr>
        <w:ind w:left="220" w:right="120"/>
        <w:spacing w:after="0" w:line="250" w:lineRule="auto"/>
        <w:rPr>
          <w:sz w:val="20"/>
          <w:szCs w:val="20"/>
          <w:color w:val="auto"/>
        </w:rPr>
      </w:pPr>
      <w:r>
        <w:rPr>
          <w:rFonts w:ascii="Arial" w:cs="Arial" w:eastAsia="Arial" w:hAnsi="Arial"/>
          <w:sz w:val="17"/>
          <w:szCs w:val="17"/>
          <w:color w:val="auto"/>
        </w:rPr>
        <w:t>interest, taxes, depreciation and amortization for the most recent four quarters to the sum of current obligations under capital leases and principal obligations and interest expenses for borrowed money, in each case due and payable for the following four quarters, of not less than 1.25 to 1.00.</w:t>
      </w:r>
    </w:p>
    <w:p>
      <w:pPr>
        <w:spacing w:after="0" w:line="96" w:lineRule="exact"/>
        <w:rPr>
          <w:sz w:val="20"/>
          <w:szCs w:val="20"/>
          <w:color w:val="auto"/>
        </w:rPr>
      </w:pPr>
    </w:p>
    <w:p>
      <w:pPr>
        <w:ind w:left="220" w:right="240" w:hanging="210"/>
        <w:spacing w:after="0" w:line="258" w:lineRule="auto"/>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Under our line of credit with Fifth Third Bank, our wholly owned subsidiary, Emergent BioDefense Operations, is required to maintain at all times a ratio of total liabilities to tangible net worth of not more than 2.5 to 1.0.</w:t>
      </w:r>
    </w:p>
    <w:p>
      <w:pPr>
        <w:spacing w:after="0" w:line="9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debt instruments also contain negative covenants restricting our activities. Our term loan and revolving line of credit with HSBC Realty Credit Corporation limit the ability of Emergent BioDefense Operations to incur indebtedness and liens, sell assets, make loans, advances or guarantees, enter into mergers or similar transactions and enter into transactions with affiliates. Our term loan and revolving line of credit with HSBC Realty Credit Corporation also limit our ability to incur indebtedness and liens, enter into mergers or similar transactions and enter into transactions with affiliates. Our line of credit with Fifth Third Bank limits the ability of Emergent BioDefense Operations to incur indebtedness and liens, sell assets, make loans, advances or guarantees, enter into mergers or similar transactions, enter into transactions with affiliates and amend the terms of any government contract.</w:t>
      </w:r>
    </w:p>
    <w:p>
      <w:pPr>
        <w:spacing w:after="0" w:line="30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facilities and software and other equipment that we purchased with the proceeds of our loans from Mercantile Potomac Bank, the State of Maryland, HSBC Realty Credit Corporation and Fifth Third Bank serve as collateral for these loans. Our line of credit with Fifth Third Bank is secured by accounts receivable under our DoD and HHS contracts. Our term loan and revolving line of credit with HSBC Realty Credit Corporation are secured by substantially all of Emergent BioDefense Operations’ assets, other than accounts receivable under our DoD and HHS contracts. The covenants under our existing debt instruments and the pledge of our existing assets as collateral limit our ability to obtain additional debt financing.</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Under our mortgage loan from Mercantile Potomac Bank, we are required to make monthly principal payments beginning in November 2006. A residual principal repayment of approximately $5.0 million is due upon maturity in October 2011. Interest is payable monthly and accrues at an annual rate of 6.625% through October 2009. In October 2009, the interest rate is scheduled to be adjusted to a fixed annual rate equal to 3.20% over the yield on U.S. government securities adjusted to a constant maturity of two years.</w:t>
      </w:r>
    </w:p>
    <w:p>
      <w:pPr>
        <w:spacing w:after="0" w:line="10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Under our mortgage loan from HSBC Realty Credit Corporation, we are required to make monthly principal payments. A residual principal repayment of approximately $7.5 million is due upon maturity in April 2011. Interest is payable monthly and accrues at an annual rate equal to LIBOR plus 3.00%.</w:t>
      </w:r>
    </w:p>
    <w:p>
      <w:pPr>
        <w:spacing w:after="0" w:line="96"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Under our term loan from Fifth Third Bank, we make monthly principal payments through maturity in September 2007. Interest is payable monthly and accrues at an annual rate equal to 0.375% less than the prime rate of interest established from time to time by Fifth Third Bank.</w:t>
      </w:r>
    </w:p>
    <w:p>
      <w:pPr>
        <w:spacing w:after="0" w:line="96"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Under our revolving line of credit with Fifth Third Bank, any outstanding principal is due upon maturity in November 2006. Interest is payable monthly and accrues at an annual rate equal to 0.375% less than the prime rate of interest established from time to time by Fifth Third Bank.</w:t>
      </w:r>
    </w:p>
    <w:p>
      <w:pPr>
        <w:spacing w:after="0" w:line="96" w:lineRule="exact"/>
        <w:rPr>
          <w:sz w:val="20"/>
          <w:szCs w:val="20"/>
          <w:color w:val="auto"/>
        </w:rPr>
      </w:pPr>
    </w:p>
    <w:p>
      <w:pPr>
        <w:jc w:val="both"/>
        <w:ind w:right="260"/>
        <w:spacing w:after="0" w:line="245" w:lineRule="auto"/>
        <w:rPr>
          <w:sz w:val="20"/>
          <w:szCs w:val="20"/>
          <w:color w:val="auto"/>
        </w:rPr>
      </w:pPr>
      <w:r>
        <w:rPr>
          <w:rFonts w:ascii="Arial" w:cs="Arial" w:eastAsia="Arial" w:hAnsi="Arial"/>
          <w:sz w:val="17"/>
          <w:szCs w:val="17"/>
          <w:color w:val="auto"/>
        </w:rPr>
        <w:t>Under our term loan with HSBC Realty Credit Corporation, we are required to make monthly principal payments beginning in April 2007. A residual principal payment of approximately $4.0 million is due upon maturity in August 2011. Upon our request, the term loan is subject to an extension term in the sole discretion of HSBC Realty Credit Corporation for five additional years until August 2016 for an extension fee of 1.00% of the principal balance of the loan. If the term of the loan were extended, we would be required to continue to make monthly principal payments through maturity in August 2016 in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81" w:name="page82"/>
    <w:bookmarkEnd w:id="81"/>
    <w:p>
      <w:pPr>
        <w:ind w:right="180"/>
        <w:spacing w:after="0" w:line="258" w:lineRule="auto"/>
        <w:rPr>
          <w:sz w:val="20"/>
          <w:szCs w:val="20"/>
          <w:color w:val="auto"/>
        </w:rPr>
      </w:pPr>
      <w:r>
        <w:rPr>
          <w:rFonts w:ascii="Arial" w:cs="Arial" w:eastAsia="Arial" w:hAnsi="Arial"/>
          <w:sz w:val="17"/>
          <w:szCs w:val="17"/>
          <w:color w:val="auto"/>
        </w:rPr>
        <w:t>lieu of the residual principal payment otherwise due in August 2011. Interest is payable monthly and accrues at an annual rate equal to LIBOR plus 3.75%.</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our revolving line of credit with HSBC Realty Credit Corporation, we are not required to repay outstanding principal until October 2007. In October 2007, the outstanding principal under the revolving line of credit will convert to a term loan with required monthly principal payments through maturity in August 2011. Interest is payable monthly and accrues at an annual rate equal to LIBOR plus 3.75%. We also are required to pay a fee on a quarterly basis equal to 0.50% of the average daily difference between $5.0 million and the amount outstanding under the revolving line of credit. As of September 30, 2006, $5.0 million was outstanding under the revolving line of credit.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benefits</w:t>
      </w:r>
    </w:p>
    <w:p>
      <w:pPr>
        <w:spacing w:after="0" w:line="139" w:lineRule="exact"/>
        <w:rPr>
          <w:sz w:val="20"/>
          <w:szCs w:val="20"/>
          <w:color w:val="auto"/>
        </w:rPr>
      </w:pPr>
    </w:p>
    <w:p>
      <w:pPr>
        <w:jc w:val="both"/>
        <w:ind w:right="60"/>
        <w:spacing w:after="0" w:line="247" w:lineRule="auto"/>
        <w:rPr>
          <w:sz w:val="20"/>
          <w:szCs w:val="20"/>
          <w:color w:val="auto"/>
        </w:rPr>
      </w:pPr>
      <w:r>
        <w:rPr>
          <w:rFonts w:ascii="Arial" w:cs="Arial" w:eastAsia="Arial" w:hAnsi="Arial"/>
          <w:sz w:val="17"/>
          <w:szCs w:val="17"/>
          <w:color w:val="auto"/>
        </w:rPr>
        <w:t>In connection with our facility expansion in Lansing, the State of Michigan and the City of Lansing have provided us a variety of tax credits and abatements. We estimate that the total value of these tax benefits may be up to $18.5 million over a period of up to 15 years. These tax benefits are based on our $75 million planned additional investment in our Lansing facilities. In addition, we must maintain a specified number of employees in Lansing to continue to qualify for these tax benefits.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3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believe that the net proceeds from this offering, together with our existing cash and cash equivalents, revenues from BioThrax product sales and other committed sources of funds, will be sufficient to enable us to fund our anticipated operating expenses and capital expenditure and debt service requirements for at least the next 24 months. We have based this estimate on assumptions that may prove to be wrong. We expect to continue to fund a significant portion of our development and commercialization costs for our product candidates with internally generated funds from sales of BioThrax. There are numerous risks and uncertainties associated with BioThrax product sales and with the development and commercialization of our product candidates. Our business plan also contemplates that we will raise $10 million to $20 million of additional external debt financing to fund our facility expansion in Lansing and to provide additional financial flexibility. In addition to purchase obligations and orders under our contracts with the DoD and HHS for BioThrax sales, our only committed external sources of funds are remaining borrowing availability under our revolving lines of credit with HSBC Realty Credit Corporation and Fifth Third Bank, development funding under our collaboration agreement with Sanofi Pasteur, funding from NIAID for animal efficacy studies of our anthrax immune globulin candidate and funding from the Wellcome Trust for our Phase II clinical trial of our typhoid vaccine candidate in Vietnam. Our ability to borrow additional amounts under our loan agreements is subject to our satisfaction of specified conditions. Our future capital requirements will depend on many factors, including:</w:t>
      </w:r>
    </w:p>
    <w:p>
      <w:pPr>
        <w:spacing w:after="0" w:line="108" w:lineRule="exact"/>
        <w:rPr>
          <w:sz w:val="20"/>
          <w:szCs w:val="20"/>
          <w:color w:val="auto"/>
        </w:rPr>
      </w:pPr>
    </w:p>
    <w:p>
      <w:pPr>
        <w:ind w:left="220" w:hanging="210"/>
        <w:spacing w:after="0"/>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level and timing of BioThrax product sales and cost of product sales;</w:t>
      </w:r>
    </w:p>
    <w:p>
      <w:pPr>
        <w:spacing w:after="0" w:line="105" w:lineRule="exact"/>
        <w:rPr>
          <w:rFonts w:ascii="Arial" w:cs="Arial" w:eastAsia="Arial" w:hAnsi="Arial"/>
          <w:sz w:val="17"/>
          <w:szCs w:val="17"/>
          <w:color w:val="auto"/>
        </w:rPr>
      </w:pPr>
    </w:p>
    <w:p>
      <w:pPr>
        <w:ind w:left="220" w:right="160" w:hanging="210"/>
        <w:spacing w:after="0" w:line="258" w:lineRule="auto"/>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timing of, and the costs involved in, constructing our new manufacturing facility in Lansing, Michigan and the build out of our manufacturing facilities in Frederick, Maryland;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scope, progress, results and costs of our preclinical and clinical development activities;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number of, and development requirements for, other product candidates that we may pursue;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of commercialization activities, including product marketing, sales and distribution;</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82" w:name="page83"/>
    <w:bookmarkEnd w:id="82"/>
    <w:p>
      <w:pPr>
        <w:ind w:left="220" w:right="280" w:hanging="210"/>
        <w:spacing w:after="0" w:line="258" w:lineRule="auto"/>
        <w:tabs>
          <w:tab w:leader="none" w:pos="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and enforcing patent claims and other patent-related costs, including litigation costs and the results of such litigation;</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obtain development funding from government entities and non-government and philanthropic organizations;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 such as our collaboration with Sanofi Pasteur.</w:t>
      </w:r>
    </w:p>
    <w:p>
      <w:pPr>
        <w:spacing w:after="0" w:line="11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may require additional sources of funds for future acquisitions that we may make or, depending on the size of the obligation, to meet balloon payments upon maturity of our current borrowings. To the extent our capital resources are insufficient to meet our future capital requirements, we will need to finance our cash needs through public or private equity offerings, debt financings or corporate collaboration and licensing arrangements.</w:t>
      </w:r>
    </w:p>
    <w:p>
      <w:pPr>
        <w:spacing w:after="0" w:line="9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Additional equity or debt financing, grants, or corporate collaboration and licensing arrangements, may not be available on acceptable terms, if at all. If adequate funds are not available, we may be required to delay, reduce the scope of or eliminate our research and development programs or reduce our planned commercialization efforts.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Quantitative and qualitative disclosures about market risk</w:t>
      </w:r>
    </w:p>
    <w:p>
      <w:pPr>
        <w:spacing w:after="0" w:line="14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Our exposure to market risk is currently confined to our cash and cash equivalents and restricted cash that have maturities of less than three months. We currently do not hedge interest rate exposure. We have not used derivative financial instruments for speculation or trading purposes. Because of the short-term maturities of our cash and cash equivalents, we do not believe that an increase in market rates would have any significant impact on the realized value of our investments, but may increase the interest expense associated with our debt.</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Effects of inflation</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most liquid assets are cash, cash equivalents and short-term investments. Because of their liquidity, these assets are not directly affected by inflation. We also believe that we have intangible assets in the value of our intellectual property. In accordance with generally accepted accounting principles, we have not capitalized the value of this intellectual property on our balance sheet. Due to the nature of this intellectual property, we believe that these intangible assets are not affected by inflation. Because we intend to retain and continue to use our equipment, furniture and fixtures and leasehold improvements, we believe that the incremental inflation related to replacement costs of such items will not materially affect our operations. However, the rate of inflation affects our expenses, such as those for employee compensation and contract services, which could increase our level of expenses and the rate at which we use our resources.</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8" w:right="1079" w:bottom="1440" w:gutter="0" w:footer="0" w:header="0"/>
        </w:sectPr>
      </w:pPr>
    </w:p>
    <w:bookmarkStart w:id="83" w:name="page84"/>
    <w:bookmarkEnd w:id="83"/>
    <w:p>
      <w:pPr>
        <w:spacing w:after="0"/>
        <w:rPr>
          <w:sz w:val="20"/>
          <w:szCs w:val="20"/>
          <w:color w:val="auto"/>
        </w:rPr>
      </w:pPr>
      <w:r>
        <w:rPr>
          <w:rFonts w:ascii="Arial" w:cs="Arial" w:eastAsia="Arial" w:hAnsi="Arial"/>
          <w:sz w:val="21"/>
          <w:szCs w:val="21"/>
          <w:b w:val="1"/>
          <w:bCs w:val="1"/>
          <w:color w:val="auto"/>
        </w:rPr>
        <w:t>Recent accounting pronouncements</w:t>
      </w:r>
    </w:p>
    <w:p>
      <w:pPr>
        <w:spacing w:after="0" w:line="126"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 xml:space="preserve">In September 2006, the FASB issued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or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Prior to adoption, we will evaluate the impact of adopting SFAS No. 157 on our financial statements.</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In June 2006, the FASB issued FASB Interpretation 48, </w:t>
      </w:r>
      <w:r>
        <w:rPr>
          <w:rFonts w:ascii="Arial" w:cs="Arial" w:eastAsia="Arial" w:hAnsi="Arial"/>
          <w:sz w:val="17"/>
          <w:szCs w:val="17"/>
          <w:i w:val="1"/>
          <w:iCs w:val="1"/>
          <w:color w:val="auto"/>
        </w:rPr>
        <w:t>Accounting for Uncertainty in Income Taxes — an interpretation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No. 109</w:t>
      </w:r>
      <w:r>
        <w:rPr>
          <w:rFonts w:ascii="Arial" w:cs="Arial" w:eastAsia="Arial" w:hAnsi="Arial"/>
          <w:sz w:val="17"/>
          <w:szCs w:val="17"/>
          <w:color w:val="auto"/>
        </w:rPr>
        <w:t>,</w:t>
      </w:r>
      <w:r>
        <w:rPr>
          <w:rFonts w:ascii="Arial" w:cs="Arial" w:eastAsia="Arial" w:hAnsi="Arial"/>
          <w:sz w:val="17"/>
          <w:szCs w:val="17"/>
          <w:i w:val="1"/>
          <w:iCs w:val="1"/>
          <w:color w:val="auto"/>
        </w:rPr>
        <w:t xml:space="preserve"> Accounting for Income Taxes</w:t>
      </w:r>
      <w:r>
        <w:rPr>
          <w:rFonts w:ascii="Arial" w:cs="Arial" w:eastAsia="Arial" w:hAnsi="Arial"/>
          <w:sz w:val="17"/>
          <w:szCs w:val="17"/>
          <w:color w:val="auto"/>
        </w:rPr>
        <w:t>, or FIN 48. FIN 48 clarifies the accounting for uncertainty in income taxes.</w:t>
      </w:r>
    </w:p>
    <w:p>
      <w:pPr>
        <w:spacing w:after="0" w:line="244" w:lineRule="auto"/>
        <w:rPr>
          <w:sz w:val="20"/>
          <w:szCs w:val="20"/>
          <w:color w:val="auto"/>
        </w:rPr>
      </w:pPr>
      <w:r>
        <w:rPr>
          <w:rFonts w:ascii="Arial" w:cs="Arial" w:eastAsia="Arial" w:hAnsi="Arial"/>
          <w:sz w:val="17"/>
          <w:szCs w:val="17"/>
          <w:color w:val="auto"/>
        </w:rPr>
        <w:t>FIN 48 prescribes a recognition threshold and measurement attribute for the financial statement recognition and measurement of a tax position taken or expected to be taken in a tax return. FIN 48 requires that we recognize in the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 The provisions of FIN 48 are effective for fiscal years beginning after December 15, 2006, with the cumulative effect of the change in accounting principle recorded as an adjustment to opening retained earnings. We are currently evaluating the impact of adopting FIN 48 on our financial statements.</w:t>
      </w:r>
    </w:p>
    <w:p>
      <w:pPr>
        <w:spacing w:after="0" w:line="84"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In March 2006, the FASB issued Statement No. 156, </w:t>
      </w:r>
      <w:r>
        <w:rPr>
          <w:rFonts w:ascii="Arial" w:cs="Arial" w:eastAsia="Arial" w:hAnsi="Arial"/>
          <w:sz w:val="17"/>
          <w:szCs w:val="17"/>
          <w:i w:val="1"/>
          <w:iCs w:val="1"/>
          <w:color w:val="auto"/>
        </w:rPr>
        <w:t>Accounting for Servicing of Financial Assets —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No. 140</w:t>
      </w:r>
      <w:r>
        <w:rPr>
          <w:rFonts w:ascii="Arial" w:cs="Arial" w:eastAsia="Arial" w:hAnsi="Arial"/>
          <w:sz w:val="17"/>
          <w:szCs w:val="17"/>
          <w:color w:val="auto"/>
        </w:rPr>
        <w:t>, or SFAS No. 156. SFAS No. 156 requires an entity to recognize a servicing asset or servicing liability each</w:t>
      </w:r>
      <w:r>
        <w:rPr>
          <w:rFonts w:ascii="Arial" w:cs="Arial" w:eastAsia="Arial" w:hAnsi="Arial"/>
          <w:sz w:val="17"/>
          <w:szCs w:val="17"/>
          <w:i w:val="1"/>
          <w:iCs w:val="1"/>
          <w:color w:val="auto"/>
        </w:rPr>
        <w:t xml:space="preserve"> </w:t>
      </w:r>
      <w:r>
        <w:rPr>
          <w:rFonts w:ascii="Arial" w:cs="Arial" w:eastAsia="Arial" w:hAnsi="Arial"/>
          <w:sz w:val="17"/>
          <w:szCs w:val="17"/>
          <w:color w:val="auto"/>
        </w:rPr>
        <w:t>time it undertakes an obligation to service a financial asset by entering into a servicing contract based on certain conditions. The provisions of SFAS No. 156 are effective for fiscal years beginning after September 15, 2006. The adoption of SFAS No. 156 will not have a material impact on our consolidated financial statements.</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 xml:space="preserve">In February 2006, the FASB issued Statement No. 155, </w:t>
      </w:r>
      <w:r>
        <w:rPr>
          <w:rFonts w:ascii="Arial" w:cs="Arial" w:eastAsia="Arial" w:hAnsi="Arial"/>
          <w:sz w:val="17"/>
          <w:szCs w:val="17"/>
          <w:i w:val="1"/>
          <w:iCs w:val="1"/>
          <w:color w:val="auto"/>
        </w:rPr>
        <w:t>Accounting for Certain Hybrid Financial Instruments — an amendment of</w:t>
      </w:r>
      <w:r>
        <w:rPr>
          <w:rFonts w:ascii="Arial" w:cs="Arial" w:eastAsia="Arial" w:hAnsi="Arial"/>
          <w:sz w:val="17"/>
          <w:szCs w:val="17"/>
          <w:color w:val="auto"/>
        </w:rPr>
        <w:t xml:space="preserve"> </w:t>
      </w:r>
      <w:r>
        <w:rPr>
          <w:rFonts w:ascii="Arial" w:cs="Arial" w:eastAsia="Arial" w:hAnsi="Arial"/>
          <w:sz w:val="17"/>
          <w:szCs w:val="17"/>
          <w:i w:val="1"/>
          <w:iCs w:val="1"/>
          <w:color w:val="auto"/>
        </w:rPr>
        <w:t>FASB Statements No. 133 and 140</w:t>
      </w:r>
      <w:r>
        <w:rPr>
          <w:rFonts w:ascii="Arial" w:cs="Arial" w:eastAsia="Arial" w:hAnsi="Arial"/>
          <w:sz w:val="17"/>
          <w:szCs w:val="17"/>
          <w:color w:val="auto"/>
        </w:rPr>
        <w:t>, or SFAS No. 155. SFAS No. 155 permits fair value remeasurement for any hybrid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Statement No. 140 to eliminate the prohibition on a qualifying special-purpose entity from holding a derivative financial instrument that pertains to a beneficial interest other than another derivative financial instrument. The provisions of SFAS No. 155 are effective for fiscal years beginning after September 15, 2006. The adoption of SFAS No. 155 will not have a material impact on our consolidated financial statements.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8"/>
          <w:szCs w:val="28"/>
          <w:b w:val="1"/>
          <w:bCs w:val="1"/>
          <w:color w:val="auto"/>
        </w:rPr>
        <w:t>Business</w:t>
      </w:r>
    </w:p>
    <w:p>
      <w:pPr>
        <w:spacing w:after="0" w:line="1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4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are a biopharmaceutical company focused on the development, manufacture and commercialization of immunobiotics. Immunobiotics are pharmaceutical products, such as vaccines and immune globulins that induce or assist the body’s immune system to prevent or treat disease. We operate in two business segments: biodefense and commercial. In our biodefense business, we develop and commercialize immunobiotics for use against biological agents that are potential weapons of bioterrorism. In our commercial business, we develop immunobiotics for use against infectious diseases with significant unmet or underserved medical needs. Our marketed product, BioThrax, is the only vaccine approved by the U.S. Food and Drug Administration, or FDA, for the prevention of anthrax infection. In addition to BioThrax, our biodefense product portfolio includes three biodefense product candidates in preclinical development and a next generation anthrax vaccine program with product candidates in preclinical and Phase I clinical development. Our commercial product portfolio includes a typhoid vaccine candidate and a hepatitis B therapeutic vaccine candidate, both of which are in Phase II clinical development, one vaccine candidate in Phase I clinical development and two vaccine candidates in preclinical development.</w:t>
      </w:r>
    </w:p>
    <w:p>
      <w:pPr>
        <w:spacing w:after="0" w:line="11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We manufacture and market BioThrax, also referred to as anthrax vaccine adsorbed, the only FDA approved anthrax vaccine. BioThrax was originally approved in the United States in 1970. There have been more than 20 published studies of the use of BioThrax in humans. In December 2005, based on a review of the human efficacy data used to support the approval of BioThrax and other studies of BioThrax, the FDA reaffirmed that BioThrax is safe and effective for the prevention of anthrax infection by all routes of exposure, including inhalation. Our total revenues from BioThrax sales were $55.5 million in 2003, $81.0 million in 2004, $127.3 million in 2005 and $61.3 million in the nine months ended September 30, 2006. The U.S. Department of Defense, or DoD, and the U.S. Department of Health and Human Services, or HHS, have been the principal customers for BioThrax. Under two contracts with the DoD, we have supplied over nine million doses of BioThrax through September 2006 for immunization of military personnel. Since March 1998, the DoD has vaccinated more than 1.5 million military personnel with more than 5.5 million doses of BioThrax. Our current contract with the DoD provides for the supply of a minimum of approximately 1.5 million additional doses of BioThrax to the DoD through September 2007. In April 2006, the DoD issued a notice that it intends to negotiate a sole source fixed price contract for the purchase of up to an additional 11 million doses of BioThrax over one base contract year plus four option years. Under a contract that we entered into with HHS in May 2005, we supplied five million doses of BioThrax to HHS for placement into the strategic national stockpile for a fixed price of $123 million.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w:t>
      </w:r>
    </w:p>
    <w:p>
      <w:pPr>
        <w:spacing w:after="0" w:line="30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September 11, 2001 terrorist attacks and the October 2001 anthrax letter attacks significantly affected political and budgetary attitudes toward the threat of bioterrorism. Following these attacks, the U.S. government enacted measures to provide incentives for private industry to develop and manufacture biodefense products. In particular, in 2004, the Project BioShield Act became law, providing $5.6 billion in appropriations over ten years and authorizing the procurement of countermeasures for biological, chemical, radiological and nuclear attacks. Project BioShield provides for the procurement of countermeasures for anthrax and botulism, which are two of the biological agents that the Centers for Disease Control and Prevention, or CDC, has identified as the greatest possible threat to public health. The U.S. government procures most biodefense countermeasures through HHS, the CDC and the DoD and provides biodefense research and development funding through the National Institute of Allergy and Infectious Diseases, or NIAID, of the National Institutes of Health, or NIH, and the DoD.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85" w:name="page86"/>
    <w:bookmarkEnd w:id="85"/>
    <w:p>
      <w:pPr>
        <w:ind w:right="320"/>
        <w:spacing w:after="0" w:line="250" w:lineRule="auto"/>
        <w:rPr>
          <w:sz w:val="20"/>
          <w:szCs w:val="20"/>
          <w:color w:val="auto"/>
        </w:rPr>
      </w:pPr>
      <w:r>
        <w:rPr>
          <w:rFonts w:ascii="Arial" w:cs="Arial" w:eastAsia="Arial" w:hAnsi="Arial"/>
          <w:sz w:val="17"/>
          <w:szCs w:val="17"/>
          <w:color w:val="auto"/>
        </w:rPr>
        <w:t>In addition to BioThrax, we have three biodefense immunobiotic product candidates in preclinical development and a next generation anthrax vaccine program with product candidates in preclinical and Phase I clinical development. Our biodefense product candidates in preclinical development are:</w:t>
      </w:r>
    </w:p>
    <w:p>
      <w:pPr>
        <w:spacing w:after="0" w:line="78" w:lineRule="exact"/>
        <w:rPr>
          <w:sz w:val="20"/>
          <w:szCs w:val="20"/>
          <w:color w:val="auto"/>
        </w:rPr>
      </w:pPr>
    </w:p>
    <w:p>
      <w:pPr>
        <w:ind w:left="220" w:right="300" w:hanging="210"/>
        <w:spacing w:after="0" w:line="281" w:lineRule="auto"/>
        <w:tabs>
          <w:tab w:leader="none" w:pos="22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Anthrax immune globulin </w:t>
      </w:r>
      <w:r>
        <w:rPr>
          <w:rFonts w:ascii="Arial" w:cs="Arial" w:eastAsia="Arial" w:hAnsi="Arial"/>
          <w:sz w:val="17"/>
          <w:szCs w:val="17"/>
          <w:color w:val="auto"/>
        </w:rPr>
        <w:t>— for post-exposure treatment of anthrax infection, which we are developing in part with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NIAID;</w:t>
      </w:r>
    </w:p>
    <w:p>
      <w:pPr>
        <w:spacing w:after="0" w:line="39" w:lineRule="exact"/>
        <w:rPr>
          <w:rFonts w:ascii="Arial" w:cs="Arial" w:eastAsia="Arial" w:hAnsi="Arial"/>
          <w:sz w:val="17"/>
          <w:szCs w:val="17"/>
          <w:color w:val="auto"/>
        </w:rPr>
      </w:pPr>
    </w:p>
    <w:p>
      <w:pPr>
        <w:ind w:left="220" w:right="160" w:hanging="210"/>
        <w:spacing w:after="0" w:line="261" w:lineRule="auto"/>
        <w:tabs>
          <w:tab w:leader="none" w:pos="22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Botulinum immune globulin </w:t>
      </w:r>
      <w:r>
        <w:rPr>
          <w:rFonts w:ascii="Arial" w:cs="Arial" w:eastAsia="Arial" w:hAnsi="Arial"/>
          <w:sz w:val="17"/>
          <w:szCs w:val="17"/>
          <w:color w:val="auto"/>
        </w:rPr>
        <w:t>— for post-exposure treatment of illness caused by botulinum toxin, which we are developing</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 new botulinum toxoid vaccine that we are developing in collaboration with the U.K. Health Protection Agency, or HPA; and</w:t>
      </w:r>
    </w:p>
    <w:p>
      <w:pPr>
        <w:spacing w:after="0" w:line="56" w:lineRule="exact"/>
        <w:rPr>
          <w:rFonts w:ascii="Arial" w:cs="Arial" w:eastAsia="Arial" w:hAnsi="Arial"/>
          <w:sz w:val="17"/>
          <w:szCs w:val="17"/>
          <w:color w:val="auto"/>
        </w:rPr>
      </w:pPr>
    </w:p>
    <w:p>
      <w:pPr>
        <w:ind w:left="220" w:right="20" w:hanging="210"/>
        <w:spacing w:after="0" w:line="281" w:lineRule="auto"/>
        <w:tabs>
          <w:tab w:leader="none" w:pos="22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Recombinant bivalent botulinum vaccine </w:t>
      </w:r>
      <w:r>
        <w:rPr>
          <w:rFonts w:ascii="Arial" w:cs="Arial" w:eastAsia="Arial" w:hAnsi="Arial"/>
          <w:sz w:val="17"/>
          <w:szCs w:val="17"/>
          <w:color w:val="auto"/>
        </w:rPr>
        <w:t>— a prophylaxis for illness caused by botulinum toxin, which we also are developing</w:t>
      </w:r>
      <w:r>
        <w:rPr>
          <w:rFonts w:ascii="Arial" w:cs="Arial" w:eastAsia="Arial" w:hAnsi="Arial"/>
          <w:sz w:val="17"/>
          <w:szCs w:val="17"/>
          <w:i w:val="1"/>
          <w:iCs w:val="1"/>
          <w:color w:val="auto"/>
        </w:rPr>
        <w:t xml:space="preserve"> </w:t>
      </w:r>
      <w:r>
        <w:rPr>
          <w:rFonts w:ascii="Arial" w:cs="Arial" w:eastAsia="Arial" w:hAnsi="Arial"/>
          <w:sz w:val="17"/>
          <w:szCs w:val="17"/>
          <w:color w:val="auto"/>
        </w:rPr>
        <w:t>in collaboration with HPA.</w:t>
      </w:r>
    </w:p>
    <w:p>
      <w:pPr>
        <w:spacing w:after="0" w:line="7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We are evaluating several potential product candidates in connection with development of a next generation anthrax vaccine, featuring attributes such as self administration and a longer shelf life. In September 2006, we submitted three separate proposals in response to a request for proposals issued by NIAID in June 2006 for the advanced development and testing of next generation anthrax vaccine candidates. One of our proposals relates to a vaccine candidate that has completed a Phase I clinical trial.</w:t>
      </w:r>
    </w:p>
    <w:p>
      <w:pPr>
        <w:spacing w:after="0" w:line="302"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In our commercial business, we are developing a range of immunobiotic product candidates for use against infectious diseases with significant unmet or underserved medical needs. Our commercial product candidates in clinical development are:</w:t>
      </w:r>
    </w:p>
    <w:p>
      <w:pPr>
        <w:spacing w:after="0" w:line="72" w:lineRule="exact"/>
        <w:rPr>
          <w:sz w:val="20"/>
          <w:szCs w:val="20"/>
          <w:color w:val="auto"/>
        </w:rPr>
      </w:pPr>
    </w:p>
    <w:p>
      <w:pPr>
        <w:ind w:left="220" w:right="80" w:hanging="210"/>
        <w:spacing w:after="0" w:line="261" w:lineRule="auto"/>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Typhoid vaccine </w:t>
      </w:r>
      <w:r>
        <w:rPr>
          <w:rFonts w:ascii="Arial" w:cs="Arial" w:eastAsia="Arial" w:hAnsi="Arial"/>
          <w:sz w:val="17"/>
          <w:szCs w:val="17"/>
          <w:color w:val="auto"/>
        </w:rPr>
        <w:t>— a single dose, drinkable vaccine, for which we have completed a Phase I clinical program, including trials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States, the United Kingdom and Vietnam, and expect to initiate a Phase II clinical trial in Vietnam in the fourth quarter of 2006;</w:t>
      </w:r>
    </w:p>
    <w:p>
      <w:pPr>
        <w:spacing w:after="0" w:line="56" w:lineRule="exact"/>
        <w:rPr>
          <w:rFonts w:ascii="Arial" w:cs="Arial" w:eastAsia="Arial" w:hAnsi="Arial"/>
          <w:sz w:val="17"/>
          <w:szCs w:val="17"/>
          <w:color w:val="auto"/>
        </w:rPr>
      </w:pPr>
    </w:p>
    <w:p>
      <w:pPr>
        <w:jc w:val="both"/>
        <w:ind w:left="220" w:right="120" w:hanging="210"/>
        <w:spacing w:after="0" w:line="261" w:lineRule="auto"/>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 a multiple dose, drinkable vaccine for treatment of chronic carriers of hepatitis B infection,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we have completed a Phase I clinical trial in the United Kingdom and expect to initiate a Phase II clinical trial in the United Kingdom in the fourth quarter of 2006; and</w:t>
      </w:r>
    </w:p>
    <w:p>
      <w:pPr>
        <w:spacing w:after="0" w:line="56" w:lineRule="exact"/>
        <w:rPr>
          <w:rFonts w:ascii="Arial" w:cs="Arial" w:eastAsia="Arial" w:hAnsi="Arial"/>
          <w:sz w:val="17"/>
          <w:szCs w:val="17"/>
          <w:color w:val="auto"/>
        </w:rPr>
      </w:pPr>
    </w:p>
    <w:p>
      <w:pPr>
        <w:ind w:left="220" w:right="380" w:hanging="210"/>
        <w:spacing w:after="0" w:line="281" w:lineRule="auto"/>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 a multiple dose, injectable vaccine for administration to women of childbearing age for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 of the fetus and newborn babies, for which we have completed a Phase I clinical trial in the United Kingdom.</w:t>
      </w:r>
    </w:p>
    <w:p>
      <w:pPr>
        <w:spacing w:after="0" w:line="71" w:lineRule="exact"/>
        <w:rPr>
          <w:sz w:val="20"/>
          <w:szCs w:val="20"/>
          <w:color w:val="auto"/>
        </w:rPr>
      </w:pPr>
    </w:p>
    <w:p>
      <w:pPr>
        <w:ind w:right="760"/>
        <w:spacing w:after="0" w:line="258" w:lineRule="auto"/>
        <w:rPr>
          <w:sz w:val="20"/>
          <w:szCs w:val="20"/>
          <w:color w:val="auto"/>
        </w:rPr>
      </w:pPr>
      <w:r>
        <w:rPr>
          <w:rFonts w:ascii="Arial" w:cs="Arial" w:eastAsia="Arial" w:hAnsi="Arial"/>
          <w:sz w:val="17"/>
          <w:szCs w:val="17"/>
          <w:color w:val="auto"/>
        </w:rPr>
        <w:t>In addition, we are developing a chlamydia vaccine and a meningitis B vaccine, each of which is currently in preclinical development.</w:t>
      </w:r>
    </w:p>
    <w:p>
      <w:pPr>
        <w:spacing w:after="0" w:line="90"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Wellcome Trust provided funding for our Phase I clinical trial of our typhoid vaccine candidate in Vietnam and has agreed to provide funding for our Phase II clinical trial of this vaccine candidate in Vietnam. In May 2006, we entered into a license and co-development agreement with Sanofi Pasteur, the vaccines business of Sanofi-Aventis, under which we granted Sanofi Pasteur an exclusive, worldwide license under our proprietary technology to develop and commercialize a meningitis B vaccine candidate.</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strategy</w:t>
      </w:r>
    </w:p>
    <w:p>
      <w:pPr>
        <w:spacing w:after="0" w:line="14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Our goal is to become a worldwide leader in developing, manufacturing and commercializing immunobiotics that target diseases with significant unmet or underserved medical needs. Key elements of our strategy to achieve this goal are:</w:t>
      </w:r>
    </w:p>
    <w:p>
      <w:pPr>
        <w:spacing w:after="0" w:line="7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i w:val="1"/>
          <w:iCs w:val="1"/>
          <w:color w:val="auto"/>
        </w:rPr>
        <w:t xml:space="preserve">Maximize the commercial potential of BioThrax. </w:t>
      </w:r>
      <w:r>
        <w:rPr>
          <w:rFonts w:ascii="Arial" w:cs="Arial" w:eastAsia="Arial" w:hAnsi="Arial"/>
          <w:sz w:val="17"/>
          <w:szCs w:val="17"/>
          <w:color w:val="auto"/>
        </w:rPr>
        <w:t>We are focused on increasing sales of BioThrax to U.S. government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expanding the market for BioThrax to other customers and pursuing label expansions and improvements for BioThrax. The potential label expansions and improvements for</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86" w:name="page87"/>
    <w:bookmarkEnd w:id="86"/>
    <w:p>
      <w:pPr>
        <w:ind w:right="920"/>
        <w:spacing w:after="0" w:line="258" w:lineRule="auto"/>
        <w:rPr>
          <w:sz w:val="20"/>
          <w:szCs w:val="20"/>
          <w:color w:val="auto"/>
        </w:rPr>
      </w:pPr>
      <w:r>
        <w:rPr>
          <w:rFonts w:ascii="Arial" w:cs="Arial" w:eastAsia="Arial" w:hAnsi="Arial"/>
          <w:sz w:val="17"/>
          <w:szCs w:val="17"/>
          <w:color w:val="auto"/>
        </w:rPr>
        <w:t>BioThrax include an extension of shelf life, reductions in the number of required doses, addition of another method of administration and use as a post-exposure prophylaxis for anthrax infection in combination with antibiotic therapy.</w:t>
      </w:r>
    </w:p>
    <w:p>
      <w:pPr>
        <w:spacing w:after="0" w:line="7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i w:val="1"/>
          <w:iCs w:val="1"/>
          <w:color w:val="auto"/>
        </w:rPr>
        <w:t xml:space="preserve">Continue to develop a balanced portfolio of immunobiotic products. </w:t>
      </w:r>
      <w:r>
        <w:rPr>
          <w:rFonts w:ascii="Arial" w:cs="Arial" w:eastAsia="Arial" w:hAnsi="Arial"/>
          <w:sz w:val="17"/>
          <w:szCs w:val="17"/>
          <w:color w:val="auto"/>
        </w:rPr>
        <w:t>We seek to maintain a balanced product portfolio that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both biodefense and commercial immunobiotic product candidates and both vaccines and therapeutics to diversify product development and commercialization risk. We use multiple technologies in our development programs, which we believe significantly reduces our risk in these activities. We expect that biodefense product candidates may generate revenues from product sales sooner than commercial product candidates because of Project BioShield, which allows the U.S. government to purchase biodefense products for the strategic national stockpile before they are approved by the FDA.</w:t>
      </w:r>
    </w:p>
    <w:p>
      <w:pPr>
        <w:spacing w:after="0" w:line="8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i w:val="1"/>
          <w:iCs w:val="1"/>
          <w:color w:val="auto"/>
        </w:rPr>
        <w:t xml:space="preserve">Focus on core capabilities in product development and manufacturing. </w:t>
      </w:r>
      <w:r>
        <w:rPr>
          <w:rFonts w:ascii="Arial" w:cs="Arial" w:eastAsia="Arial" w:hAnsi="Arial"/>
          <w:sz w:val="17"/>
          <w:szCs w:val="17"/>
          <w:color w:val="auto"/>
        </w:rPr>
        <w:t>We focus our efforts on immunobiotic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manufacturing, which we believe are our core capabilities. This approach enables us to avoid the expense and time entailed in early stage research activities and, we believe, reduces product development and commercialization risk. We seek to obtain marketed products and development stage product candidates through acquisitions and licensing arrangements with third parties. We believe that we have secured, and will be able to continue to secure, rights to a diverse product pipeline that targets diseases with significant unmet or underserved medical needs. We also believe that this approach may enable us to accelerate product development timelines through our preclinical and clinical development and regulatory expertise and manufacturing capabilities.</w:t>
      </w:r>
    </w:p>
    <w:p>
      <w:pPr>
        <w:spacing w:after="0" w:line="281"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i w:val="1"/>
          <w:iCs w:val="1"/>
          <w:color w:val="auto"/>
        </w:rPr>
        <w:t xml:space="preserve">Build a large scale manufacturing infrastructure. </w:t>
      </w:r>
      <w:r>
        <w:rPr>
          <w:rFonts w:ascii="Arial" w:cs="Arial" w:eastAsia="Arial" w:hAnsi="Arial"/>
          <w:sz w:val="17"/>
          <w:szCs w:val="17"/>
          <w:color w:val="auto"/>
        </w:rPr>
        <w:t>To augment our existing manufacturing capabilities, we are constructing a new</w:t>
      </w:r>
      <w:r>
        <w:rPr>
          <w:rFonts w:ascii="Arial" w:cs="Arial" w:eastAsia="Arial" w:hAnsi="Arial"/>
          <w:sz w:val="17"/>
          <w:szCs w:val="17"/>
          <w:i w:val="1"/>
          <w:iCs w:val="1"/>
          <w:color w:val="auto"/>
        </w:rPr>
        <w:t xml:space="preserve"> </w:t>
      </w:r>
      <w:r>
        <w:rPr>
          <w:rFonts w:ascii="Arial" w:cs="Arial" w:eastAsia="Arial" w:hAnsi="Arial"/>
          <w:sz w:val="17"/>
          <w:szCs w:val="17"/>
          <w:color w:val="auto"/>
        </w:rPr>
        <w:t>50,000 square foot manufacturing facility on our Lansing, Michigan campus. We also own two buildings in Frederick, Maryland that we plan to build out as future manufacturing facilities. We are constructing our new facility in Lansing as a large scale commercial manufacturing plant that we can use to produce multiple vaccine products, subject to complying with appropriate change-over procedures. We anticipate that we will initiate large scale manufacturing of BioThrax for commercial sale at the new Lansing facility in 2008. We are constructing this facility to accommodate production of up to 40 million doses of BioThrax per year on a single production line, which we could expand for production of up to 80 million doses per year through the addition of a second production line. In comparison, our current facility has a maximum production capacity of approximately nine million doses of BioThrax per year.</w:t>
      </w:r>
    </w:p>
    <w:p>
      <w:pPr>
        <w:spacing w:after="0" w:line="82" w:lineRule="exact"/>
        <w:rPr>
          <w:sz w:val="20"/>
          <w:szCs w:val="20"/>
          <w:color w:val="auto"/>
        </w:rPr>
      </w:pPr>
    </w:p>
    <w:p>
      <w:pPr>
        <w:spacing w:after="0" w:line="246" w:lineRule="auto"/>
        <w:rPr>
          <w:sz w:val="20"/>
          <w:szCs w:val="20"/>
          <w:color w:val="auto"/>
        </w:rPr>
      </w:pPr>
      <w:r>
        <w:rPr>
          <w:rFonts w:ascii="Arial" w:cs="Arial" w:eastAsia="Arial" w:hAnsi="Arial"/>
          <w:sz w:val="17"/>
          <w:szCs w:val="17"/>
          <w:i w:val="1"/>
          <w:iCs w:val="1"/>
          <w:color w:val="auto"/>
        </w:rPr>
        <w:t xml:space="preserve">Selectively establish collaborations. </w:t>
      </w:r>
      <w:r>
        <w:rPr>
          <w:rFonts w:ascii="Arial" w:cs="Arial" w:eastAsia="Arial" w:hAnsi="Arial"/>
          <w:sz w:val="17"/>
          <w:szCs w:val="17"/>
          <w:color w:val="auto"/>
        </w:rPr>
        <w:t>For each of our product candidates, we plan to evaluate the merits of retaining</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rights for ourselves or entering into collaboration arrangements with leading pharmaceutical or biotechnology companies or non-governmental organizations. We expect that we will selectively pursue collaboration arrangements in situations in which the collaborator has particular expertise or resources for the development or commercialization of our products and product candidates or to access particular markets. We recently entered into a collaboration with Sanofi Pasteur for our meningitis B vaccine candidate as we believe that the value of this vaccine candidate may be maximized if it is sold in combination with other vaccines offered by Sanofi Pasteur. We are currently collaborating with HPA for the development of both a new botulinum toxoid vaccine, which we plan to use to develop our botulinum immune globulin candidate, and our recombinant bivalent botulinum vaccine candidate, which has given us access to HPA’s technology and manufacturing capabilities.</w:t>
      </w:r>
    </w:p>
    <w:p>
      <w:pPr>
        <w:spacing w:after="0" w:line="8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i w:val="1"/>
          <w:iCs w:val="1"/>
          <w:color w:val="auto"/>
        </w:rPr>
        <w:t xml:space="preserve">Seek governmental and other third party grants and support. </w:t>
      </w:r>
      <w:r>
        <w:rPr>
          <w:rFonts w:ascii="Arial" w:cs="Arial" w:eastAsia="Arial" w:hAnsi="Arial"/>
          <w:sz w:val="17"/>
          <w:szCs w:val="17"/>
          <w:color w:val="auto"/>
        </w:rPr>
        <w:t>The biodefense immunobiotic product candidates that we are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are of significant interest to the U.S. and potentially other governments. The CDC currently is independently conducting a clinical trial to evaluate whether as few as three doses of BioThrax, administered over six months, will confer adequate immune response over as long as 42 months. In addition, NIAID has completed an independent animal efficacy study of BioThrax in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87" w:name="page88"/>
    <w:bookmarkEnd w:id="87"/>
    <w:p>
      <w:pPr>
        <w:ind w:right="20"/>
        <w:spacing w:after="0" w:line="244" w:lineRule="auto"/>
        <w:rPr>
          <w:sz w:val="20"/>
          <w:szCs w:val="20"/>
          <w:color w:val="auto"/>
        </w:rPr>
      </w:pPr>
      <w:r>
        <w:rPr>
          <w:rFonts w:ascii="Arial" w:cs="Arial" w:eastAsia="Arial" w:hAnsi="Arial"/>
          <w:sz w:val="17"/>
          <w:szCs w:val="17"/>
          <w:color w:val="auto"/>
        </w:rPr>
        <w:t>combination with antibiotics as a post-exposure prophylaxis for anthrax infection. NIAID has awarded us grant funding for animal efficacy studies of our anthrax immune globulin candidate. We believe that some of our commercial immunobiotic product candidates that may benefit people in the developing world are of interest to charitable and philanthropic organizations. The Wellcome Trust provided funding for our Phase I clinical trial of our typhoid vaccine candidate in Vietnam and has agreed to provide funding for our Phase II clinical trial of this vaccine candidate in Vietnam. We plan to encourage government entities and non-government and philanthropic organizations to continue to conduct studies of, and pursue other development efforts and provide development funding for, BioThrax and our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opportunity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focus on the biodefense and commercial markets for immunobiotics.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biodefense market</w:t>
      </w:r>
    </w:p>
    <w:p>
      <w:pPr>
        <w:spacing w:after="0" w:line="141"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biodefense market for immunobiotics has grown dramatically as a result of the increased awareness of the threat of global terror activity in the wake of the September 11, 2001 terrorist attacks and the October 2001 anthrax letter attacks. The letter attacks involved the delivery of mail contaminated with anthrax spores to government officials and members of the media in the United States. As a result of the letter attacks, 22 people became infected with anthrax, including 11 with inhalational anthrax, and five people died.</w:t>
      </w:r>
    </w:p>
    <w:p>
      <w:pPr>
        <w:spacing w:after="0" w:line="102"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U.S. government is the principal source of worldwide biodefense spending. Most U.S. government spending on biodefense programs results from procurement of countermeasures by HHS, the CDC and the DoD and development funding from NIAID and the DoD. The U.S. government is now the largest source of funding for academic institutions and biotechnology companies conducting biodefense basic research or developing novel vaccines and other immunobiotic therapeutics.</w:t>
      </w:r>
    </w:p>
    <w:p>
      <w:pPr>
        <w:spacing w:after="0" w:line="81" w:lineRule="exact"/>
        <w:rPr>
          <w:sz w:val="20"/>
          <w:szCs w:val="20"/>
          <w:color w:val="auto"/>
        </w:rPr>
      </w:pPr>
    </w:p>
    <w:p>
      <w:pPr>
        <w:ind w:left="700" w:right="120"/>
        <w:spacing w:after="0" w:line="245" w:lineRule="auto"/>
        <w:rPr>
          <w:sz w:val="20"/>
          <w:szCs w:val="20"/>
          <w:color w:val="auto"/>
        </w:rPr>
      </w:pPr>
      <w:r>
        <w:rPr>
          <w:rFonts w:ascii="Arial" w:cs="Arial" w:eastAsia="Arial" w:hAnsi="Arial"/>
          <w:sz w:val="17"/>
          <w:szCs w:val="17"/>
          <w:i w:val="1"/>
          <w:iCs w:val="1"/>
          <w:color w:val="auto"/>
        </w:rPr>
        <w:t xml:space="preserve">Department of Health and Human Services. </w:t>
      </w:r>
      <w:r>
        <w:rPr>
          <w:rFonts w:ascii="Arial" w:cs="Arial" w:eastAsia="Arial" w:hAnsi="Arial"/>
          <w:sz w:val="17"/>
          <w:szCs w:val="17"/>
          <w:color w:val="auto"/>
        </w:rPr>
        <w:t>In 2004, the Project BioShield Act became law. This statute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$5.6 billion in appropriations over ten years and authorizes the procurement of countermeasures for biological, chemical, radiological and nuclear attacks. Pursuant to Project BioShield, HHS has begun to procure vaccines and other products for a strategic national stockpile. The strategic national stockpile is a national repository of medical assets and countermeasures designed to provide state and local public health agencies with medical supplies needed to treat those affected by terrorist attacks, natural disasters, industrial accidents and other public health emergencies, such as a flu epidemic. Materials from the strategic national stockpile were deployed following both the September 11, 2001 terrorist attacks and the October 2001 anthrax letter attacks. We expect that HHS will procure supplies of vaccines for the strategic national stockpile on an ongoing basis and replenish the stockpile as the existing inventories reach the end of their shelf lives.</w:t>
      </w:r>
    </w:p>
    <w:p>
      <w:pPr>
        <w:spacing w:after="0" w:line="105" w:lineRule="exact"/>
        <w:rPr>
          <w:sz w:val="20"/>
          <w:szCs w:val="20"/>
          <w:color w:val="auto"/>
        </w:rPr>
      </w:pPr>
    </w:p>
    <w:p>
      <w:pPr>
        <w:ind w:left="700"/>
        <w:spacing w:after="0" w:line="244" w:lineRule="auto"/>
        <w:rPr>
          <w:sz w:val="20"/>
          <w:szCs w:val="20"/>
          <w:color w:val="auto"/>
        </w:rPr>
      </w:pPr>
      <w:r>
        <w:rPr>
          <w:rFonts w:ascii="Arial" w:cs="Arial" w:eastAsia="Arial" w:hAnsi="Arial"/>
          <w:sz w:val="17"/>
          <w:szCs w:val="17"/>
          <w:color w:val="auto"/>
        </w:rPr>
        <w:t>Pursuant to Project BioShield, the CDC has categorized bioterrorism agents into three categories from A to C based on the perceived risk of the agent to national security. The highest risk category is category A. The six agents that the CDC has classified as category A are anthrax, botulism, plague, smallpox, tularemia and viral hemorrhagic fevers. The Secretary of HHS has directed most of the BioShield procurement efforts and funding to date to category A agents. Under Project BioShield, the Secretary of HHS can contract to purchase countermeasures for the strategic national stockpile prior to FDA approval of the countermeasure in specified circumstances. To be eligible for purchase under these provisions, the Secretary of HHS must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88" w:name="page89"/>
    <w:bookmarkEnd w:id="88"/>
    <w:p>
      <w:pPr>
        <w:ind w:left="700"/>
        <w:spacing w:after="0" w:line="245" w:lineRule="auto"/>
        <w:rPr>
          <w:sz w:val="20"/>
          <w:szCs w:val="20"/>
          <w:color w:val="auto"/>
        </w:rPr>
      </w:pPr>
      <w:r>
        <w:rPr>
          <w:rFonts w:ascii="Arial" w:cs="Arial" w:eastAsia="Arial" w:hAnsi="Arial"/>
          <w:sz w:val="17"/>
          <w:szCs w:val="17"/>
          <w:color w:val="auto"/>
        </w:rPr>
        <w:t>determine that there is sufficient and satisfactory clinical results or research data, including data, if available, from preclinical and clinical trials, to support a reasonable conclusion that the countermeasure will qualify for approval or licensing within eight years, even though the product has not completed clinical trials and has not yet been approved by the FDA. Project BioShield also allows the Secretary of HHS to authorize the emergency use of medical products that have not yet been approved by the FDA.</w:t>
      </w:r>
    </w:p>
    <w:p>
      <w:pPr>
        <w:spacing w:after="0" w:line="102" w:lineRule="exact"/>
        <w:rPr>
          <w:sz w:val="20"/>
          <w:szCs w:val="20"/>
          <w:color w:val="auto"/>
        </w:rPr>
      </w:pPr>
    </w:p>
    <w:p>
      <w:pPr>
        <w:ind w:left="700" w:right="40"/>
        <w:spacing w:after="0" w:line="250" w:lineRule="auto"/>
        <w:rPr>
          <w:sz w:val="20"/>
          <w:szCs w:val="20"/>
          <w:color w:val="auto"/>
        </w:rPr>
      </w:pPr>
      <w:r>
        <w:rPr>
          <w:rFonts w:ascii="Arial" w:cs="Arial" w:eastAsia="Arial" w:hAnsi="Arial"/>
          <w:sz w:val="17"/>
          <w:szCs w:val="17"/>
          <w:color w:val="auto"/>
        </w:rPr>
        <w:t>Members of Congress have proposed and may in the future propose legislation that expands the funding and coverage of Project BioShield. We believe that continued assessments of the threat that bioterrorism poses to the public health are likely to advance these legislative initiatives.</w:t>
      </w:r>
    </w:p>
    <w:p>
      <w:pPr>
        <w:spacing w:after="0" w:line="78" w:lineRule="exact"/>
        <w:rPr>
          <w:sz w:val="20"/>
          <w:szCs w:val="20"/>
          <w:color w:val="auto"/>
        </w:rPr>
      </w:pPr>
    </w:p>
    <w:p>
      <w:pPr>
        <w:ind w:left="700" w:right="260"/>
        <w:spacing w:after="0" w:line="254" w:lineRule="auto"/>
        <w:rPr>
          <w:sz w:val="20"/>
          <w:szCs w:val="20"/>
          <w:color w:val="auto"/>
        </w:rPr>
      </w:pPr>
      <w:r>
        <w:rPr>
          <w:rFonts w:ascii="Arial" w:cs="Arial" w:eastAsia="Arial" w:hAnsi="Arial"/>
          <w:sz w:val="17"/>
          <w:szCs w:val="17"/>
          <w:i w:val="1"/>
          <w:iCs w:val="1"/>
          <w:color w:val="auto"/>
        </w:rPr>
        <w:t xml:space="preserve">Centers for Disease Control. </w:t>
      </w:r>
      <w:r>
        <w:rPr>
          <w:rFonts w:ascii="Arial" w:cs="Arial" w:eastAsia="Arial" w:hAnsi="Arial"/>
          <w:sz w:val="17"/>
          <w:szCs w:val="17"/>
          <w:color w:val="auto"/>
        </w:rPr>
        <w:t>The U.S. Congress provides annual funding to the CDC for the procurement of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countermeasures for the strategic national stockpile. This appropriation funding supplements amounts available under Project BioShield for procurement of countermeasures. Congress provided funding to CDC of $525 million in fiscal year 2006 and $467 million in fiscal year 2005 for this purpose.</w:t>
      </w:r>
    </w:p>
    <w:p>
      <w:pPr>
        <w:spacing w:after="0" w:line="76" w:lineRule="exact"/>
        <w:rPr>
          <w:sz w:val="20"/>
          <w:szCs w:val="20"/>
          <w:color w:val="auto"/>
        </w:rPr>
      </w:pPr>
    </w:p>
    <w:p>
      <w:pPr>
        <w:ind w:left="700" w:right="120"/>
        <w:spacing w:after="0" w:line="245" w:lineRule="auto"/>
        <w:rPr>
          <w:sz w:val="20"/>
          <w:szCs w:val="20"/>
          <w:color w:val="auto"/>
        </w:rPr>
      </w:pPr>
      <w:r>
        <w:rPr>
          <w:rFonts w:ascii="Arial" w:cs="Arial" w:eastAsia="Arial" w:hAnsi="Arial"/>
          <w:sz w:val="17"/>
          <w:szCs w:val="17"/>
          <w:i w:val="1"/>
          <w:iCs w:val="1"/>
          <w:color w:val="auto"/>
        </w:rPr>
        <w:t xml:space="preserve">Department of Defense. </w:t>
      </w:r>
      <w:r>
        <w:rPr>
          <w:rFonts w:ascii="Arial" w:cs="Arial" w:eastAsia="Arial" w:hAnsi="Arial"/>
          <w:sz w:val="17"/>
          <w:szCs w:val="17"/>
          <w:color w:val="auto"/>
        </w:rPr>
        <w:t>The DoD procures biodefense immunobiotics that it administers primarily through the Military</w:t>
      </w:r>
      <w:r>
        <w:rPr>
          <w:rFonts w:ascii="Arial" w:cs="Arial" w:eastAsia="Arial" w:hAnsi="Arial"/>
          <w:sz w:val="17"/>
          <w:szCs w:val="17"/>
          <w:i w:val="1"/>
          <w:iCs w:val="1"/>
          <w:color w:val="auto"/>
        </w:rPr>
        <w:t xml:space="preserve"> </w:t>
      </w:r>
      <w:r>
        <w:rPr>
          <w:rFonts w:ascii="Arial" w:cs="Arial" w:eastAsia="Arial" w:hAnsi="Arial"/>
          <w:sz w:val="17"/>
          <w:szCs w:val="17"/>
          <w:color w:val="auto"/>
        </w:rPr>
        <w:t>Vaccine Agency, or MilVax. MilVax administers various vaccination programs for military personnel, including vaccines for common infectious diseases, such as influenza, and vaccines to protect against specific bioterrorism threats, such as anthrax and smallpox. The DoD has included anthrax at the top of its biological threat list. The level of spending by the DoD for MilVax is a function of the size of the U.S. military and the approach of the DoD with respect to vaccine stockpile and use, particularly whether, and to what extent, the DoD mandates that members of the military participate in vaccination programs. Absent a Presidential waiver or the informed consent of the recipient, the DoD is required to use FDA approved products, if available, and not investigational products under development, in MilVax vaccination programs. The DoD provides development funding for biodefense vaccines through its Joint Vaccine Acquisition Program.</w:t>
      </w:r>
    </w:p>
    <w:p>
      <w:pPr>
        <w:spacing w:after="0" w:line="87" w:lineRule="exact"/>
        <w:rPr>
          <w:sz w:val="20"/>
          <w:szCs w:val="20"/>
          <w:color w:val="auto"/>
        </w:rPr>
      </w:pPr>
    </w:p>
    <w:p>
      <w:pPr>
        <w:ind w:left="700" w:right="340"/>
        <w:spacing w:after="0" w:line="254" w:lineRule="auto"/>
        <w:rPr>
          <w:sz w:val="20"/>
          <w:szCs w:val="20"/>
          <w:color w:val="auto"/>
        </w:rPr>
      </w:pPr>
      <w:r>
        <w:rPr>
          <w:rFonts w:ascii="Arial" w:cs="Arial" w:eastAsia="Arial" w:hAnsi="Arial"/>
          <w:sz w:val="17"/>
          <w:szCs w:val="17"/>
          <w:i w:val="1"/>
          <w:iCs w:val="1"/>
          <w:color w:val="auto"/>
        </w:rPr>
        <w:t xml:space="preserve">National Institute of Allergy and Infectious Diseases. </w:t>
      </w:r>
      <w:r>
        <w:rPr>
          <w:rFonts w:ascii="Arial" w:cs="Arial" w:eastAsia="Arial" w:hAnsi="Arial"/>
          <w:sz w:val="17"/>
          <w:szCs w:val="17"/>
          <w:color w:val="auto"/>
        </w:rPr>
        <w:t>Beginning with fiscal year 2003, the U.S. Congress added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 billion per year to the biodefense research funding budget for NIAID. In fiscal year 2004, NIAID awarded more than 700 research project grants for biodefense research. In fiscal year 2004, biodefense funding by NIAID totaled $1.6 billion, which was more than one-third of NIAID’s total third party research funding budget.</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There are also a number of potential additional customers for biodefense immunobiotics. These include:</w:t>
      </w:r>
    </w:p>
    <w:p>
      <w:pPr>
        <w:spacing w:after="0" w:line="119" w:lineRule="exact"/>
        <w:rPr>
          <w:sz w:val="20"/>
          <w:szCs w:val="20"/>
          <w:color w:val="auto"/>
        </w:rPr>
      </w:pPr>
    </w:p>
    <w:p>
      <w:pPr>
        <w:ind w:left="220" w:hanging="210"/>
        <w:spacing w:after="0"/>
        <w:tabs>
          <w:tab w:leader="none" w:pos="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U.S. Postal Service;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foreign governments;</w:t>
      </w:r>
    </w:p>
    <w:p>
      <w:pPr>
        <w:spacing w:after="0" w:line="105" w:lineRule="exact"/>
        <w:rPr>
          <w:rFonts w:ascii="Arial" w:cs="Arial" w:eastAsia="Arial" w:hAnsi="Arial"/>
          <w:sz w:val="17"/>
          <w:szCs w:val="17"/>
          <w:color w:val="auto"/>
        </w:rPr>
      </w:pPr>
    </w:p>
    <w:p>
      <w:pPr>
        <w:ind w:left="220" w:right="140" w:hanging="210"/>
        <w:spacing w:after="0" w:line="258" w:lineRule="auto"/>
        <w:tabs>
          <w:tab w:leader="none" w:pos="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state and local governments, which we expect will be interested in these products to protect first responders, such as police, fire and emergency medical personnel;</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multinational companies and non-governmental organizations;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hospitals.</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Although there have been minimal sales to these customers to date, we believe that they may comprise an important component of the overall biodefense market in the future.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The commercial market</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Vaccines have long been recognized as a safe and cost-effective method for preventing infection caused by various bacteria and viruses. Because of an increased emphasis on preventative medicine in industrialized countries, vaccines are now well recognized as an important part of public health management strategies. According to Frost &amp; Sullivan, a market research organization, from 2002 to 2005, annual worldwide vaccine sales increased from $6.7 billion to $9.9 billion, a compound annual growth rate of approximately 14%. Frost &amp; Sullivan estimates that the worldwide sales of vaccines will grow at a compound annual rate of approximately 10.5% from 2005 through 2012. As of 2005, Frost &amp; Sullivan estimates that approximately two-thirds of global vaccine sales were attributable to pediatric vaccines. In addition, vaccines sold in developed markets represented approximately 80% of worldwide vaccine revenues. New vaccine technologies and a greater understanding of how disease-causing organisms, or pathogens, cause disease are leading to the introduction of new vaccine products. Moreover, while existing marketed vaccines generally are designed to prevent infections, new vaccine technologies have also led to a focus on the development of vaccines for therapeutic purposes. Potential therapeutic vaccines extend beyond infectious diseases to cancer, autoimmune diseases and allergies.</w:t>
      </w:r>
    </w:p>
    <w:p>
      <w:pPr>
        <w:spacing w:after="0" w:line="11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Most non-pediatric commercial vaccines are purchased and paid for, or reimbursed by, managed care organizations, other private health plans or public insurers or paid for directly by patients. With respect to some diseases affecting the public health generally, particularly in developing countries, public health authorities or nongovernmental, charitable or philanthropic organizations fund the cost of vaccines. According to Frost &amp; Sullivan, public purchases of vaccines, including for immunization programs and government stockpiles, account for approximately 90% of the total volume of worldwide vaccine sales. Although accounting for only 10% of the total volume of worldwide vaccine sales, private market purchases of vaccines accounted for approximately 60% of total worldwide vaccine sales revenues in 2005.</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Scientific background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immune system</w:t>
      </w:r>
    </w:p>
    <w:p>
      <w:pPr>
        <w:spacing w:after="0" w:line="141" w:lineRule="exact"/>
        <w:rPr>
          <w:sz w:val="20"/>
          <w:szCs w:val="20"/>
          <w:color w:val="auto"/>
        </w:rPr>
      </w:pPr>
    </w:p>
    <w:p>
      <w:pPr>
        <w:ind w:right="200"/>
        <w:spacing w:after="0" w:line="243" w:lineRule="auto"/>
        <w:rPr>
          <w:sz w:val="20"/>
          <w:szCs w:val="20"/>
          <w:color w:val="auto"/>
        </w:rPr>
      </w:pPr>
      <w:r>
        <w:rPr>
          <w:rFonts w:ascii="Arial" w:cs="Arial" w:eastAsia="Arial" w:hAnsi="Arial"/>
          <w:sz w:val="17"/>
          <w:szCs w:val="17"/>
          <w:color w:val="auto"/>
        </w:rPr>
        <w:t>The immune system provides protection against pathogens, such as bacteria and viruses, through immune responses that are generated by a type of white blood cells known as lymphocytes. Immune responses that depend on lymphocyte recognition of components of pathogens, called antigens, have two important characteristics. First, these immune responses are specific, which means that lymphocytes recognize particular antigens on pathogens. Second, these immune responses induce memory so that when the antigen is encountered again, the immune response is enhanced. Generally, there are two types of specific immunity: humoral immunity and cell mediated immunity. Humoral immunity is provided by proteins, known as antibodies or immune globulins, that are produced by lymphocytes. Antibodies are effective in dealing with pathogens before the pathogens enter cells. Cell mediated immunity is provided by lymphocytes that generally deal with threats from cells that are already infected with pathogens by directly killing infected cells or interacting with other immune cells to initiate the production of antibodies or activate cells that kill and eliminate infected cells.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Vaccines</w:t>
      </w:r>
    </w:p>
    <w:p>
      <w:pPr>
        <w:spacing w:after="0" w:line="14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A vaccine is normally given to a healthy person as a prophylaxis in order to generate immune responses that will protect against future infection and disease caused by pathogens. Following vaccination, the immune system’s memory of antigens presented by a vaccine allows for an immune response to be generated to a pathogen to provide protection against disease. Therapeutic vaccines also are being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90" w:name="page91"/>
    <w:bookmarkEnd w:id="90"/>
    <w:p>
      <w:pPr>
        <w:ind w:right="160"/>
        <w:spacing w:after="0" w:line="258" w:lineRule="auto"/>
        <w:rPr>
          <w:sz w:val="20"/>
          <w:szCs w:val="20"/>
          <w:color w:val="auto"/>
        </w:rPr>
      </w:pPr>
      <w:r>
        <w:rPr>
          <w:rFonts w:ascii="Arial" w:cs="Arial" w:eastAsia="Arial" w:hAnsi="Arial"/>
          <w:sz w:val="17"/>
          <w:szCs w:val="17"/>
          <w:color w:val="auto"/>
        </w:rPr>
        <w:t>developed to strengthen or modify the immune response in patients already infected with bacterial and viral pathogens to clear the pathogens from their bodies. Without treatment, these patients can be subject to recurring bouts of the disease.</w:t>
      </w:r>
    </w:p>
    <w:p>
      <w:pPr>
        <w:spacing w:after="0" w:line="9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There are three basic types of vaccines: live attenuated vaccines, inactivated whole cell vaccines and subunit vaccines. Live attenuated vaccines are made from weakened, or attenuated, viruses or bacteria that are designed to mimic some of the early stages of infection without causing disease. Inactivated whole cell vaccines are made by growing the infectious organism in culture media or mammalian cells and then inactivating the organisms. Subunit vaccines are derived from individual antigens that can be purified and used as vaccines. Culture filtrate vaccines are a type of subunit vaccine. These vaccines are based on components that are secreted by pathogens grown in a culture media and then purified by filtration of the culture media.</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Live attenuated vaccines can produce stronger, longer lasting immunity than inactivated whole cell vaccines and often are effective after only a single dose. However, live attenuated vaccines are subject to safety concerns related to the risk that they may revert to the virulent form or cause disease in patients with weakened immune systems. Inactivated whole cell vaccines have been successfully developed for some pathogens, but large quantities of the infectious organism have to be grown to make the vaccine. This poses a safety risk for people involved in the manufacturing process and requires high levels of containment. Subunit vaccines generally produce fewer side effects than vaccines that use the whole organism, but often are not as immunogenic as inactivated whole cell or live attenuated vaccines. Adjuvants, which augment or enhance the immune responses to vaccine antigens, are often used in combination with weaker antigens, such as subunit vaccines.</w:t>
      </w:r>
    </w:p>
    <w:p>
      <w:pPr>
        <w:spacing w:after="0" w:line="106"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Scientists have applied recombinant technology, which allows for the manipulation of the genetic material of pathogens, in the development of new live attenuated and subunit vaccines. For live attenuated vaccines, genes involved in virulence can be completely deleted from a pathogen so that the organism can no longer cause disease or revert to the virulent form. For subunit vaccines, the gene directing the production of the antigen can be isolated and moved into a harmless organism where it can be expressed at high levels and purified. In addition, scientists have used recombinant technology to develop vector systems to deliver multiple vaccine antigens from different disease-causing organisms in a single live attenuated vaccine by inserting genes coding for these antigens into the genetic material of the vector. Currently, the only recombinant vaccines approved by the FDA are those for the prevention of hepatitis B infection, including both stand-alone vaccines and combination vaccines that include the recombinant hepatitis B component. The only recombinant vaccines currently licensed by the European Medicines Agency for marketing in the European Union member states are several vaccines that contain recombinant hepatitis B and one vaccine that includes a recombinant cholera toxin B subunit. We believe that the primary application for recombinant technology in the vaccine field will be for the development of vaccines in situations in which other vaccine technologies have not been successful or in which recombinant technology permits vaccine production with a lower level of safety containment.</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Immune globulins</w:t>
      </w:r>
    </w:p>
    <w:p>
      <w:pPr>
        <w:spacing w:after="0" w:line="14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Immune globulins are normally made by collecting plasma from individuals who have contracted or been vaccinated for a particular disease and whose plasma contains protective antibodies, known as IgG, generated by a humoral immune response to pathogen exposure or vaccination. These antibodies are isolated by fractionation of the plasma, purified and then administered intravenously to patients, providing an immediate protective effect. Because it normally takes several weeks to generate antibodies after vaccination, immune globulins are used in situations in which it is not possible to wait for active immunization to generate the protective immune response.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91" w:name="page92"/>
    <w:bookmarkEnd w:id="91"/>
    <w:p>
      <w:pPr>
        <w:spacing w:after="0"/>
        <w:rPr>
          <w:sz w:val="20"/>
          <w:szCs w:val="20"/>
          <w:color w:val="auto"/>
        </w:rPr>
      </w:pPr>
      <w:r>
        <w:rPr>
          <w:rFonts w:ascii="Arial" w:cs="Arial" w:eastAsia="Arial" w:hAnsi="Arial"/>
          <w:sz w:val="21"/>
          <w:szCs w:val="21"/>
          <w:b w:val="1"/>
          <w:bCs w:val="1"/>
          <w:color w:val="auto"/>
        </w:rPr>
        <w:t>Products</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following table summarizes key information about our marketed product, BioThrax, and our biodefense and commercial immunobiotic product candidates. We utilize a wide array of technologies to develop and manufacture our marketed product and product candidates, including conventional and recombinant technologies. For each development program, we select and apply the technology that we believe is best suited to address the particular disease based on our evaluation of factors such as safety, efficacy, manufacturing requirements, regulatory pathway and cost. We currently hold all commercial rights to BioThrax and all of our immunobiotic product candidates, other than our recombinant bivalent botulinum vaccine, for which HPA has the non-exclusive right to make, use and sell to meet public health requirements in the United Kingdom, and our meningitis B vaccine candidate that we are developing in collaboration with Sanofi Pasteur. For more information about our agreements with HPA, see “Intellectual property and licenses — License agreements — HPA agreements.” For more information about our collaboration with Sanofi Pasteur, see “— Sanofi Pasteur collaboration.”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Therapeutic/</w:t>
            </w:r>
          </w:p>
        </w:tc>
        <w:tc>
          <w:tcPr>
            <w:tcW w:w="142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Stage of</w:t>
            </w:r>
          </w:p>
        </w:tc>
        <w:tc>
          <w:tcPr>
            <w:tcW w:w="30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Collaboration/</w:t>
            </w:r>
          </w:p>
        </w:tc>
        <w:tc>
          <w:tcPr>
            <w:tcW w:w="0" w:type="dxa"/>
            <w:vAlign w:val="bottom"/>
          </w:tcPr>
          <w:p>
            <w:pPr>
              <w:spacing w:after="0"/>
              <w:rPr>
                <w:sz w:val="1"/>
                <w:szCs w:val="1"/>
                <w:color w:val="auto"/>
              </w:rPr>
            </w:pPr>
          </w:p>
        </w:tc>
      </w:tr>
      <w:tr>
        <w:trPr>
          <w:trHeight w:val="182"/>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Immunobiotic</w:t>
            </w:r>
          </w:p>
        </w:tc>
        <w:tc>
          <w:tcPr>
            <w:tcW w:w="1940" w:type="dxa"/>
            <w:vAlign w:val="bottom"/>
          </w:tcPr>
          <w:p>
            <w:pPr>
              <w:ind w:left="180"/>
              <w:spacing w:after="0"/>
              <w:rPr>
                <w:sz w:val="20"/>
                <w:szCs w:val="20"/>
                <w:color w:val="auto"/>
              </w:rPr>
            </w:pPr>
            <w:r>
              <w:rPr>
                <w:rFonts w:ascii="Arial" w:cs="Arial" w:eastAsia="Arial" w:hAnsi="Arial"/>
                <w:sz w:val="14"/>
                <w:szCs w:val="14"/>
                <w:b w:val="1"/>
                <w:bCs w:val="1"/>
                <w:color w:val="auto"/>
              </w:rPr>
              <w:t>prophylactic</w:t>
            </w:r>
          </w:p>
        </w:tc>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development</w:t>
            </w:r>
          </w:p>
        </w:tc>
        <w:tc>
          <w:tcPr>
            <w:tcW w:w="3020" w:type="dxa"/>
            <w:vAlign w:val="bottom"/>
          </w:tcPr>
          <w:p>
            <w:pPr>
              <w:ind w:left="120"/>
              <w:spacing w:after="0"/>
              <w:rPr>
                <w:sz w:val="20"/>
                <w:szCs w:val="20"/>
                <w:color w:val="auto"/>
              </w:rPr>
            </w:pPr>
            <w:r>
              <w:rPr>
                <w:rFonts w:ascii="Arial" w:cs="Arial" w:eastAsia="Arial" w:hAnsi="Arial"/>
                <w:sz w:val="14"/>
                <w:szCs w:val="14"/>
                <w:b w:val="1"/>
                <w:bCs w:val="1"/>
                <w:color w:val="auto"/>
              </w:rPr>
              <w:t>Status</w:t>
            </w:r>
          </w:p>
        </w:tc>
        <w:tc>
          <w:tcPr>
            <w:tcW w:w="1740" w:type="dxa"/>
            <w:vAlign w:val="bottom"/>
          </w:tcPr>
          <w:p>
            <w:pPr>
              <w:ind w:left="80"/>
              <w:spacing w:after="0"/>
              <w:rPr>
                <w:sz w:val="20"/>
                <w:szCs w:val="20"/>
                <w:color w:val="auto"/>
              </w:rPr>
            </w:pPr>
            <w:r>
              <w:rPr>
                <w:rFonts w:ascii="Arial" w:cs="Arial" w:eastAsia="Arial" w:hAnsi="Arial"/>
                <w:sz w:val="14"/>
                <w:szCs w:val="14"/>
                <w:b w:val="1"/>
                <w:bCs w:val="1"/>
                <w:color w:val="auto"/>
              </w:rPr>
              <w:t>external relationship</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302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7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Biodefense</w:t>
            </w:r>
          </w:p>
        </w:tc>
        <w:tc>
          <w:tcPr>
            <w:tcW w:w="19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Anthrax</w:t>
            </w:r>
          </w:p>
        </w:tc>
        <w:tc>
          <w:tcPr>
            <w:tcW w:w="106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302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740" w:type="dxa"/>
            <w:vAlign w:val="bottom"/>
            <w:gridSpan w:val="2"/>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BioThrax (anthrax vaccine</w:t>
            </w:r>
          </w:p>
        </w:tc>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Prophylactic</w:t>
            </w:r>
          </w:p>
        </w:tc>
        <w:tc>
          <w:tcPr>
            <w:tcW w:w="1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FDA approved</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Commercially marketed six dose regimen</w:t>
            </w: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8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adsorbed)</w:t>
            </w:r>
          </w:p>
        </w:tc>
        <w:tc>
          <w:tcPr>
            <w:tcW w:w="1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302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40" w:type="dxa"/>
            <w:vAlign w:val="bottom"/>
          </w:tcPr>
          <w:p>
            <w:pPr>
              <w:ind w:left="180"/>
              <w:spacing w:after="0"/>
              <w:rPr>
                <w:sz w:val="20"/>
                <w:szCs w:val="20"/>
                <w:color w:val="auto"/>
              </w:rPr>
            </w:pPr>
            <w:r>
              <w:rPr>
                <w:rFonts w:ascii="Arial" w:cs="Arial" w:eastAsia="Arial" w:hAnsi="Arial"/>
                <w:sz w:val="14"/>
                <w:szCs w:val="14"/>
                <w:color w:val="auto"/>
              </w:rPr>
              <w:t>Prophylactic</w:t>
            </w:r>
          </w:p>
        </w:tc>
        <w:tc>
          <w:tcPr>
            <w:tcW w:w="1420" w:type="dxa"/>
            <w:vAlign w:val="bottom"/>
          </w:tcPr>
          <w:p>
            <w:pPr>
              <w:ind w:left="100"/>
              <w:spacing w:after="0"/>
              <w:rPr>
                <w:sz w:val="20"/>
                <w:szCs w:val="20"/>
                <w:color w:val="auto"/>
              </w:rPr>
            </w:pPr>
            <w:r>
              <w:rPr>
                <w:rFonts w:ascii="Arial" w:cs="Arial" w:eastAsia="Arial" w:hAnsi="Arial"/>
                <w:sz w:val="14"/>
                <w:szCs w:val="14"/>
                <w:color w:val="auto"/>
              </w:rPr>
              <w:t>Post-approval label</w:t>
            </w:r>
          </w:p>
        </w:tc>
        <w:tc>
          <w:tcPr>
            <w:tcW w:w="3020" w:type="dxa"/>
            <w:vAlign w:val="bottom"/>
          </w:tcPr>
          <w:p>
            <w:pPr>
              <w:ind w:left="120"/>
              <w:spacing w:after="0"/>
              <w:rPr>
                <w:sz w:val="20"/>
                <w:szCs w:val="20"/>
                <w:color w:val="auto"/>
              </w:rPr>
            </w:pPr>
            <w:r>
              <w:rPr>
                <w:rFonts w:ascii="Arial" w:cs="Arial" w:eastAsia="Arial" w:hAnsi="Arial"/>
                <w:sz w:val="14"/>
                <w:szCs w:val="14"/>
                <w:color w:val="auto"/>
              </w:rPr>
              <w:t>BLA supplement submitted for five dose</w:t>
            </w:r>
          </w:p>
        </w:tc>
        <w:tc>
          <w:tcPr>
            <w:tcW w:w="1740" w:type="dxa"/>
            <w:vAlign w:val="bottom"/>
          </w:tcPr>
          <w:p>
            <w:pPr>
              <w:ind w:left="80"/>
              <w:spacing w:after="0"/>
              <w:rPr>
                <w:sz w:val="20"/>
                <w:szCs w:val="20"/>
                <w:color w:val="auto"/>
              </w:rPr>
            </w:pPr>
            <w:r>
              <w:rPr>
                <w:rFonts w:ascii="Arial" w:cs="Arial" w:eastAsia="Arial" w:hAnsi="Arial"/>
                <w:sz w:val="14"/>
                <w:szCs w:val="14"/>
                <w:color w:val="auto"/>
              </w:rPr>
              <w:t>CDC — independent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20" w:type="dxa"/>
            <w:vAlign w:val="bottom"/>
          </w:tcPr>
          <w:p>
            <w:pPr>
              <w:ind w:left="100"/>
              <w:spacing w:after="0" w:line="157" w:lineRule="exact"/>
              <w:rPr>
                <w:sz w:val="20"/>
                <w:szCs w:val="20"/>
                <w:color w:val="auto"/>
              </w:rPr>
            </w:pPr>
            <w:r>
              <w:rPr>
                <w:rFonts w:ascii="Arial" w:cs="Arial" w:eastAsia="Arial" w:hAnsi="Arial"/>
                <w:sz w:val="14"/>
                <w:szCs w:val="14"/>
                <w:color w:val="auto"/>
              </w:rPr>
              <w:t>expansion</w:t>
            </w:r>
          </w:p>
        </w:tc>
        <w:tc>
          <w:tcPr>
            <w:tcW w:w="3020" w:type="dxa"/>
            <w:vAlign w:val="bottom"/>
          </w:tcPr>
          <w:p>
            <w:pPr>
              <w:ind w:left="120"/>
              <w:spacing w:after="0" w:line="157" w:lineRule="exact"/>
              <w:rPr>
                <w:sz w:val="20"/>
                <w:szCs w:val="20"/>
                <w:color w:val="auto"/>
              </w:rPr>
            </w:pPr>
            <w:r>
              <w:rPr>
                <w:rFonts w:ascii="Arial" w:cs="Arial" w:eastAsia="Arial" w:hAnsi="Arial"/>
                <w:sz w:val="14"/>
                <w:szCs w:val="14"/>
                <w:color w:val="auto"/>
              </w:rPr>
              <w:t>regimen and intramuscular injection; CDC</w:t>
            </w:r>
          </w:p>
        </w:tc>
        <w:tc>
          <w:tcPr>
            <w:tcW w:w="1740" w:type="dxa"/>
            <w:vAlign w:val="bottom"/>
          </w:tcPr>
          <w:p>
            <w:pPr>
              <w:ind w:left="80"/>
              <w:spacing w:after="0" w:line="157" w:lineRule="exact"/>
              <w:rPr>
                <w:sz w:val="20"/>
                <w:szCs w:val="20"/>
                <w:color w:val="auto"/>
              </w:rPr>
            </w:pPr>
            <w:r>
              <w:rPr>
                <w:rFonts w:ascii="Arial" w:cs="Arial" w:eastAsia="Arial" w:hAnsi="Arial"/>
                <w:sz w:val="14"/>
                <w:szCs w:val="14"/>
                <w:color w:val="auto"/>
              </w:rPr>
              <w:t>clinical trial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20" w:type="dxa"/>
            <w:vAlign w:val="bottom"/>
          </w:tcPr>
          <w:p>
            <w:pPr>
              <w:ind w:left="120"/>
              <w:spacing w:after="0" w:line="157" w:lineRule="exact"/>
              <w:rPr>
                <w:sz w:val="20"/>
                <w:szCs w:val="20"/>
                <w:color w:val="auto"/>
              </w:rPr>
            </w:pPr>
            <w:r>
              <w:rPr>
                <w:rFonts w:ascii="Arial" w:cs="Arial" w:eastAsia="Arial" w:hAnsi="Arial"/>
                <w:sz w:val="14"/>
                <w:szCs w:val="14"/>
                <w:color w:val="auto"/>
              </w:rPr>
              <w:t>clinical trial ongoing for three dose regimen</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20" w:type="dxa"/>
            <w:vAlign w:val="bottom"/>
          </w:tcPr>
          <w:p>
            <w:pPr>
              <w:ind w:left="120"/>
              <w:spacing w:after="0" w:line="157" w:lineRule="exact"/>
              <w:rPr>
                <w:sz w:val="20"/>
                <w:szCs w:val="20"/>
                <w:color w:val="auto"/>
              </w:rPr>
            </w:pPr>
            <w:r>
              <w:rPr>
                <w:rFonts w:ascii="Arial" w:cs="Arial" w:eastAsia="Arial" w:hAnsi="Arial"/>
                <w:sz w:val="14"/>
                <w:szCs w:val="14"/>
                <w:color w:val="auto"/>
              </w:rPr>
              <w:t>with a booster dose once every three years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20" w:type="dxa"/>
            <w:vAlign w:val="bottom"/>
          </w:tcPr>
          <w:p>
            <w:pPr>
              <w:ind w:left="120"/>
              <w:spacing w:after="0"/>
              <w:rPr>
                <w:sz w:val="20"/>
                <w:szCs w:val="20"/>
                <w:color w:val="auto"/>
              </w:rPr>
            </w:pPr>
            <w:r>
              <w:rPr>
                <w:rFonts w:ascii="Arial" w:cs="Arial" w:eastAsia="Arial" w:hAnsi="Arial"/>
                <w:sz w:val="14"/>
                <w:szCs w:val="14"/>
                <w:color w:val="auto"/>
              </w:rPr>
              <w:t>thereafter</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Prophylactic</w:t>
            </w:r>
          </w:p>
        </w:tc>
        <w:tc>
          <w:tcPr>
            <w:tcW w:w="1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Post-approval label</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Single dose syringe development program</w:t>
            </w: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2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expansion</w:t>
            </w:r>
          </w:p>
        </w:tc>
        <w:tc>
          <w:tcPr>
            <w:tcW w:w="302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initiated</w:t>
            </w: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9"/>
        </w:trPr>
        <w:tc>
          <w:tcPr>
            <w:tcW w:w="1800" w:type="dxa"/>
            <w:vAlign w:val="bottom"/>
            <w:gridSpan w:val="3"/>
          </w:tcPr>
          <w:p>
            <w:pPr>
              <w:spacing w:after="0"/>
              <w:rPr>
                <w:sz w:val="20"/>
                <w:szCs w:val="20"/>
                <w:color w:val="auto"/>
              </w:rPr>
            </w:pPr>
            <w:r>
              <w:rPr>
                <w:rFonts w:ascii="Arial" w:cs="Arial" w:eastAsia="Arial" w:hAnsi="Arial"/>
                <w:sz w:val="14"/>
                <w:szCs w:val="14"/>
                <w:color w:val="auto"/>
              </w:rPr>
              <w:t>BioThrax (anthrax vaccine</w:t>
            </w:r>
          </w:p>
        </w:tc>
        <w:tc>
          <w:tcPr>
            <w:tcW w:w="1940" w:type="dxa"/>
            <w:vAlign w:val="bottom"/>
          </w:tcPr>
          <w:p>
            <w:pPr>
              <w:ind w:left="180"/>
              <w:spacing w:after="0"/>
              <w:rPr>
                <w:sz w:val="20"/>
                <w:szCs w:val="20"/>
                <w:color w:val="auto"/>
              </w:rPr>
            </w:pPr>
            <w:r>
              <w:rPr>
                <w:rFonts w:ascii="Arial" w:cs="Arial" w:eastAsia="Arial" w:hAnsi="Arial"/>
                <w:sz w:val="14"/>
                <w:szCs w:val="14"/>
                <w:color w:val="auto"/>
              </w:rPr>
              <w:t>Post-exposure prophylactic</w:t>
            </w:r>
          </w:p>
        </w:tc>
        <w:tc>
          <w:tcPr>
            <w:tcW w:w="1420" w:type="dxa"/>
            <w:vAlign w:val="bottom"/>
          </w:tcPr>
          <w:p>
            <w:pPr>
              <w:ind w:left="100"/>
              <w:spacing w:after="0"/>
              <w:rPr>
                <w:sz w:val="20"/>
                <w:szCs w:val="20"/>
                <w:color w:val="auto"/>
              </w:rPr>
            </w:pPr>
            <w:r>
              <w:rPr>
                <w:rFonts w:ascii="Arial" w:cs="Arial" w:eastAsia="Arial" w:hAnsi="Arial"/>
                <w:sz w:val="14"/>
                <w:szCs w:val="14"/>
                <w:color w:val="auto"/>
              </w:rPr>
              <w:t>Post-approval label</w:t>
            </w:r>
          </w:p>
        </w:tc>
        <w:tc>
          <w:tcPr>
            <w:tcW w:w="3020" w:type="dxa"/>
            <w:vAlign w:val="bottom"/>
          </w:tcPr>
          <w:p>
            <w:pPr>
              <w:ind w:left="120"/>
              <w:spacing w:after="0"/>
              <w:rPr>
                <w:sz w:val="20"/>
                <w:szCs w:val="20"/>
                <w:color w:val="auto"/>
              </w:rPr>
            </w:pPr>
            <w:r>
              <w:rPr>
                <w:rFonts w:ascii="Arial" w:cs="Arial" w:eastAsia="Arial" w:hAnsi="Arial"/>
                <w:sz w:val="14"/>
                <w:szCs w:val="14"/>
                <w:color w:val="auto"/>
              </w:rPr>
              <w:t>Phase I clinical trial ongoing; two</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adsorbed)*</w:t>
            </w:r>
          </w:p>
        </w:tc>
        <w:tc>
          <w:tcPr>
            <w:tcW w:w="1940" w:type="dxa"/>
            <w:vAlign w:val="bottom"/>
          </w:tcPr>
          <w:p>
            <w:pPr>
              <w:spacing w:after="0"/>
              <w:rPr>
                <w:sz w:val="13"/>
                <w:szCs w:val="13"/>
                <w:color w:val="auto"/>
              </w:rPr>
            </w:pPr>
          </w:p>
        </w:tc>
        <w:tc>
          <w:tcPr>
            <w:tcW w:w="1420" w:type="dxa"/>
            <w:vAlign w:val="bottom"/>
          </w:tcPr>
          <w:p>
            <w:pPr>
              <w:ind w:left="100"/>
              <w:spacing w:after="0" w:line="157" w:lineRule="exact"/>
              <w:rPr>
                <w:sz w:val="20"/>
                <w:szCs w:val="20"/>
                <w:color w:val="auto"/>
              </w:rPr>
            </w:pPr>
            <w:r>
              <w:rPr>
                <w:rFonts w:ascii="Arial" w:cs="Arial" w:eastAsia="Arial" w:hAnsi="Arial"/>
                <w:sz w:val="14"/>
                <w:szCs w:val="14"/>
                <w:color w:val="auto"/>
              </w:rPr>
              <w:t>expansion</w:t>
            </w:r>
          </w:p>
        </w:tc>
        <w:tc>
          <w:tcPr>
            <w:tcW w:w="3020" w:type="dxa"/>
            <w:vAlign w:val="bottom"/>
          </w:tcPr>
          <w:p>
            <w:pPr>
              <w:ind w:left="120"/>
              <w:spacing w:after="0" w:line="157" w:lineRule="exact"/>
              <w:rPr>
                <w:sz w:val="20"/>
                <w:szCs w:val="20"/>
                <w:color w:val="auto"/>
              </w:rPr>
            </w:pPr>
            <w:r>
              <w:rPr>
                <w:rFonts w:ascii="Arial" w:cs="Arial" w:eastAsia="Arial" w:hAnsi="Arial"/>
                <w:sz w:val="14"/>
                <w:szCs w:val="14"/>
                <w:color w:val="auto"/>
              </w:rPr>
              <w:t>proof-of-concept animal studies completed</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20" w:type="dxa"/>
            <w:vAlign w:val="bottom"/>
          </w:tcPr>
          <w:p>
            <w:pPr>
              <w:ind w:left="120"/>
              <w:spacing w:after="0"/>
              <w:rPr>
                <w:sz w:val="20"/>
                <w:szCs w:val="20"/>
                <w:color w:val="auto"/>
              </w:rPr>
            </w:pPr>
            <w:r>
              <w:rPr>
                <w:rFonts w:ascii="Arial" w:cs="Arial" w:eastAsia="Arial" w:hAnsi="Arial"/>
                <w:sz w:val="14"/>
                <w:szCs w:val="14"/>
                <w:color w:val="auto"/>
              </w:rPr>
              <w:t>for three dose regimen</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40" w:type="dxa"/>
            <w:vAlign w:val="bottom"/>
            <w:gridSpan w:val="2"/>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Next generation anthrax</w:t>
            </w:r>
          </w:p>
        </w:tc>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Pre-exposure and post-</w:t>
            </w:r>
          </w:p>
        </w:tc>
        <w:tc>
          <w:tcPr>
            <w:tcW w:w="1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Phase I and</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Proposals submitted for three distinct product</w:t>
            </w: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80" w:type="dxa"/>
            <w:vAlign w:val="bottom"/>
            <w:gridSpan w:val="2"/>
            <w:shd w:val="clear" w:color="auto" w:fill="CCEEFF"/>
          </w:tcPr>
          <w:p>
            <w:pPr>
              <w:ind w:left="120"/>
              <w:spacing w:after="0" w:line="157" w:lineRule="exact"/>
              <w:rPr>
                <w:sz w:val="20"/>
                <w:szCs w:val="20"/>
                <w:color w:val="auto"/>
              </w:rPr>
            </w:pPr>
            <w:r>
              <w:rPr>
                <w:rFonts w:ascii="Arial" w:cs="Arial" w:eastAsia="Arial" w:hAnsi="Arial"/>
                <w:sz w:val="14"/>
                <w:szCs w:val="14"/>
                <w:color w:val="auto"/>
              </w:rPr>
              <w:t>vaccine*</w:t>
            </w:r>
          </w:p>
        </w:tc>
        <w:tc>
          <w:tcPr>
            <w:tcW w:w="194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exposure prophylactic</w:t>
            </w:r>
          </w:p>
        </w:tc>
        <w:tc>
          <w:tcPr>
            <w:tcW w:w="142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preclinical</w:t>
            </w:r>
          </w:p>
        </w:tc>
        <w:tc>
          <w:tcPr>
            <w:tcW w:w="30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candidates in response to NIAID request for</w:t>
            </w: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302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proposals</w:t>
            </w:r>
          </w:p>
        </w:tc>
        <w:tc>
          <w:tcPr>
            <w:tcW w:w="1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Anthrax immune globulin*</w:t>
            </w:r>
          </w:p>
        </w:tc>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Therapeutic</w:t>
            </w:r>
          </w:p>
        </w:tc>
        <w:tc>
          <w:tcPr>
            <w:tcW w:w="1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Preclinical</w:t>
            </w:r>
          </w:p>
        </w:tc>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Plasma donor stimulation program ongoing;</w:t>
            </w:r>
          </w:p>
        </w:tc>
        <w:tc>
          <w:tcPr>
            <w:tcW w:w="1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NIAID — funding for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30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animal efficacy studies planned; plan to file</w:t>
            </w:r>
          </w:p>
        </w:tc>
        <w:tc>
          <w:tcPr>
            <w:tcW w:w="174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animal efficacy studies in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302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IND in late 2006 or early 2007</w:t>
            </w:r>
          </w:p>
        </w:tc>
        <w:tc>
          <w:tcPr>
            <w:tcW w:w="174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color w:val="auto"/>
              </w:rPr>
              <w:t>rabbits</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1">
            <w:col w:w="9920"/>
          </w:cols>
          <w:pgMar w:left="940" w:top="918" w:right="1039" w:bottom="1440" w:gutter="0" w:footer="0" w:header="0"/>
        </w:sectPr>
      </w:pPr>
    </w:p>
    <w:p>
      <w:pPr>
        <w:spacing w:after="0"/>
        <w:rPr>
          <w:sz w:val="20"/>
          <w:szCs w:val="20"/>
          <w:color w:val="auto"/>
        </w:rPr>
      </w:pPr>
      <w:r>
        <w:rPr>
          <w:rFonts w:ascii="Arial" w:cs="Arial" w:eastAsia="Arial" w:hAnsi="Arial"/>
          <w:sz w:val="14"/>
          <w:szCs w:val="14"/>
          <w:b w:val="1"/>
          <w:bCs w:val="1"/>
          <w:color w:val="auto"/>
        </w:rPr>
        <w:t>Botulinum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6303010" cy="1993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3010" cy="1993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Arial" w:cs="Arial" w:eastAsia="Arial" w:hAnsi="Arial"/>
                <w:sz w:val="14"/>
                <w:szCs w:val="14"/>
                <w:color w:val="auto"/>
              </w:rPr>
              <w:t>Recombinant bivalent</w:t>
            </w:r>
          </w:p>
        </w:tc>
        <w:tc>
          <w:tcPr>
            <w:tcW w:w="1440" w:type="dxa"/>
            <w:vAlign w:val="bottom"/>
          </w:tcPr>
          <w:p>
            <w:pPr>
              <w:ind w:left="140"/>
              <w:spacing w:after="0"/>
              <w:rPr>
                <w:sz w:val="20"/>
                <w:szCs w:val="20"/>
                <w:color w:val="auto"/>
              </w:rPr>
            </w:pPr>
            <w:r>
              <w:rPr>
                <w:rFonts w:ascii="Arial" w:cs="Arial" w:eastAsia="Arial" w:hAnsi="Arial"/>
                <w:sz w:val="14"/>
                <w:szCs w:val="14"/>
                <w:color w:val="auto"/>
              </w:rPr>
              <w:t>Prophylactic</w:t>
            </w:r>
          </w:p>
        </w:tc>
        <w:tc>
          <w:tcPr>
            <w:tcW w:w="1600" w:type="dxa"/>
            <w:vAlign w:val="bottom"/>
          </w:tcPr>
          <w:p>
            <w:pPr>
              <w:ind w:left="560"/>
              <w:spacing w:after="0"/>
              <w:rPr>
                <w:sz w:val="20"/>
                <w:szCs w:val="20"/>
                <w:color w:val="auto"/>
              </w:rPr>
            </w:pPr>
            <w:r>
              <w:rPr>
                <w:rFonts w:ascii="Arial" w:cs="Arial" w:eastAsia="Arial" w:hAnsi="Arial"/>
                <w:sz w:val="14"/>
                <w:szCs w:val="14"/>
                <w:color w:val="auto"/>
              </w:rPr>
              <w:t>Preclinical</w:t>
            </w:r>
          </w:p>
        </w:tc>
        <w:tc>
          <w:tcPr>
            <w:tcW w:w="3180" w:type="dxa"/>
            <w:vAlign w:val="bottom"/>
          </w:tcPr>
          <w:p>
            <w:pPr>
              <w:ind w:left="400"/>
              <w:spacing w:after="0"/>
              <w:rPr>
                <w:sz w:val="20"/>
                <w:szCs w:val="20"/>
                <w:color w:val="auto"/>
              </w:rPr>
            </w:pPr>
            <w:r>
              <w:rPr>
                <w:rFonts w:ascii="Arial" w:cs="Arial" w:eastAsia="Arial" w:hAnsi="Arial"/>
                <w:sz w:val="14"/>
                <w:szCs w:val="14"/>
                <w:color w:val="auto"/>
              </w:rPr>
              <w:t>Proof-of-concept animal study completed</w:t>
            </w:r>
          </w:p>
        </w:tc>
      </w:tr>
      <w:tr>
        <w:trPr>
          <w:trHeight w:val="168"/>
        </w:trPr>
        <w:tc>
          <w:tcPr>
            <w:tcW w:w="1840" w:type="dxa"/>
            <w:vAlign w:val="bottom"/>
            <w:gridSpan w:val="2"/>
          </w:tcPr>
          <w:p>
            <w:pPr>
              <w:ind w:left="140"/>
              <w:spacing w:after="0"/>
              <w:rPr>
                <w:sz w:val="20"/>
                <w:szCs w:val="20"/>
                <w:color w:val="auto"/>
              </w:rPr>
            </w:pPr>
            <w:r>
              <w:rPr>
                <w:rFonts w:ascii="Arial" w:cs="Arial" w:eastAsia="Arial" w:hAnsi="Arial"/>
                <w:sz w:val="14"/>
                <w:szCs w:val="14"/>
                <w:color w:val="auto"/>
              </w:rPr>
              <w:t>botulinum vaccine*</w:t>
            </w: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80" w:type="dxa"/>
            <w:vAlign w:val="bottom"/>
          </w:tcPr>
          <w:p>
            <w:pPr>
              <w:spacing w:after="0"/>
              <w:rPr>
                <w:sz w:val="14"/>
                <w:szCs w:val="14"/>
                <w:color w:val="auto"/>
              </w:rPr>
            </w:pPr>
          </w:p>
        </w:tc>
      </w:tr>
      <w:tr>
        <w:trPr>
          <w:trHeight w:val="314"/>
        </w:trPr>
        <w:tc>
          <w:tcPr>
            <w:tcW w:w="1840" w:type="dxa"/>
            <w:vAlign w:val="bottom"/>
            <w:gridSpan w:val="2"/>
          </w:tcPr>
          <w:p>
            <w:pPr>
              <w:spacing w:after="0"/>
              <w:rPr>
                <w:sz w:val="20"/>
                <w:szCs w:val="20"/>
                <w:color w:val="auto"/>
              </w:rPr>
            </w:pPr>
            <w:r>
              <w:rPr>
                <w:rFonts w:ascii="Arial" w:cs="Arial" w:eastAsia="Arial" w:hAnsi="Arial"/>
                <w:sz w:val="14"/>
                <w:szCs w:val="14"/>
                <w:color w:val="auto"/>
              </w:rPr>
              <w:t>Botulinum immune globulin*</w:t>
            </w:r>
          </w:p>
        </w:tc>
        <w:tc>
          <w:tcPr>
            <w:tcW w:w="1440" w:type="dxa"/>
            <w:vAlign w:val="bottom"/>
          </w:tcPr>
          <w:p>
            <w:pPr>
              <w:ind w:left="140"/>
              <w:spacing w:after="0"/>
              <w:rPr>
                <w:sz w:val="20"/>
                <w:szCs w:val="20"/>
                <w:color w:val="auto"/>
              </w:rPr>
            </w:pPr>
            <w:r>
              <w:rPr>
                <w:rFonts w:ascii="Arial" w:cs="Arial" w:eastAsia="Arial" w:hAnsi="Arial"/>
                <w:sz w:val="14"/>
                <w:szCs w:val="14"/>
                <w:color w:val="auto"/>
              </w:rPr>
              <w:t>Therapeutic</w:t>
            </w:r>
          </w:p>
        </w:tc>
        <w:tc>
          <w:tcPr>
            <w:tcW w:w="1600" w:type="dxa"/>
            <w:vAlign w:val="bottom"/>
          </w:tcPr>
          <w:p>
            <w:pPr>
              <w:ind w:left="560"/>
              <w:spacing w:after="0"/>
              <w:rPr>
                <w:sz w:val="20"/>
                <w:szCs w:val="20"/>
                <w:color w:val="auto"/>
              </w:rPr>
            </w:pPr>
            <w:r>
              <w:rPr>
                <w:rFonts w:ascii="Arial" w:cs="Arial" w:eastAsia="Arial" w:hAnsi="Arial"/>
                <w:sz w:val="14"/>
                <w:szCs w:val="14"/>
                <w:color w:val="auto"/>
              </w:rPr>
              <w:t>Preclinical</w:t>
            </w:r>
          </w:p>
        </w:tc>
        <w:tc>
          <w:tcPr>
            <w:tcW w:w="3180" w:type="dxa"/>
            <w:vAlign w:val="bottom"/>
          </w:tcPr>
          <w:p>
            <w:pPr>
              <w:ind w:left="400"/>
              <w:spacing w:after="0"/>
              <w:rPr>
                <w:sz w:val="20"/>
                <w:szCs w:val="20"/>
                <w:color w:val="auto"/>
              </w:rPr>
            </w:pPr>
            <w:r>
              <w:rPr>
                <w:rFonts w:ascii="Arial" w:cs="Arial" w:eastAsia="Arial" w:hAnsi="Arial"/>
                <w:sz w:val="14"/>
                <w:szCs w:val="14"/>
                <w:color w:val="auto"/>
              </w:rPr>
              <w:t>Proof-of-concept animal studies planned</w:t>
            </w:r>
          </w:p>
        </w:tc>
      </w:tr>
      <w:tr>
        <w:trPr>
          <w:trHeight w:val="443"/>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Commercial</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12"/>
        </w:trPr>
        <w:tc>
          <w:tcPr>
            <w:tcW w:w="1840" w:type="dxa"/>
            <w:vAlign w:val="bottom"/>
            <w:gridSpan w:val="2"/>
          </w:tcPr>
          <w:p>
            <w:pPr>
              <w:spacing w:after="0"/>
              <w:rPr>
                <w:sz w:val="20"/>
                <w:szCs w:val="20"/>
                <w:color w:val="auto"/>
              </w:rPr>
            </w:pPr>
            <w:r>
              <w:rPr>
                <w:rFonts w:ascii="Arial" w:cs="Arial" w:eastAsia="Arial" w:hAnsi="Arial"/>
                <w:sz w:val="14"/>
                <w:szCs w:val="14"/>
                <w:color w:val="auto"/>
              </w:rPr>
              <w:t>Typhoid vaccine</w:t>
            </w:r>
          </w:p>
        </w:tc>
        <w:tc>
          <w:tcPr>
            <w:tcW w:w="1440" w:type="dxa"/>
            <w:vAlign w:val="bottom"/>
          </w:tcPr>
          <w:p>
            <w:pPr>
              <w:ind w:left="140"/>
              <w:spacing w:after="0"/>
              <w:rPr>
                <w:sz w:val="20"/>
                <w:szCs w:val="20"/>
                <w:color w:val="auto"/>
              </w:rPr>
            </w:pPr>
            <w:r>
              <w:rPr>
                <w:rFonts w:ascii="Arial" w:cs="Arial" w:eastAsia="Arial" w:hAnsi="Arial"/>
                <w:sz w:val="14"/>
                <w:szCs w:val="14"/>
                <w:color w:val="auto"/>
              </w:rPr>
              <w:t>Prophylactic</w:t>
            </w:r>
          </w:p>
        </w:tc>
        <w:tc>
          <w:tcPr>
            <w:tcW w:w="1600" w:type="dxa"/>
            <w:vAlign w:val="bottom"/>
          </w:tcPr>
          <w:p>
            <w:pPr>
              <w:ind w:left="560"/>
              <w:spacing w:after="0"/>
              <w:rPr>
                <w:sz w:val="20"/>
                <w:szCs w:val="20"/>
                <w:color w:val="auto"/>
              </w:rPr>
            </w:pPr>
            <w:r>
              <w:rPr>
                <w:rFonts w:ascii="Arial" w:cs="Arial" w:eastAsia="Arial" w:hAnsi="Arial"/>
                <w:sz w:val="14"/>
                <w:szCs w:val="14"/>
                <w:color w:val="auto"/>
              </w:rPr>
              <w:t>Phase II</w:t>
            </w:r>
          </w:p>
        </w:tc>
        <w:tc>
          <w:tcPr>
            <w:tcW w:w="3180" w:type="dxa"/>
            <w:vAlign w:val="bottom"/>
          </w:tcPr>
          <w:p>
            <w:pPr>
              <w:ind w:left="400"/>
              <w:spacing w:after="0"/>
              <w:rPr>
                <w:sz w:val="20"/>
                <w:szCs w:val="20"/>
                <w:color w:val="auto"/>
              </w:rPr>
            </w:pPr>
            <w:r>
              <w:rPr>
                <w:rFonts w:ascii="Arial" w:cs="Arial" w:eastAsia="Arial" w:hAnsi="Arial"/>
                <w:sz w:val="14"/>
                <w:szCs w:val="14"/>
                <w:color w:val="auto"/>
                <w:w w:val="99"/>
              </w:rPr>
              <w:t>Phase I clinical trial in Vietnam completed for</w:t>
            </w:r>
          </w:p>
        </w:tc>
      </w:tr>
      <w:tr>
        <w:trPr>
          <w:trHeight w:val="157"/>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80" w:type="dxa"/>
            <w:vAlign w:val="bottom"/>
          </w:tcPr>
          <w:p>
            <w:pPr>
              <w:ind w:left="400"/>
              <w:spacing w:after="0" w:line="157" w:lineRule="exact"/>
              <w:rPr>
                <w:sz w:val="20"/>
                <w:szCs w:val="20"/>
                <w:color w:val="auto"/>
              </w:rPr>
            </w:pPr>
            <w:r>
              <w:rPr>
                <w:rFonts w:ascii="Arial" w:cs="Arial" w:eastAsia="Arial" w:hAnsi="Arial"/>
                <w:sz w:val="14"/>
                <w:szCs w:val="14"/>
                <w:color w:val="auto"/>
              </w:rPr>
              <w:t>a drinkable single dose regimen; plan to</w:t>
            </w:r>
          </w:p>
        </w:tc>
      </w:tr>
      <w:tr>
        <w:trPr>
          <w:trHeight w:val="157"/>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80" w:type="dxa"/>
            <w:vAlign w:val="bottom"/>
          </w:tcPr>
          <w:p>
            <w:pPr>
              <w:ind w:left="400"/>
              <w:spacing w:after="0" w:line="157" w:lineRule="exact"/>
              <w:rPr>
                <w:sz w:val="20"/>
                <w:szCs w:val="20"/>
                <w:color w:val="auto"/>
              </w:rPr>
            </w:pPr>
            <w:r>
              <w:rPr>
                <w:rFonts w:ascii="Arial" w:cs="Arial" w:eastAsia="Arial" w:hAnsi="Arial"/>
                <w:sz w:val="14"/>
                <w:szCs w:val="14"/>
                <w:color w:val="auto"/>
                <w:w w:val="99"/>
              </w:rPr>
              <w:t>initiate Phase II clinical trial in Vietnam in the</w:t>
            </w:r>
          </w:p>
        </w:tc>
      </w:tr>
      <w:tr>
        <w:trPr>
          <w:trHeight w:val="168"/>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80" w:type="dxa"/>
            <w:vAlign w:val="bottom"/>
          </w:tcPr>
          <w:p>
            <w:pPr>
              <w:ind w:left="400"/>
              <w:spacing w:after="0"/>
              <w:rPr>
                <w:sz w:val="20"/>
                <w:szCs w:val="20"/>
                <w:color w:val="auto"/>
              </w:rPr>
            </w:pPr>
            <w:r>
              <w:rPr>
                <w:rFonts w:ascii="Arial" w:cs="Arial" w:eastAsia="Arial" w:hAnsi="Arial"/>
                <w:sz w:val="14"/>
                <w:szCs w:val="14"/>
                <w:color w:val="auto"/>
              </w:rPr>
              <w:t>fourth quarter of 2006</w:t>
            </w:r>
          </w:p>
        </w:tc>
      </w:tr>
      <w:tr>
        <w:trPr>
          <w:trHeight w:val="303"/>
        </w:trPr>
        <w:tc>
          <w:tcPr>
            <w:tcW w:w="1840" w:type="dxa"/>
            <w:vAlign w:val="bottom"/>
            <w:gridSpan w:val="2"/>
          </w:tcPr>
          <w:p>
            <w:pPr>
              <w:spacing w:after="0"/>
              <w:rPr>
                <w:sz w:val="20"/>
                <w:szCs w:val="20"/>
                <w:color w:val="auto"/>
              </w:rPr>
            </w:pPr>
            <w:r>
              <w:rPr>
                <w:rFonts w:ascii="Arial" w:cs="Arial" w:eastAsia="Arial" w:hAnsi="Arial"/>
                <w:sz w:val="14"/>
                <w:szCs w:val="14"/>
                <w:color w:val="auto"/>
              </w:rPr>
              <w:t>Hepatitis B therapeutic</w:t>
            </w:r>
          </w:p>
        </w:tc>
        <w:tc>
          <w:tcPr>
            <w:tcW w:w="1440" w:type="dxa"/>
            <w:vAlign w:val="bottom"/>
          </w:tcPr>
          <w:p>
            <w:pPr>
              <w:ind w:left="140"/>
              <w:spacing w:after="0"/>
              <w:rPr>
                <w:sz w:val="20"/>
                <w:szCs w:val="20"/>
                <w:color w:val="auto"/>
              </w:rPr>
            </w:pPr>
            <w:r>
              <w:rPr>
                <w:rFonts w:ascii="Arial" w:cs="Arial" w:eastAsia="Arial" w:hAnsi="Arial"/>
                <w:sz w:val="14"/>
                <w:szCs w:val="14"/>
                <w:color w:val="auto"/>
              </w:rPr>
              <w:t>Therapeutic</w:t>
            </w:r>
          </w:p>
        </w:tc>
        <w:tc>
          <w:tcPr>
            <w:tcW w:w="1600" w:type="dxa"/>
            <w:vAlign w:val="bottom"/>
          </w:tcPr>
          <w:p>
            <w:pPr>
              <w:ind w:left="560"/>
              <w:spacing w:after="0"/>
              <w:rPr>
                <w:sz w:val="20"/>
                <w:szCs w:val="20"/>
                <w:color w:val="auto"/>
              </w:rPr>
            </w:pPr>
            <w:r>
              <w:rPr>
                <w:rFonts w:ascii="Arial" w:cs="Arial" w:eastAsia="Arial" w:hAnsi="Arial"/>
                <w:sz w:val="14"/>
                <w:szCs w:val="14"/>
                <w:color w:val="auto"/>
              </w:rPr>
              <w:t>Phase II</w:t>
            </w:r>
          </w:p>
        </w:tc>
        <w:tc>
          <w:tcPr>
            <w:tcW w:w="3180" w:type="dxa"/>
            <w:vAlign w:val="bottom"/>
          </w:tcPr>
          <w:p>
            <w:pPr>
              <w:ind w:left="400"/>
              <w:spacing w:after="0"/>
              <w:rPr>
                <w:sz w:val="20"/>
                <w:szCs w:val="20"/>
                <w:color w:val="auto"/>
              </w:rPr>
            </w:pPr>
            <w:r>
              <w:rPr>
                <w:rFonts w:ascii="Arial" w:cs="Arial" w:eastAsia="Arial" w:hAnsi="Arial"/>
                <w:sz w:val="14"/>
                <w:szCs w:val="14"/>
                <w:color w:val="auto"/>
              </w:rPr>
              <w:t>Phase I clinical trial in the United Kingdom</w:t>
            </w:r>
          </w:p>
        </w:tc>
      </w:tr>
      <w:tr>
        <w:trPr>
          <w:trHeight w:val="157"/>
        </w:trPr>
        <w:tc>
          <w:tcPr>
            <w:tcW w:w="184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vaccine</w:t>
            </w:r>
          </w:p>
        </w:tc>
        <w:tc>
          <w:tcPr>
            <w:tcW w:w="1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80" w:type="dxa"/>
            <w:vAlign w:val="bottom"/>
          </w:tcPr>
          <w:p>
            <w:pPr>
              <w:ind w:left="400"/>
              <w:spacing w:after="0" w:line="157" w:lineRule="exact"/>
              <w:rPr>
                <w:sz w:val="20"/>
                <w:szCs w:val="20"/>
                <w:color w:val="auto"/>
              </w:rPr>
            </w:pPr>
            <w:r>
              <w:rPr>
                <w:rFonts w:ascii="Arial" w:cs="Arial" w:eastAsia="Arial" w:hAnsi="Arial"/>
                <w:sz w:val="14"/>
                <w:szCs w:val="14"/>
                <w:color w:val="auto"/>
              </w:rPr>
              <w:t>completed for a drinkable multiple dose</w:t>
            </w:r>
          </w:p>
        </w:tc>
      </w:tr>
      <w:tr>
        <w:trPr>
          <w:trHeight w:val="157"/>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80" w:type="dxa"/>
            <w:vAlign w:val="bottom"/>
          </w:tcPr>
          <w:p>
            <w:pPr>
              <w:ind w:left="400"/>
              <w:spacing w:after="0" w:line="157" w:lineRule="exact"/>
              <w:rPr>
                <w:sz w:val="20"/>
                <w:szCs w:val="20"/>
                <w:color w:val="auto"/>
              </w:rPr>
            </w:pPr>
            <w:r>
              <w:rPr>
                <w:rFonts w:ascii="Arial" w:cs="Arial" w:eastAsia="Arial" w:hAnsi="Arial"/>
                <w:sz w:val="14"/>
                <w:szCs w:val="14"/>
                <w:color w:val="auto"/>
              </w:rPr>
              <w:t>regimen; clinical trial application approved in</w:t>
            </w:r>
          </w:p>
        </w:tc>
      </w:tr>
      <w:tr>
        <w:trPr>
          <w:trHeight w:val="157"/>
        </w:trPr>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180" w:type="dxa"/>
            <w:vAlign w:val="bottom"/>
          </w:tcPr>
          <w:p>
            <w:pPr>
              <w:ind w:left="400"/>
              <w:spacing w:after="0" w:line="157" w:lineRule="exact"/>
              <w:rPr>
                <w:sz w:val="20"/>
                <w:szCs w:val="20"/>
                <w:color w:val="auto"/>
              </w:rPr>
            </w:pPr>
            <w:r>
              <w:rPr>
                <w:rFonts w:ascii="Arial" w:cs="Arial" w:eastAsia="Arial" w:hAnsi="Arial"/>
                <w:sz w:val="14"/>
                <w:szCs w:val="14"/>
                <w:color w:val="auto"/>
              </w:rPr>
              <w:t>the United Kingdom for a Phase II clinical</w:t>
            </w:r>
          </w:p>
        </w:tc>
      </w:tr>
      <w:tr>
        <w:trPr>
          <w:trHeight w:val="168"/>
        </w:trPr>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180" w:type="dxa"/>
            <w:vAlign w:val="bottom"/>
          </w:tcPr>
          <w:p>
            <w:pPr>
              <w:ind w:left="400"/>
              <w:spacing w:after="0"/>
              <w:rPr>
                <w:sz w:val="20"/>
                <w:szCs w:val="20"/>
                <w:color w:val="auto"/>
              </w:rPr>
            </w:pPr>
            <w:r>
              <w:rPr>
                <w:rFonts w:ascii="Arial" w:cs="Arial" w:eastAsia="Arial" w:hAnsi="Arial"/>
                <w:sz w:val="14"/>
                <w:szCs w:val="14"/>
                <w:color w:val="auto"/>
              </w:rPr>
              <w:t>trial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-1206500</wp:posOffset>
            </wp:positionV>
            <wp:extent cx="6303010" cy="996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3010" cy="996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-508000</wp:posOffset>
            </wp:positionV>
            <wp:extent cx="6303010" cy="4991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3010" cy="4991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HPA — collaboration</w:t>
      </w:r>
    </w:p>
    <w:p>
      <w:pPr>
        <w:spacing w:after="0" w:line="310"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HPA — collaboration for development of a new botulinum toxoid vaccine</w:t>
      </w:r>
    </w:p>
    <w:p>
      <w:pPr>
        <w:spacing w:after="0" w:line="305"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Wellcome Trust — funding for Phase I and Phase II clinical trials in Vietnam</w:t>
      </w:r>
    </w:p>
    <w:p>
      <w:pPr>
        <w:spacing w:after="0" w:line="1225" w:lineRule="exact"/>
        <w:rPr>
          <w:sz w:val="20"/>
          <w:szCs w:val="20"/>
          <w:color w:val="auto"/>
        </w:rPr>
      </w:pPr>
    </w:p>
    <w:p>
      <w:pPr>
        <w:sectPr>
          <w:pgSz w:w="11900" w:h="16838" w:orient="portrait"/>
          <w:cols w:equalWidth="0" w:num="2">
            <w:col w:w="8060" w:space="200"/>
            <w:col w:w="1660"/>
          </w:cols>
          <w:pgMar w:left="940" w:top="918" w:right="10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20"/>
                <w:szCs w:val="20"/>
                <w:color w:val="auto"/>
              </w:rPr>
            </w:pPr>
            <w:r>
              <w:rPr>
                <w:rFonts w:ascii="Arial" w:cs="Arial" w:eastAsia="Arial" w:hAnsi="Arial"/>
                <w:sz w:val="14"/>
                <w:szCs w:val="14"/>
                <w:color w:val="auto"/>
              </w:rPr>
              <w:t>Group B streptococcus</w:t>
            </w:r>
          </w:p>
        </w:tc>
        <w:tc>
          <w:tcPr>
            <w:tcW w:w="1580" w:type="dxa"/>
            <w:vAlign w:val="bottom"/>
          </w:tcPr>
          <w:p>
            <w:pPr>
              <w:ind w:left="280"/>
              <w:spacing w:after="0"/>
              <w:rPr>
                <w:sz w:val="20"/>
                <w:szCs w:val="20"/>
                <w:color w:val="auto"/>
              </w:rPr>
            </w:pPr>
            <w:r>
              <w:rPr>
                <w:rFonts w:ascii="Arial" w:cs="Arial" w:eastAsia="Arial" w:hAnsi="Arial"/>
                <w:sz w:val="14"/>
                <w:szCs w:val="14"/>
                <w:color w:val="auto"/>
              </w:rPr>
              <w:t>Prophylactic</w:t>
            </w:r>
          </w:p>
        </w:tc>
        <w:tc>
          <w:tcPr>
            <w:tcW w:w="1600" w:type="dxa"/>
            <w:vAlign w:val="bottom"/>
          </w:tcPr>
          <w:p>
            <w:pPr>
              <w:ind w:left="560"/>
              <w:spacing w:after="0"/>
              <w:rPr>
                <w:sz w:val="20"/>
                <w:szCs w:val="20"/>
                <w:color w:val="auto"/>
              </w:rPr>
            </w:pPr>
            <w:r>
              <w:rPr>
                <w:rFonts w:ascii="Arial" w:cs="Arial" w:eastAsia="Arial" w:hAnsi="Arial"/>
                <w:sz w:val="14"/>
                <w:szCs w:val="14"/>
                <w:color w:val="auto"/>
              </w:rPr>
              <w:t>Phase I</w:t>
            </w:r>
          </w:p>
        </w:tc>
        <w:tc>
          <w:tcPr>
            <w:tcW w:w="3240" w:type="dxa"/>
            <w:vAlign w:val="bottom"/>
          </w:tcPr>
          <w:p>
            <w:pPr>
              <w:ind w:left="400"/>
              <w:spacing w:after="0"/>
              <w:rPr>
                <w:sz w:val="20"/>
                <w:szCs w:val="20"/>
                <w:color w:val="auto"/>
              </w:rPr>
            </w:pPr>
            <w:r>
              <w:rPr>
                <w:rFonts w:ascii="Arial" w:cs="Arial" w:eastAsia="Arial" w:hAnsi="Arial"/>
                <w:sz w:val="14"/>
                <w:szCs w:val="14"/>
                <w:color w:val="auto"/>
              </w:rPr>
              <w:t>One Phase I clinical trial in the United</w:t>
            </w:r>
          </w:p>
        </w:tc>
        <w:tc>
          <w:tcPr>
            <w:tcW w:w="1800" w:type="dxa"/>
            <w:vAlign w:val="bottom"/>
          </w:tcPr>
          <w:p>
            <w:pPr>
              <w:spacing w:after="0"/>
              <w:rPr>
                <w:sz w:val="14"/>
                <w:szCs w:val="14"/>
                <w:color w:val="auto"/>
              </w:rPr>
            </w:pPr>
          </w:p>
        </w:tc>
      </w:tr>
      <w:tr>
        <w:trPr>
          <w:trHeight w:val="157"/>
        </w:trPr>
        <w:tc>
          <w:tcPr>
            <w:tcW w:w="1700" w:type="dxa"/>
            <w:vAlign w:val="bottom"/>
          </w:tcPr>
          <w:p>
            <w:pPr>
              <w:ind w:left="140"/>
              <w:spacing w:after="0" w:line="157" w:lineRule="exact"/>
              <w:rPr>
                <w:sz w:val="20"/>
                <w:szCs w:val="20"/>
                <w:color w:val="auto"/>
              </w:rPr>
            </w:pPr>
            <w:r>
              <w:rPr>
                <w:rFonts w:ascii="Arial" w:cs="Arial" w:eastAsia="Arial" w:hAnsi="Arial"/>
                <w:sz w:val="14"/>
                <w:szCs w:val="14"/>
                <w:color w:val="auto"/>
              </w:rPr>
              <w:t>vaccine</w:t>
            </w:r>
          </w:p>
        </w:tc>
        <w:tc>
          <w:tcPr>
            <w:tcW w:w="15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40" w:type="dxa"/>
            <w:vAlign w:val="bottom"/>
          </w:tcPr>
          <w:p>
            <w:pPr>
              <w:ind w:left="400"/>
              <w:spacing w:after="0" w:line="157" w:lineRule="exact"/>
              <w:rPr>
                <w:sz w:val="20"/>
                <w:szCs w:val="20"/>
                <w:color w:val="auto"/>
              </w:rPr>
            </w:pPr>
            <w:r>
              <w:rPr>
                <w:rFonts w:ascii="Arial" w:cs="Arial" w:eastAsia="Arial" w:hAnsi="Arial"/>
                <w:sz w:val="14"/>
                <w:szCs w:val="14"/>
                <w:color w:val="auto"/>
              </w:rPr>
              <w:t>Kingdom completed; two additional Phase I</w:t>
            </w:r>
          </w:p>
        </w:tc>
        <w:tc>
          <w:tcPr>
            <w:tcW w:w="1800" w:type="dxa"/>
            <w:vAlign w:val="bottom"/>
          </w:tcPr>
          <w:p>
            <w:pPr>
              <w:spacing w:after="0"/>
              <w:rPr>
                <w:sz w:val="13"/>
                <w:szCs w:val="13"/>
                <w:color w:val="auto"/>
              </w:rPr>
            </w:pPr>
          </w:p>
        </w:tc>
      </w:tr>
      <w:tr>
        <w:trPr>
          <w:trHeight w:val="168"/>
        </w:trPr>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40" w:type="dxa"/>
            <w:vAlign w:val="bottom"/>
          </w:tcPr>
          <w:p>
            <w:pPr>
              <w:ind w:left="400"/>
              <w:spacing w:after="0"/>
              <w:rPr>
                <w:sz w:val="20"/>
                <w:szCs w:val="20"/>
                <w:color w:val="auto"/>
              </w:rPr>
            </w:pPr>
            <w:r>
              <w:rPr>
                <w:rFonts w:ascii="Arial" w:cs="Arial" w:eastAsia="Arial" w:hAnsi="Arial"/>
                <w:sz w:val="14"/>
                <w:szCs w:val="14"/>
                <w:color w:val="auto"/>
              </w:rPr>
              <w:t>clinical trials planned</w:t>
            </w:r>
          </w:p>
        </w:tc>
        <w:tc>
          <w:tcPr>
            <w:tcW w:w="1800" w:type="dxa"/>
            <w:vAlign w:val="bottom"/>
          </w:tcPr>
          <w:p>
            <w:pPr>
              <w:spacing w:after="0"/>
              <w:rPr>
                <w:sz w:val="14"/>
                <w:szCs w:val="14"/>
                <w:color w:val="auto"/>
              </w:rPr>
            </w:pPr>
          </w:p>
        </w:tc>
      </w:tr>
      <w:tr>
        <w:trPr>
          <w:trHeight w:val="141"/>
        </w:trPr>
        <w:tc>
          <w:tcPr>
            <w:tcW w:w="1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57"/>
        </w:trPr>
        <w:tc>
          <w:tcPr>
            <w:tcW w:w="17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Chlamydia vaccine</w:t>
            </w:r>
          </w:p>
        </w:tc>
        <w:tc>
          <w:tcPr>
            <w:tcW w:w="158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Prophylactic</w:t>
            </w:r>
          </w:p>
        </w:tc>
        <w:tc>
          <w:tcPr>
            <w:tcW w:w="1600" w:type="dxa"/>
            <w:vAlign w:val="bottom"/>
            <w:shd w:val="clear" w:color="auto" w:fill="CCEEFF"/>
          </w:tcPr>
          <w:p>
            <w:pPr>
              <w:ind w:left="560"/>
              <w:spacing w:after="0" w:line="157" w:lineRule="exact"/>
              <w:rPr>
                <w:sz w:val="20"/>
                <w:szCs w:val="20"/>
                <w:color w:val="auto"/>
              </w:rPr>
            </w:pPr>
            <w:r>
              <w:rPr>
                <w:rFonts w:ascii="Arial" w:cs="Arial" w:eastAsia="Arial" w:hAnsi="Arial"/>
                <w:sz w:val="14"/>
                <w:szCs w:val="14"/>
                <w:color w:val="auto"/>
              </w:rPr>
              <w:t>Preclinical</w:t>
            </w:r>
          </w:p>
        </w:tc>
        <w:tc>
          <w:tcPr>
            <w:tcW w:w="324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Proof-of-concept animal study completed</w:t>
            </w:r>
          </w:p>
        </w:tc>
        <w:tc>
          <w:tcPr>
            <w:tcW w:w="1800" w:type="dxa"/>
            <w:vAlign w:val="bottom"/>
            <w:shd w:val="clear" w:color="auto" w:fill="CCEEFF"/>
          </w:tcPr>
          <w:p>
            <w:pPr>
              <w:spacing w:after="0"/>
              <w:rPr>
                <w:sz w:val="13"/>
                <w:szCs w:val="13"/>
                <w:color w:val="auto"/>
              </w:rPr>
            </w:pPr>
          </w:p>
        </w:tc>
      </w:tr>
      <w:tr>
        <w:trPr>
          <w:trHeight w:val="319"/>
        </w:trPr>
        <w:tc>
          <w:tcPr>
            <w:tcW w:w="1700" w:type="dxa"/>
            <w:vAlign w:val="bottom"/>
          </w:tcPr>
          <w:p>
            <w:pPr>
              <w:spacing w:after="0"/>
              <w:rPr>
                <w:sz w:val="20"/>
                <w:szCs w:val="20"/>
                <w:color w:val="auto"/>
              </w:rPr>
            </w:pPr>
            <w:r>
              <w:rPr>
                <w:rFonts w:ascii="Arial" w:cs="Arial" w:eastAsia="Arial" w:hAnsi="Arial"/>
                <w:sz w:val="14"/>
                <w:szCs w:val="14"/>
                <w:color w:val="auto"/>
              </w:rPr>
              <w:t>Meningitis B vaccine</w:t>
            </w:r>
          </w:p>
        </w:tc>
        <w:tc>
          <w:tcPr>
            <w:tcW w:w="1580" w:type="dxa"/>
            <w:vAlign w:val="bottom"/>
          </w:tcPr>
          <w:p>
            <w:pPr>
              <w:ind w:left="280"/>
              <w:spacing w:after="0"/>
              <w:rPr>
                <w:sz w:val="20"/>
                <w:szCs w:val="20"/>
                <w:color w:val="auto"/>
              </w:rPr>
            </w:pPr>
            <w:r>
              <w:rPr>
                <w:rFonts w:ascii="Arial" w:cs="Arial" w:eastAsia="Arial" w:hAnsi="Arial"/>
                <w:sz w:val="14"/>
                <w:szCs w:val="14"/>
                <w:color w:val="auto"/>
              </w:rPr>
              <w:t>Prophylactic</w:t>
            </w:r>
          </w:p>
        </w:tc>
        <w:tc>
          <w:tcPr>
            <w:tcW w:w="1600" w:type="dxa"/>
            <w:vAlign w:val="bottom"/>
          </w:tcPr>
          <w:p>
            <w:pPr>
              <w:ind w:left="560"/>
              <w:spacing w:after="0"/>
              <w:rPr>
                <w:sz w:val="20"/>
                <w:szCs w:val="20"/>
                <w:color w:val="auto"/>
              </w:rPr>
            </w:pPr>
            <w:r>
              <w:rPr>
                <w:rFonts w:ascii="Arial" w:cs="Arial" w:eastAsia="Arial" w:hAnsi="Arial"/>
                <w:sz w:val="14"/>
                <w:szCs w:val="14"/>
                <w:color w:val="auto"/>
              </w:rPr>
              <w:t>Preclinical</w:t>
            </w:r>
          </w:p>
        </w:tc>
        <w:tc>
          <w:tcPr>
            <w:tcW w:w="3240" w:type="dxa"/>
            <w:vAlign w:val="bottom"/>
          </w:tcPr>
          <w:p>
            <w:pPr>
              <w:ind w:left="400"/>
              <w:spacing w:after="0"/>
              <w:rPr>
                <w:sz w:val="20"/>
                <w:szCs w:val="20"/>
                <w:color w:val="auto"/>
              </w:rPr>
            </w:pPr>
            <w:r>
              <w:rPr>
                <w:rFonts w:ascii="Arial" w:cs="Arial" w:eastAsia="Arial" w:hAnsi="Arial"/>
                <w:sz w:val="14"/>
                <w:szCs w:val="14"/>
                <w:color w:val="auto"/>
              </w:rPr>
              <w:t>Antigen identification ongoing</w:t>
            </w:r>
          </w:p>
        </w:tc>
        <w:tc>
          <w:tcPr>
            <w:tcW w:w="1800" w:type="dxa"/>
            <w:vAlign w:val="bottom"/>
          </w:tcPr>
          <w:p>
            <w:pPr>
              <w:ind w:left="140"/>
              <w:spacing w:after="0"/>
              <w:rPr>
                <w:sz w:val="20"/>
                <w:szCs w:val="20"/>
                <w:color w:val="auto"/>
              </w:rPr>
            </w:pPr>
            <w:r>
              <w:rPr>
                <w:rFonts w:ascii="Arial" w:cs="Arial" w:eastAsia="Arial" w:hAnsi="Arial"/>
                <w:sz w:val="14"/>
                <w:szCs w:val="14"/>
                <w:color w:val="auto"/>
              </w:rPr>
              <w:t>Sanofi Pasteur —</w:t>
            </w:r>
          </w:p>
        </w:tc>
      </w:tr>
      <w:tr>
        <w:trPr>
          <w:trHeight w:val="166"/>
        </w:trPr>
        <w:tc>
          <w:tcPr>
            <w:tcW w:w="17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collaboration</w:t>
            </w:r>
          </w:p>
        </w:tc>
      </w:tr>
    </w:tbl>
    <w:p>
      <w:pPr>
        <w:spacing w:after="0" w:line="83" w:lineRule="exact"/>
        <w:rPr>
          <w:sz w:val="20"/>
          <w:szCs w:val="20"/>
          <w:color w:val="auto"/>
        </w:rPr>
      </w:pPr>
    </w:p>
    <w:p>
      <w:pPr>
        <w:ind w:left="200" w:hanging="160"/>
        <w:spacing w:after="0" w:line="237" w:lineRule="auto"/>
        <w:tabs>
          <w:tab w:leader="none" w:pos="2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currently intend to rely on the FDA animal rule in seeking marketing approval for these product candidates. 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For more information about the FDA animal rule, see “— Government regulation — Clinical trials.”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132080</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40" w:top="918" w:right="1039" w:bottom="1440" w:gutter="0" w:footer="0" w:header="0"/>
          <w:type w:val="continuous"/>
        </w:sectPr>
      </w:pPr>
    </w:p>
    <w:bookmarkStart w:id="93" w:name="page94"/>
    <w:bookmarkEnd w:id="93"/>
    <w:p>
      <w:pPr>
        <w:jc w:val="both"/>
        <w:ind w:right="240"/>
        <w:spacing w:after="0" w:line="247" w:lineRule="auto"/>
        <w:rPr>
          <w:sz w:val="20"/>
          <w:szCs w:val="20"/>
          <w:color w:val="auto"/>
        </w:rPr>
      </w:pPr>
      <w:r>
        <w:rPr>
          <w:rFonts w:ascii="Arial" w:cs="Arial" w:eastAsia="Arial" w:hAnsi="Arial"/>
          <w:sz w:val="17"/>
          <w:szCs w:val="17"/>
          <w:color w:val="auto"/>
        </w:rPr>
        <w:t>No assessment of the safety or efficacy of our vaccine candidates can be considered definitive until all clinical trials needed to support a submission for marketing approval are completed. The results of our completed preclinical tests and Phase I clinical trials do not ensure that our planned later stage clinical trials for our vaccine candidates will be successful. A failure of one or more of our clinical trials can occur at any stage of testing.</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Biodefense business</w:t>
      </w:r>
    </w:p>
    <w:p>
      <w:pPr>
        <w:spacing w:after="0" w:line="8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our biodefense business, we are developing and commercializing immunobiotics for use against biological agents that are potential weapons of bioterrorism. Our marketed product, BioThrax, is the only vaccine approved by the FDA for the prevention of anthrax infection. In addition to BioThrax, our biodefense product portfolio includes three product candidates in preclinical development and a next generation anthrax vaccine program with product candidates in preclinical and Phase I clinical development. We are developing all of our biodefense product candidates to address category A biological agents, which are the class of biological agents that the CDC has identified as the greatest possible threat to public health.</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BioThrax (anthrax vaccine adsorbed)</w:t>
      </w:r>
    </w:p>
    <w:p>
      <w:pPr>
        <w:spacing w:after="0" w:line="6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i w:val="1"/>
          <w:iCs w:val="1"/>
          <w:color w:val="auto"/>
        </w:rPr>
        <w:t xml:space="preserve">Anthrax overview. </w:t>
      </w:r>
      <w:r>
        <w:rPr>
          <w:rFonts w:ascii="Arial" w:cs="Arial" w:eastAsia="Arial" w:hAnsi="Arial"/>
          <w:sz w:val="17"/>
          <w:szCs w:val="17"/>
          <w:color w:val="auto"/>
        </w:rPr>
        <w:t>Anthrax is a potentially fatal disease caused by the spore forming bacterium</w:t>
      </w:r>
      <w:r>
        <w:rPr>
          <w:rFonts w:ascii="Arial" w:cs="Arial" w:eastAsia="Arial" w:hAnsi="Arial"/>
          <w:sz w:val="17"/>
          <w:szCs w:val="17"/>
          <w:i w:val="1"/>
          <w:iCs w:val="1"/>
          <w:color w:val="auto"/>
        </w:rPr>
        <w:t xml:space="preserve"> Bacillus anthracis</w:t>
      </w:r>
      <w:r>
        <w:rPr>
          <w:rFonts w:ascii="Arial" w:cs="Arial" w:eastAsia="Arial" w:hAnsi="Arial"/>
          <w:sz w:val="17"/>
          <w:szCs w:val="17"/>
          <w:color w:val="auto"/>
        </w:rPr>
        <w:t>. Anthrax</w:t>
      </w:r>
      <w:r>
        <w:rPr>
          <w:rFonts w:ascii="Arial" w:cs="Arial" w:eastAsia="Arial" w:hAnsi="Arial"/>
          <w:sz w:val="17"/>
          <w:szCs w:val="17"/>
          <w:i w:val="1"/>
          <w:iCs w:val="1"/>
          <w:color w:val="auto"/>
        </w:rPr>
        <w:t xml:space="preserve"> </w:t>
      </w:r>
      <w:r>
        <w:rPr>
          <w:rFonts w:ascii="Arial" w:cs="Arial" w:eastAsia="Arial" w:hAnsi="Arial"/>
          <w:sz w:val="17"/>
          <w:szCs w:val="17"/>
          <w:color w:val="auto"/>
        </w:rPr>
        <w:t>bacteria are naturally occurring, and spores are found in soil throughout the world. Anthrax spores can withstand extreme heat, cold and drought for long periods without nutrients or air. Anthrax infections occur if the spores enter the body through a cut, abrasion or open sore, referred to as cutaneous anthrax, or by ingestion or inhalation of the spores. Once inside the body, anthrax spores germinate into bacteria that then multiply. Anthrax bacteria secrete three toxin proteins, protective antigen, lethal factor and edema factor, which are individually non-toxic but can become highly toxic if allowed to interact on the surface of human or animal cells.</w:t>
      </w:r>
    </w:p>
    <w:p>
      <w:pPr>
        <w:spacing w:after="0" w:line="246" w:lineRule="exact"/>
        <w:rPr>
          <w:sz w:val="20"/>
          <w:szCs w:val="20"/>
          <w:color w:val="auto"/>
        </w:rPr>
      </w:pPr>
    </w:p>
    <w:p>
      <w:pPr>
        <w:jc w:val="both"/>
        <w:ind w:right="480"/>
        <w:spacing w:after="0" w:line="250" w:lineRule="auto"/>
        <w:rPr>
          <w:sz w:val="20"/>
          <w:szCs w:val="20"/>
          <w:color w:val="auto"/>
        </w:rPr>
      </w:pPr>
      <w:r>
        <w:rPr>
          <w:rFonts w:ascii="Arial" w:cs="Arial" w:eastAsia="Arial" w:hAnsi="Arial"/>
          <w:sz w:val="17"/>
          <w:szCs w:val="17"/>
          <w:color w:val="auto"/>
        </w:rPr>
        <w:t>Cutaneous anthrax, although rare in the United States, is the most common type of naturally acquired anthrax. Cutaneous anthrax is typically acquired through contact with contaminated animals and animal products. The fatality rate for untreated cases of cutaneous anthrax is estimated to be approximately 20%.</w:t>
      </w:r>
    </w:p>
    <w:p>
      <w:pPr>
        <w:spacing w:after="0" w:line="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Inhalational anthrax is the most lethal form of anthrax. We believe that aerosolized anthrax spores are the most likely method to be used in a potential anthrax bioterrorism attack. Inhalational anthrax has been reported to occur from one to 43 days after exposure to aerosolized spores. Initial symptoms of inhalational anthrax are non-specific and may include sore throat, mild fever, cough, achiness or weakness, lasting up to a few days. After a brief period of improvement, the release of anthrax toxins may cause an abrupt deterioration of the infected person, with the sudden onset of symptoms, including fever, respiratory failure as the lungs fill with fluids and shock. Hemorrhagic meningitis is common. Death often occurs within 24 hours of the onset of advanced respiratory complications. The fatality rate for inhalational anthrax is estimated to be between 45% and 90%, depending on whether aggressive, early treatment is provided.</w:t>
      </w:r>
    </w:p>
    <w:p>
      <w:pPr>
        <w:spacing w:after="0" w:line="106"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To date, the principal customer for anthrax vaccines has been the U.S. government. Because of concerns regarding the use of anthrax spores as a biological weapon during the first Persian Gulf War, the DoD began administering BioThrax to military personnel in 1990. Since 1998, we have been a party to two supply agreements for BioThrax with the DoD. Pursuant to these contracts, we supplied over nine million doses of BioThrax through September 2006 to the DoD for immunization of military personnel. Since March 1998, the DoD has vaccinated more than 1.5 million military personnel with more than 5.7 million doses of BioThrax. Our current contract with the DoD provides for the supply of a minimum of approximately 1.5 million additional doses of BioThrax to the DoD through September 2007. We expect to deliver to the DoD approximately 480,000 of these doses by December 2006, with the balance to be delivered by September 2007. In October 2006, the DoD announced that it is resuming a mandatory vaccination program for BioThrax for designated military personnel and emergency-essential and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94" w:name="page95"/>
    <w:bookmarkEnd w:id="94"/>
    <w:p>
      <w:pPr>
        <w:spacing w:after="0" w:line="258" w:lineRule="auto"/>
        <w:rPr>
          <w:sz w:val="20"/>
          <w:szCs w:val="20"/>
          <w:color w:val="auto"/>
        </w:rPr>
      </w:pPr>
      <w:r>
        <w:rPr>
          <w:rFonts w:ascii="Arial" w:cs="Arial" w:eastAsia="Arial" w:hAnsi="Arial"/>
          <w:sz w:val="17"/>
          <w:szCs w:val="17"/>
          <w:color w:val="auto"/>
        </w:rPr>
        <w:t>comparable civilian personnel. For personnel not deployed in high threat areas or no longer assigned designated special mission roles, vaccination will be on a voluntary basis.</w:t>
      </w:r>
    </w:p>
    <w:p>
      <w:pPr>
        <w:spacing w:after="0" w:line="38"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May 2005, we entered into an agreement to supply five million doses of BioThrax to HHS for placement into the strategic national stockpile for a fixed price of $123 million. We completed delivery of all five million doses by February 2006, seven months earlier than required. In May 2006, we entered into a contract modification with HHS for the delivery of an additional five million doses of BioThrax to HHS by May 2007 for a fixed price of $120 million. We have delivered approximately one million doses of BioThrax under this contract modification through September 2006. We expect to deliver to HHS between 1.25 million and 1.75 million doses of BioThrax in each of November 2006 and December 2006, with the balance to be delivered in the first half of 2007 prior to expiration of the contract.</w:t>
      </w:r>
    </w:p>
    <w:p>
      <w:pPr>
        <w:spacing w:after="0" w:line="4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Following the October 2001 anthrax letter attacks, the CDC provided BioThrax under an investigational new drug application, or IND, protocol for administration on a voluntary basis to Capitol Hill employees and others who may have been exposed to anthrax. In addition, we have supplied small amounts of BioThrax directly to several foreign governments. It is our understanding that the DoD has sold BioThrax to the governments of a number of other foreign countries for the protection of military personnel. We believe that state and local governments and several foreign governments are significant potential customers for BioThrax. Our total revenues from BioThrax sales were $55.5 million in 2003, $81.0 million in 2004, $127.3 million in 2005 and $61.3 million in the nine months ended September 30, 2006.</w:t>
      </w:r>
    </w:p>
    <w:p>
      <w:pPr>
        <w:spacing w:after="0" w:line="3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i w:val="1"/>
          <w:iCs w:val="1"/>
          <w:color w:val="auto"/>
        </w:rPr>
        <w:t xml:space="preserve">Current treatments. </w:t>
      </w:r>
      <w:r>
        <w:rPr>
          <w:rFonts w:ascii="Arial" w:cs="Arial" w:eastAsia="Arial" w:hAnsi="Arial"/>
          <w:sz w:val="17"/>
          <w:szCs w:val="17"/>
          <w:color w:val="auto"/>
        </w:rPr>
        <w:t>The only FDA approved product for pre-exposure prophylaxis of anthrax infection is BioThrax. The only FDA</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products for post-exposure prophylaxis of anthrax infection are antibiotics, which are typically administered over a</w:t>
      </w:r>
    </w:p>
    <w:p>
      <w:pPr>
        <w:ind w:right="20"/>
        <w:spacing w:after="0" w:line="243" w:lineRule="auto"/>
        <w:rPr>
          <w:sz w:val="20"/>
          <w:szCs w:val="20"/>
          <w:color w:val="auto"/>
        </w:rPr>
      </w:pPr>
      <w:r>
        <w:rPr>
          <w:rFonts w:ascii="Arial" w:cs="Arial" w:eastAsia="Arial" w:hAnsi="Arial"/>
          <w:sz w:val="17"/>
          <w:szCs w:val="17"/>
          <w:color w:val="auto"/>
        </w:rPr>
        <w:t>60-day period. Antibiotics prevent anthrax disease by killing the anthrax bacteria before the bacteria can release anthrax toxins into the body. However, antibiotics are not effective against anthrax toxins after the toxins have been released into the body and do not kill anthrax spores that may remain in the body for extended periods after exposure. In addition, antibiotics may not be effective against antibiotic resistant strains of anthrax. Anthrax spores that remain in the body can potentially lead to infection following the end of antibiotic treatment. Infection also may occur if patients do not adhere to the prolonged course of antibiotic treatment or are not able to remain on antibiotics for extended periods of time. Because of these limitations, the CDC recommends administering BioThrax in combination with antibiotics under an IND with informed consent of the patient as a post-exposure prophylaxis for anthrax infection as an emergency public health intervention. While BioThrax is not currently approved by the FDA for post-exposure prophylaxis, as discussed below, we are actively pursuing a label expansion for this indication.</w:t>
      </w:r>
    </w:p>
    <w:p>
      <w:pPr>
        <w:spacing w:after="0" w:line="34"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 xml:space="preserve">Description and benefits of BioThrax. </w:t>
      </w:r>
      <w:r>
        <w:rPr>
          <w:rFonts w:ascii="Arial" w:cs="Arial" w:eastAsia="Arial" w:hAnsi="Arial"/>
          <w:sz w:val="17"/>
          <w:szCs w:val="17"/>
          <w:color w:val="auto"/>
        </w:rPr>
        <w:t>BioThrax is the only FDA approved vaccine for the prevention of anthrax infection. It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approved by the FDA as a pre-exposure prophylaxis for use in adults who are at high risk of exposure to anthrax spores. BioThrax is manufactured from a culture filtrate, made from a non-virulent strain of </w:t>
      </w:r>
      <w:r>
        <w:rPr>
          <w:rFonts w:ascii="Arial" w:cs="Arial" w:eastAsia="Arial" w:hAnsi="Arial"/>
          <w:sz w:val="17"/>
          <w:szCs w:val="17"/>
          <w:i w:val="1"/>
          <w:iCs w:val="1"/>
          <w:color w:val="auto"/>
        </w:rPr>
        <w:t>Bacillus anthracis,</w:t>
      </w:r>
      <w:r>
        <w:rPr>
          <w:rFonts w:ascii="Arial" w:cs="Arial" w:eastAsia="Arial" w:hAnsi="Arial"/>
          <w:sz w:val="17"/>
          <w:szCs w:val="17"/>
          <w:color w:val="auto"/>
        </w:rPr>
        <w:t xml:space="preserve"> and contains no dead or live bacteria. BioThrax is administered by subcutaneous injection in three initial doses followed by three additional doses, with an annual booster dose recommended thereafter. The three initial doses are given two weeks apart followed by three additional doses given at six, 12 and 18 months following the first vaccination. BioThrax includes aluminum hydroxide, or alum, as an adjuvant.</w:t>
      </w:r>
    </w:p>
    <w:p>
      <w:pPr>
        <w:spacing w:after="0" w:line="24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NIH originally approved the manufacture and sale of BioThrax by the Michigan Department of Public Health in 1970. In 1972, responsibility for approving biological products transferred from the NIH to the FDA. Following that transfer of responsibility, the FDA established procedures for reviewing the safety and efficacy of biological products, including BioThrax, that had been previously approved by the NIH. The FDA set out to categorize the products according to evidence of safety and effectiveness and determine if the products should remain approved and on the market. In December 1985, the FDA issued a proposed rule containing a finding that BioThrax was safe and effective. However, the FDA did not finalize that proposed rule pursuant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95" w:name="page96"/>
    <w:bookmarkEnd w:id="95"/>
    <w:p>
      <w:pPr>
        <w:ind w:right="100"/>
        <w:spacing w:after="0" w:line="247" w:lineRule="auto"/>
        <w:rPr>
          <w:sz w:val="20"/>
          <w:szCs w:val="20"/>
          <w:color w:val="auto"/>
        </w:rPr>
      </w:pPr>
      <w:r>
        <w:rPr>
          <w:rFonts w:ascii="Arial" w:cs="Arial" w:eastAsia="Arial" w:hAnsi="Arial"/>
          <w:sz w:val="17"/>
          <w:szCs w:val="17"/>
          <w:color w:val="auto"/>
        </w:rPr>
        <w:t>to applicable notice and comment requirements. In December 2005, based on a review of data from the study used to support the original marketing approval of BioThrax and other studies of the use of BioThrax in humans, including studies by the CDC and the DoD, the FDA issued a final order regarding BioThrax. In the final order, the FDA affirmed the approval of BioThrax and found, among other things, that:</w:t>
      </w:r>
    </w:p>
    <w:p>
      <w:pPr>
        <w:spacing w:after="0" w:line="46" w:lineRule="exact"/>
        <w:rPr>
          <w:sz w:val="20"/>
          <w:szCs w:val="20"/>
          <w:color w:val="auto"/>
        </w:rPr>
      </w:pPr>
    </w:p>
    <w:p>
      <w:pPr>
        <w:ind w:left="220" w:hanging="210"/>
        <w:spacing w:after="0"/>
        <w:tabs>
          <w:tab w:leader="none" w:pos="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BioThrax is safe and effective;</w:t>
      </w:r>
    </w:p>
    <w:p>
      <w:pPr>
        <w:spacing w:after="0" w:line="53" w:lineRule="exact"/>
        <w:rPr>
          <w:rFonts w:ascii="Arial" w:cs="Arial" w:eastAsia="Arial" w:hAnsi="Arial"/>
          <w:sz w:val="17"/>
          <w:szCs w:val="17"/>
          <w:color w:val="auto"/>
        </w:rPr>
      </w:pPr>
    </w:p>
    <w:p>
      <w:pPr>
        <w:ind w:left="220" w:right="320" w:hanging="210"/>
        <w:spacing w:after="0" w:line="258" w:lineRule="auto"/>
        <w:tabs>
          <w:tab w:leader="none" w:pos="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study used to support the original marketing approval of BioThrax constituted a well controlled human efficacy study in which BioThrax was 92.5% effective in preventing inhalational and cutaneous anthrax;</w:t>
      </w:r>
    </w:p>
    <w:p>
      <w:pPr>
        <w:spacing w:after="0" w:line="24" w:lineRule="exact"/>
        <w:rPr>
          <w:rFonts w:ascii="Arial" w:cs="Arial" w:eastAsia="Arial" w:hAnsi="Arial"/>
          <w:sz w:val="17"/>
          <w:szCs w:val="17"/>
          <w:color w:val="auto"/>
        </w:rPr>
      </w:pPr>
    </w:p>
    <w:p>
      <w:pPr>
        <w:ind w:left="220" w:right="540" w:hanging="210"/>
        <w:spacing w:after="0" w:line="250" w:lineRule="auto"/>
        <w:tabs>
          <w:tab w:leader="none" w:pos="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reported by the Institute of Medicine, studies in humans and animal models support the conclusion that BioThrax is effective against anthrax strains that are dependent upon the anthrax toxin as a mechanism of virulence by all routes of exposure, including inhalation;</w:t>
      </w:r>
    </w:p>
    <w:p>
      <w:pPr>
        <w:spacing w:after="0" w:line="30" w:lineRule="exact"/>
        <w:rPr>
          <w:rFonts w:ascii="Arial" w:cs="Arial" w:eastAsia="Arial" w:hAnsi="Arial"/>
          <w:sz w:val="17"/>
          <w:szCs w:val="17"/>
          <w:color w:val="auto"/>
        </w:rPr>
      </w:pPr>
    </w:p>
    <w:p>
      <w:pPr>
        <w:ind w:left="220" w:right="140" w:hanging="210"/>
        <w:spacing w:after="0" w:line="258" w:lineRule="auto"/>
        <w:tabs>
          <w:tab w:leader="none" w:pos="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periodic evaluations of reports in the vaccine adverse event reporting system database maintained by the CDC and the FDA confirm that BioThrax continues to be safe for its intended use; and</w:t>
      </w:r>
    </w:p>
    <w:p>
      <w:pPr>
        <w:spacing w:after="0" w:line="38" w:lineRule="exact"/>
        <w:rPr>
          <w:rFonts w:ascii="Arial" w:cs="Arial" w:eastAsia="Arial" w:hAnsi="Arial"/>
          <w:sz w:val="17"/>
          <w:szCs w:val="17"/>
          <w:color w:val="auto"/>
        </w:rPr>
      </w:pPr>
    </w:p>
    <w:p>
      <w:pPr>
        <w:ind w:left="220" w:right="660" w:hanging="210"/>
        <w:spacing w:after="0" w:line="258" w:lineRule="auto"/>
        <w:tabs>
          <w:tab w:leader="none" w:pos="2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reported by an independent advisory panel to the FDA, CDC data suggest that BioThrax is fairly well tolerated with systemic reactions and severe local reactions being relatively rare.</w:t>
      </w:r>
    </w:p>
    <w:p>
      <w:pPr>
        <w:spacing w:after="0" w:line="3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In a study published in 2002, the Institute of Medicine, which is a component of The National Academy of Sciences and provides independent, unbiased, evidence-based advice on matters pertaining to public health, found that BioThrax is an effective vaccine for protection against anthrax, including inhalational anthrax, caused by any known or plausible engineered strains and that no convincing evidence exists that people face an increased risk of experiencing short-term life-threatening or permanently disabling adverse effects from BioThrax or developing any adverse effects from long-term use of BioThrax.</w:t>
      </w:r>
    </w:p>
    <w:p>
      <w:pPr>
        <w:spacing w:after="0" w:line="50"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As with any pharmaceutical product, 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3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i w:val="1"/>
          <w:iCs w:val="1"/>
          <w:color w:val="auto"/>
        </w:rPr>
        <w:t xml:space="preserve">BioThrax development activities. </w:t>
      </w:r>
      <w:r>
        <w:rPr>
          <w:rFonts w:ascii="Arial" w:cs="Arial" w:eastAsia="Arial" w:hAnsi="Arial"/>
          <w:sz w:val="17"/>
          <w:szCs w:val="17"/>
          <w:color w:val="auto"/>
        </w:rPr>
        <w:t>In its 2002 study, the Institute of Medicine recommended characteristics for the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a new anthrax vaccine. Based on these recommendations, we are actively pursuing label expansions and improvements for BioThrax, including the following:</w:t>
      </w:r>
    </w:p>
    <w:p>
      <w:pPr>
        <w:spacing w:after="0" w:line="17" w:lineRule="exact"/>
        <w:rPr>
          <w:sz w:val="20"/>
          <w:szCs w:val="20"/>
          <w:color w:val="auto"/>
        </w:rPr>
      </w:pPr>
    </w:p>
    <w:p>
      <w:pPr>
        <w:ind w:left="220" w:right="80" w:hanging="210"/>
        <w:spacing w:after="0" w:line="261" w:lineRule="auto"/>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Extend shelf life. </w:t>
      </w:r>
      <w:r>
        <w:rPr>
          <w:rFonts w:ascii="Arial" w:cs="Arial" w:eastAsia="Arial" w:hAnsi="Arial"/>
          <w:sz w:val="17"/>
          <w:szCs w:val="17"/>
          <w:color w:val="auto"/>
        </w:rPr>
        <w:t>In 2005, the FDA approved an extension of BioThrax shelf life from two to three years, which will allow</w:t>
      </w:r>
      <w:r>
        <w:rPr>
          <w:rFonts w:ascii="Arial" w:cs="Arial" w:eastAsia="Arial" w:hAnsi="Arial"/>
          <w:sz w:val="17"/>
          <w:szCs w:val="17"/>
          <w:i w:val="1"/>
          <w:iCs w:val="1"/>
          <w:color w:val="auto"/>
        </w:rPr>
        <w:t xml:space="preserve"> </w:t>
      </w:r>
      <w:r>
        <w:rPr>
          <w:rFonts w:ascii="Arial" w:cs="Arial" w:eastAsia="Arial" w:hAnsi="Arial"/>
          <w:sz w:val="17"/>
          <w:szCs w:val="17"/>
          <w:color w:val="auto"/>
        </w:rPr>
        <w:t>BioThrax to be stockpiled for a longer period of time. We are conducting ongoing stability testing of BioThrax, and, depending on the outcome of these tests, we may apply for a further extension of BioThrax shelf life in late 2006.</w:t>
      </w:r>
    </w:p>
    <w:p>
      <w:pPr>
        <w:spacing w:after="0" w:line="3" w:lineRule="exact"/>
        <w:rPr>
          <w:rFonts w:ascii="Arial" w:cs="Arial" w:eastAsia="Arial" w:hAnsi="Arial"/>
          <w:sz w:val="17"/>
          <w:szCs w:val="17"/>
          <w:color w:val="auto"/>
        </w:rPr>
      </w:pPr>
    </w:p>
    <w:p>
      <w:pPr>
        <w:ind w:left="220" w:right="20" w:hanging="210"/>
        <w:spacing w:after="0" w:line="247" w:lineRule="auto"/>
        <w:tabs>
          <w:tab w:leader="none" w:pos="22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Reduce doses for pre-exposure prophylaxis. </w:t>
      </w:r>
      <w:r>
        <w:rPr>
          <w:rFonts w:ascii="Arial" w:cs="Arial" w:eastAsia="Arial" w:hAnsi="Arial"/>
          <w:sz w:val="17"/>
          <w:szCs w:val="17"/>
          <w:color w:val="auto"/>
        </w:rPr>
        <w:t>We have applied to the FDA to reduce the number of required doses of BioThrax</w:t>
      </w:r>
      <w:r>
        <w:rPr>
          <w:rFonts w:ascii="Arial" w:cs="Arial" w:eastAsia="Arial" w:hAnsi="Arial"/>
          <w:sz w:val="17"/>
          <w:szCs w:val="17"/>
          <w:i w:val="1"/>
          <w:iCs w:val="1"/>
          <w:color w:val="auto"/>
        </w:rPr>
        <w:t xml:space="preserve"> </w:t>
      </w:r>
      <w:r>
        <w:rPr>
          <w:rFonts w:ascii="Arial" w:cs="Arial" w:eastAsia="Arial" w:hAnsi="Arial"/>
          <w:sz w:val="17"/>
          <w:szCs w:val="17"/>
          <w:color w:val="auto"/>
        </w:rPr>
        <w:t>for pre-exposure prophylaxis from six to five, with an annual booster dose thereafter. Our application is based on an interim analysis of data from an ongoing clinical trial being conducted by the CDC to evaluate whether as few as three doses of BioThrax, administered over six months, will confer adequate immune response over as long as 42 months. In April 2006, the FDA issued a complete response letter to our application, requesting clarification and requiring additional analysis of the data that we submitted. We are in the process of responding to this letter and amending our application. If the final data from the CDC trial, which we expect at the end of 2007,</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96" w:name="page97"/>
    <w:bookmarkEnd w:id="96"/>
    <w:p>
      <w:pPr>
        <w:ind w:left="240" w:right="20"/>
        <w:spacing w:after="0" w:line="258" w:lineRule="auto"/>
        <w:rPr>
          <w:sz w:val="20"/>
          <w:szCs w:val="20"/>
          <w:color w:val="auto"/>
        </w:rPr>
      </w:pPr>
      <w:r>
        <w:rPr>
          <w:rFonts w:ascii="Arial" w:cs="Arial" w:eastAsia="Arial" w:hAnsi="Arial"/>
          <w:sz w:val="17"/>
          <w:szCs w:val="17"/>
          <w:color w:val="auto"/>
        </w:rPr>
        <w:t>are favorable, we plan to apply to the FDA in 2008 for approval of a three dose regimen of BioThrax for pre-exposure prophylaxis, with a booster dose once every three years thereafter.</w:t>
      </w:r>
    </w:p>
    <w:p>
      <w:pPr>
        <w:spacing w:after="0" w:line="177" w:lineRule="exact"/>
        <w:rPr>
          <w:sz w:val="20"/>
          <w:szCs w:val="20"/>
          <w:color w:val="auto"/>
        </w:rPr>
      </w:pPr>
    </w:p>
    <w:p>
      <w:pPr>
        <w:ind w:left="240" w:right="260" w:hanging="235"/>
        <w:spacing w:after="0" w:line="261" w:lineRule="auto"/>
        <w:tabs>
          <w:tab w:leader="none" w:pos="24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Add second route of administration. </w:t>
      </w:r>
      <w:r>
        <w:rPr>
          <w:rFonts w:ascii="Arial" w:cs="Arial" w:eastAsia="Arial" w:hAnsi="Arial"/>
          <w:sz w:val="17"/>
          <w:szCs w:val="17"/>
          <w:color w:val="auto"/>
        </w:rPr>
        <w:t>We have applied to the FDA to add a second route of administration of BioThrax to include intramuscular</w:t>
      </w:r>
      <w:r>
        <w:rPr>
          <w:rFonts w:ascii="Arial" w:cs="Arial" w:eastAsia="Arial" w:hAnsi="Arial"/>
          <w:sz w:val="17"/>
          <w:szCs w:val="17"/>
          <w:i w:val="1"/>
          <w:iCs w:val="1"/>
          <w:color w:val="auto"/>
        </w:rPr>
        <w:t xml:space="preserve"> </w:t>
      </w:r>
      <w:r>
        <w:rPr>
          <w:rFonts w:ascii="Arial" w:cs="Arial" w:eastAsia="Arial" w:hAnsi="Arial"/>
          <w:sz w:val="17"/>
          <w:szCs w:val="17"/>
          <w:color w:val="auto"/>
        </w:rPr>
        <w:t>injection in addition to subcutaneous injection. We believe that intramuscular injection will result in fewer local reactions than subcutaneous injection.</w:t>
      </w:r>
    </w:p>
    <w:p>
      <w:pPr>
        <w:spacing w:after="0" w:line="16" w:lineRule="exact"/>
        <w:rPr>
          <w:rFonts w:ascii="Arial" w:cs="Arial" w:eastAsia="Arial" w:hAnsi="Arial"/>
          <w:sz w:val="17"/>
          <w:szCs w:val="17"/>
          <w:color w:val="auto"/>
        </w:rPr>
      </w:pPr>
    </w:p>
    <w:p>
      <w:pPr>
        <w:ind w:left="240" w:right="40" w:hanging="235"/>
        <w:spacing w:after="0" w:line="281" w:lineRule="auto"/>
        <w:tabs>
          <w:tab w:leader="none" w:pos="24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Single dose syringe. </w:t>
      </w:r>
      <w:r>
        <w:rPr>
          <w:rFonts w:ascii="Arial" w:cs="Arial" w:eastAsia="Arial" w:hAnsi="Arial"/>
          <w:sz w:val="17"/>
          <w:szCs w:val="17"/>
          <w:color w:val="auto"/>
        </w:rPr>
        <w:t>We believe that products that are administered in a single dose syringe are of significant interest to HHS for inclusion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national stockpile. As a result, we have initiated a development program to make BioThrax available in single dose syringes.</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i w:val="1"/>
          <w:iCs w:val="1"/>
          <w:color w:val="auto"/>
        </w:rPr>
        <w:t xml:space="preserve">Post-exposure prophylaxis. </w:t>
      </w:r>
      <w:r>
        <w:rPr>
          <w:rFonts w:ascii="Arial" w:cs="Arial" w:eastAsia="Arial" w:hAnsi="Arial"/>
          <w:sz w:val="17"/>
          <w:szCs w:val="17"/>
          <w:color w:val="auto"/>
        </w:rPr>
        <w:t>We also plan to seek approval of BioThrax in combination with antibiotic therapy as a post-exposure prophylaxis for</w:t>
      </w:r>
      <w:r>
        <w:rPr>
          <w:rFonts w:ascii="Arial" w:cs="Arial" w:eastAsia="Arial" w:hAnsi="Arial"/>
          <w:sz w:val="17"/>
          <w:szCs w:val="17"/>
          <w:i w:val="1"/>
          <w:iCs w:val="1"/>
          <w:color w:val="auto"/>
        </w:rPr>
        <w:t xml:space="preserve"> </w:t>
      </w:r>
      <w:r>
        <w:rPr>
          <w:rFonts w:ascii="Arial" w:cs="Arial" w:eastAsia="Arial" w:hAnsi="Arial"/>
          <w:sz w:val="17"/>
          <w:szCs w:val="17"/>
          <w:color w:val="auto"/>
        </w:rPr>
        <w:t>anthrax infection. We expect that we will use three doses of BioThrax given two weeks apart for this indication. In 2005, NIAID completed a proof-of-concept study of BioThrax in which rabbits infected with anthrax were treated with the antibiotic levofloxacin or with levofloxacin in combination with two doses of BioThrax in one of three dose amounts. One of the dose amounts tested was a dilution of BioThrax designed to elicit an immune response that is proportional to the effect of an undiluted dose in humans. This is referred to as a humanized dose. Only 44% of the rabbits treated with antibiotics alone survived, while 100% of the rabbits treated with either humanized doses or undiluted human doses of BioThrax in combination with levofloxacin survived. In the trial, there were statistically significant increases in survival rates for rabbits treated with all dose amounts of BioThrax in combination with the antibiotic compared to rabbits treated with levofloxacin alone. These results were consistent with an earlier animal test conducted by the U.S. Army Medical Research Institute of Infectious Diseases, or USAMRIID, involving undiluted human doses of BioThrax in combination with an antibiotic administered to nonhuman primates infected with anthrax.</w:t>
      </w:r>
    </w:p>
    <w:p>
      <w:pPr>
        <w:spacing w:after="0" w:line="5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To advance the development of BioThrax for this additional indication, we plan to conduct additional animal efficacy studies in accordance with the FDA animal rule. We plan to evaluate the effect of a humanized dose of BioThrax in combination with an antibiotic compared to the antibiotic alone in rabbits and nonhuman primates exposed by inhalation to anthrax spores. We plan to initiate the rabbit efficacy study in late 2006 and the nonhuman primate efficacy study in late 2007. The timing of our nonhuman primate efficacy study depends upon the successful development of a nonhuman primate model by NIAID. In September 2006, we initiated a Phase I clinical trial of BioThrax for this indication using three doses of BioThrax given two weeks apart. The purpose of this trial is to obtain additional immunogenicity data regarding BioThrax using the planned three dose regimen. Depending on the results of this ongoing clinical trial, the FDA could require us to conduct a second human immunogenicity clinical trial. Under the FDA animal rule, we believe that, if the results are favorable, the rabbit and nonhuman primate animal efficacy studies together with the human immungenicity clinical trial data would be sufficient to support the filing with the FDA of a biologics license application, or BLA, supplement for marketing approval of BioThrax for this indication.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Next generation anthrax vaccine</w:t>
      </w:r>
    </w:p>
    <w:p>
      <w:pPr>
        <w:spacing w:after="0" w:line="86"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We are evaluating several potential product candidates in connection with development of a next generation anthrax vaccine, featuring attributes such as self administration and a longer shelf life. In September 2006, we submitted three separate proposals in response to a request for proposals issued by NIAID in June 2006 for the advanced development and testing of next generation anthrax vaccine candidates. One of our proposals relates to BioThrax combined with VaxImmune. VaxImmune, a product of Coley Pharmaceuticals Group, is an adjuvant intended to enhance immune response. We are designing our product candidate to be administered by needle-free intramuscular injection.</w:t>
      </w:r>
    </w:p>
    <w:p>
      <w:pPr>
        <w:spacing w:after="0" w:line="1" w:lineRule="exact"/>
        <w:rPr>
          <w:sz w:val="20"/>
          <w:szCs w:val="20"/>
          <w:color w:val="auto"/>
        </w:rPr>
      </w:pPr>
    </w:p>
    <w:p>
      <w:pPr>
        <w:jc w:val="both"/>
        <w:ind w:right="680"/>
        <w:spacing w:after="0" w:line="250" w:lineRule="auto"/>
        <w:rPr>
          <w:sz w:val="20"/>
          <w:szCs w:val="20"/>
          <w:color w:val="auto"/>
        </w:rPr>
      </w:pPr>
      <w:r>
        <w:rPr>
          <w:rFonts w:ascii="Arial" w:cs="Arial" w:eastAsia="Arial" w:hAnsi="Arial"/>
          <w:sz w:val="17"/>
          <w:szCs w:val="17"/>
          <w:color w:val="auto"/>
        </w:rPr>
        <w:t>The DoD’s Defense Advanced Research Projects Agency, or DARPA, previously funded a double-blind Phase I clinical trial of this product candidate pursuant to a collaboration among DARPA, Coley Pharmaceuticals and us. This trial, which was completed in 2005 and involved 69 healthy volunteers, was designed to evaluate the safety and immunogenicity of this product</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24" w:right="279" w:bottom="1440" w:gutter="0" w:footer="0" w:header="0"/>
        </w:sectPr>
      </w:pPr>
    </w:p>
    <w:bookmarkStart w:id="97" w:name="page98"/>
    <w:bookmarkEnd w:id="97"/>
    <w:p>
      <w:pPr>
        <w:ind w:right="40"/>
        <w:spacing w:after="0" w:line="258" w:lineRule="auto"/>
        <w:rPr>
          <w:sz w:val="20"/>
          <w:szCs w:val="20"/>
          <w:color w:val="auto"/>
        </w:rPr>
      </w:pPr>
      <w:r>
        <w:rPr>
          <w:rFonts w:ascii="Arial" w:cs="Arial" w:eastAsia="Arial" w:hAnsi="Arial"/>
          <w:sz w:val="17"/>
          <w:szCs w:val="17"/>
          <w:color w:val="auto"/>
        </w:rPr>
        <w:t>candidate compared to BioThrax alone and VaxImmune alone. In this trial, the product candidate was administered in three doses by intramuscular injection. The immunogenicity results from this trial were statistically significant.</w:t>
      </w:r>
    </w:p>
    <w:p>
      <w:pPr>
        <w:spacing w:after="0" w:line="38"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results of a clinical trial are statistically significant if they are unlikely to have occurred by chance. We determined the statistical significance of the trial results based on a widely used, conventional statistical method that establishes the p-value of the results. Under this method, a p-value of 0.05 or less represents statistical significance. Immune responses observed in a group of vaccine trial participants can be compared with those observed in other groups of trial participants or with an assumed response rate. Immunogenicity alone does not establish efficacy for purposes of regulatory approval. Immunogenicity data only provide indications of efficacy and are neither required nor sufficient to enable a product candidate to proceed to Phase II clinical development. Phase I clinical trials are required to establish the safety of a product candidate, not its immunogenicity, before Phase II clinical trials may begin.</w:t>
      </w:r>
    </w:p>
    <w:p>
      <w:pPr>
        <w:spacing w:after="0" w:line="10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immunogenicity parameters for this trial were the mean peak antibody concentration in trial participants who received the product candidate as compared to trial participants who received BioThrax alone and the median time to achieve mean peak immune response. In this trial, the mean peak concentration of antibodies to anthrax protective antigen in participants who received the product candidate was approximately 6.3 times higher than in participants who received BioThrax alone. This result was statistically significant, with a p-value of less than 0.001. Participants who received BioThrax alone achieved a mean peak concentration of antibodies to anthrax protective antigen approximately 42.5 days after first injection. Participants who received the product candidate achieved this same mean antibody concentration approximately 21 days earlier. This result was statistically significant, with a p-value of less than 0.001. In this trial, there was a slightly higher frequency of moderate injection site reactions and systemic adverse events in the volunteers who received the product candidate as compared to volunteers who received BioThrax alone or VaxImmune alone. One volunteer withdrew from this trial because of an adverse event. There were no serious adverse events reported that the trial investigators considered related to the product candidate, BioThrax or VaxImmune.</w:t>
      </w:r>
    </w:p>
    <w:p>
      <w:pPr>
        <w:spacing w:after="0" w:line="10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second proposal that we submitted to NIAID relates to a product candidate based on immunization with a gene encoding an anthrax protective antigen followed by a dose of BioThrax using a device that facilitates self administration. The third proposal contemplates the use of recombinant protective antigen combined with a novel adjuvant delivered by a device that facilitates self administration.</w:t>
      </w:r>
    </w:p>
    <w:p>
      <w:pPr>
        <w:spacing w:after="0" w:line="9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NIAID request for proposals specified properties desirable for a biodefense vaccine to be stored in the strategic national stockpile, including the following:</w:t>
      </w:r>
    </w:p>
    <w:p>
      <w:pPr>
        <w:ind w:left="240" w:hanging="235"/>
        <w:spacing w:after="0"/>
        <w:tabs>
          <w:tab w:leader="none" w:pos="2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shelf life of three years or longer at room temperature;</w:t>
      </w:r>
    </w:p>
    <w:p>
      <w:pPr>
        <w:ind w:left="240" w:hanging="235"/>
        <w:spacing w:after="0"/>
        <w:tabs>
          <w:tab w:leader="none" w:pos="2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ability to generate protective immune response in one or two doses; and</w:t>
      </w:r>
    </w:p>
    <w:p>
      <w:pPr>
        <w:ind w:left="240" w:hanging="235"/>
        <w:spacing w:after="0"/>
        <w:tabs>
          <w:tab w:leader="none" w:pos="2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ability to be safely self administered or rapidly inoculated into large numbers of people.</w:t>
      </w:r>
    </w:p>
    <w:p>
      <w:pPr>
        <w:spacing w:after="0" w:line="11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NIAID request stated that anthrax vaccine candidates should maintain a superior safety profile to BioThrax, contain a protective antigen that has been shown to be efficacious against anthrax spore challenge in animal models and have progressed through a proof-of-concept efficacy study in a relevant spore challenged animal model. NIAID is not obligated to make any award, and may decide not to make any award, for development funding pursuant to this request for proposals or otherwise.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Anthrax immune globulin</w:t>
      </w:r>
    </w:p>
    <w:p>
      <w:pPr>
        <w:spacing w:after="0" w:line="86" w:lineRule="exact"/>
        <w:rPr>
          <w:sz w:val="20"/>
          <w:szCs w:val="20"/>
          <w:color w:val="auto"/>
        </w:rPr>
      </w:pPr>
    </w:p>
    <w:p>
      <w:pPr>
        <w:jc w:val="both"/>
        <w:ind w:right="560"/>
        <w:spacing w:after="0" w:line="250" w:lineRule="auto"/>
        <w:rPr>
          <w:sz w:val="20"/>
          <w:szCs w:val="20"/>
          <w:color w:val="auto"/>
        </w:rPr>
      </w:pPr>
      <w:r>
        <w:rPr>
          <w:rFonts w:ascii="Arial" w:cs="Arial" w:eastAsia="Arial" w:hAnsi="Arial"/>
          <w:sz w:val="17"/>
          <w:szCs w:val="17"/>
          <w:color w:val="auto"/>
        </w:rPr>
        <w:t>We are developing an anthrax immune globulin as a single dose intravenous therapeutic for treatment of patients with manifest symptoms of anthrax disease resulting from the release of anthrax toxins into the body. If successfully developed, we expect our anthrax immune globulin therapeutic to be prescribed for administration in these circumstances either as a monotherapy or in conjunction with an antibiotic.</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24" w:right="279" w:bottom="1440" w:gutter="0" w:footer="0" w:header="0"/>
        </w:sectPr>
      </w:pPr>
    </w:p>
    <w:bookmarkStart w:id="98" w:name="page99"/>
    <w:bookmarkEnd w:id="98"/>
    <w:p>
      <w:pPr>
        <w:ind w:right="20"/>
        <w:spacing w:after="0" w:line="242" w:lineRule="auto"/>
        <w:rPr>
          <w:sz w:val="20"/>
          <w:szCs w:val="20"/>
          <w:color w:val="auto"/>
        </w:rPr>
      </w:pPr>
      <w:r>
        <w:rPr>
          <w:rFonts w:ascii="Arial" w:cs="Arial" w:eastAsia="Arial" w:hAnsi="Arial"/>
          <w:sz w:val="17"/>
          <w:szCs w:val="17"/>
          <w:color w:val="auto"/>
        </w:rPr>
        <w:t xml:space="preserve">There are no approved products for the effective treatment of anthrax disease after anthrax toxins have been released into the body. Cangene, in collaboration with the CDC, is currently developing an anthrax immune globulin for use in these circumstances based on plasma collected from military personnel who have been vaccinated with BioThrax. In August 2004, HHS issued a request for proposals in which HHS indicated that it was seeking between 10,000 and 200,000 therapeutic courses of treatment of a product to treat inhalational anthrax disease. The products sought by HHS included monoclonal antibodies, polyclonal antibodies, including human immune globulin, and other protein therapeutic products. Pursuant to this request for proposals, HHS awarded a contract to Cangene in 2005 to supply anthrax immune globulin for preliminary testing for evaluation of efficacy as a post-exposure therapeutic for anthrax infection. In July 2006, HHS exercised an option under this contract for Cangene to supply 10,000 doses of anthrax immune globulin for the strategic national stockpile. This contract modification has a total value of approximately $143 million. Cangene has announced that it expects to deliver these doses of anthrax immune globulin to the strategic national stockpile beginning in late 2007 through the end of 2009. HHS also awarded a contract to Human Genome Sciences in 2005 to supply a monoclonal antibody to </w:t>
      </w:r>
      <w:r>
        <w:rPr>
          <w:rFonts w:ascii="Arial" w:cs="Arial" w:eastAsia="Arial" w:hAnsi="Arial"/>
          <w:sz w:val="17"/>
          <w:szCs w:val="17"/>
          <w:i w:val="1"/>
          <w:iCs w:val="1"/>
          <w:color w:val="auto"/>
        </w:rPr>
        <w:t>Bacillus anthracis</w:t>
      </w:r>
      <w:r>
        <w:rPr>
          <w:rFonts w:ascii="Arial" w:cs="Arial" w:eastAsia="Arial" w:hAnsi="Arial"/>
          <w:sz w:val="17"/>
          <w:szCs w:val="17"/>
          <w:color w:val="auto"/>
        </w:rPr>
        <w:t xml:space="preserve"> for evaluation of efficacy as a post-exposure therapeutic for anthrax infection. In June 2006, HHS exercised an option under this contract for Human Genome Sciences to supply 20,000 treatment courses of this monoclonal antibody, referred to as ABthrax, for the strategic national stockpile. This contract modification has a total value of approximately $ 165 million. Human Genome Sciences has announced that it expects to deliver ABthrax to the strategic national stockpile in 2008. The FDA has granted ABthrax an orphan drug designation for the treatment of inhalational anthrax.</w:t>
      </w:r>
    </w:p>
    <w:p>
      <w:pPr>
        <w:spacing w:after="0" w:line="303"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Our plan is to develop our anthrax immune globulin therapeutic using antibodies that are produced by healthy donors immunized with BioThrax. We recently completed a plasma donor stimulation program in which we collected plasma from our employees and military personnel who had been vaccinated with BioThrax. We are currently designing a civilian donor stimulation program. We have collected a sufficient amount of plasma to initiate manufacturing of the anthrax immune globulin under current good manufacturing practice, or cGMP, requirements using a validated and approved process. The manufacturing process entails fractionating the plasma and purifying the immune globulin. We have engaged Talecris Biotherapeutics, Inc. to perform the plasma fractionation and purification processes and contract filling for our anthrax immune globulin candidate at its FDA approved facilities. We expect that the anthrax immune globulin that we are manufacturing will be acceptable under the FDA’s rules for use in both preclinical studies and human clinical trials. We have manufactured and filled the first full-scale lot of this product candidate under cGMP requirements at Talecris.</w:t>
      </w:r>
    </w:p>
    <w:p>
      <w:pPr>
        <w:spacing w:after="0" w:line="10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plan to rely on the FDA animal rule in connection with the development of our anthrax immune globulin candidate. Specifically, we plan to conduct efficacy studies of this product candidate in infected rabbits and then infected nonhuman primates. Concurrently, we plan to file an IND for a Phase I clinical trial to evaluate the safety and pharmacokinetics of our anthrax immune globulin candidate in healthy volunteers. We currently anticipate filing such an IND in late 2006 or early 2007. We believe that favorable data from these animal efficacy studies and the safety and pharmacokinetic clinical trial would be sufficient to support an application to the FDA for marketing approval. NIAID has provided us grant funding of up to $ 3.7 million for the studies designed to assess the tolerability, pharmacokinetics and efficacy of this product candidate in infected rabbits and the development and validation of product assays. We believe that our anthrax immune globulin would be eligible to be procured by HHS under Project BioShield for inclusion in the strategic national stockpile after we file an IND and prior to receiving marketing approval.</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Recombinant bivalent botulinum vaccine</w:t>
      </w:r>
    </w:p>
    <w:p>
      <w:pPr>
        <w:spacing w:after="0" w:line="68" w:lineRule="exact"/>
        <w:rPr>
          <w:sz w:val="20"/>
          <w:szCs w:val="20"/>
          <w:color w:val="auto"/>
        </w:rPr>
      </w:pPr>
    </w:p>
    <w:p>
      <w:pPr>
        <w:ind w:right="440"/>
        <w:spacing w:after="0" w:line="281"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Botulism is a frequently fatal disease caused by botulinum toxins produced by the bacterium</w:t>
      </w:r>
      <w:r>
        <w:rPr>
          <w:rFonts w:ascii="Arial" w:cs="Arial" w:eastAsia="Arial" w:hAnsi="Arial"/>
          <w:sz w:val="17"/>
          <w:szCs w:val="17"/>
          <w:i w:val="1"/>
          <w:iCs w:val="1"/>
          <w:color w:val="auto"/>
        </w:rPr>
        <w:t xml:space="preserve"> Clostridium botulinum</w:t>
      </w:r>
      <w:r>
        <w:rPr>
          <w:rFonts w:ascii="Arial" w:cs="Arial" w:eastAsia="Arial" w:hAnsi="Arial"/>
          <w:sz w:val="17"/>
          <w:szCs w:val="17"/>
          <w:color w:val="auto"/>
        </w:rPr>
        <w:t>.</w:t>
      </w:r>
      <w:r>
        <w:rPr>
          <w:rFonts w:ascii="Arial" w:cs="Arial" w:eastAsia="Arial" w:hAnsi="Arial"/>
          <w:sz w:val="17"/>
          <w:szCs w:val="17"/>
          <w:i w:val="1"/>
          <w:iCs w:val="1"/>
          <w:color w:val="auto"/>
        </w:rPr>
        <w:t xml:space="preserve"> Clostridium botulinum </w:t>
      </w:r>
      <w:r>
        <w:rPr>
          <w:rFonts w:ascii="Arial" w:cs="Arial" w:eastAsia="Arial" w:hAnsi="Arial"/>
          <w:sz w:val="17"/>
          <w:szCs w:val="17"/>
          <w:color w:val="auto"/>
        </w:rPr>
        <w:t>is widely distributed in soil and aquatic</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7" w:right="1059" w:bottom="1440" w:gutter="0" w:footer="0" w:header="0"/>
        </w:sectPr>
      </w:pPr>
    </w:p>
    <w:bookmarkStart w:id="99" w:name="page100"/>
    <w:bookmarkEnd w:id="99"/>
    <w:p>
      <w:pPr>
        <w:ind w:right="20"/>
        <w:spacing w:after="0" w:line="244" w:lineRule="auto"/>
        <w:rPr>
          <w:sz w:val="20"/>
          <w:szCs w:val="20"/>
          <w:color w:val="auto"/>
        </w:rPr>
      </w:pPr>
      <w:r>
        <w:rPr>
          <w:rFonts w:ascii="Arial" w:cs="Arial" w:eastAsia="Arial" w:hAnsi="Arial"/>
          <w:sz w:val="17"/>
          <w:szCs w:val="17"/>
          <w:color w:val="auto"/>
        </w:rPr>
        <w:t>environments throughout the world. Botulinum bacteria produce seven distinct serotypes, each of which elicits a distinct antibody response. Naturally occurring outbreaks of botulism in humans have been reported from exposure to four of the seven serotypes: A, B, E and F. Botulism normally occurs when an individual consumes contaminated food containing botulinum toxin. Once consumed, the toxin rapidly attacks nerve cells, resulting in paralysis of peripheral muscles, including the muscles involved in respiration. Botulism can also be contracted if botulinum bacteria contaminate wounds or colonize in the intestine of infants, which is referred to as infant botulism.</w:t>
      </w:r>
    </w:p>
    <w:p>
      <w:pPr>
        <w:spacing w:after="0" w:line="104"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Botulinum toxins are among the most potent and dangerous of potential biological weapons. Exposure to very small quantities of botulinum toxin can cause the rapid onset of life threatening paralytic disease syndrome. It has been estimated that a single gram of toxin evenly dispersed and inhaled could kill more than one million people.</w:t>
      </w:r>
    </w:p>
    <w:p>
      <w:pPr>
        <w:spacing w:after="0" w:line="78"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Because botulinum toxin is stable when purified and extremely potent when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administered in very small quantities, it has the potential to be used as a biological weapon, either through deliberate contamination of food supply or drinking water or as an aerosol. As with anthrax vaccines, we believe that the U.S. government will be the principal customer for a botulinum vaccine, particularly in the near term. We believe that state and local governments, which we expect will be interested in a botulinum vaccine to protect first responders to a bioterrorism attack, and several foreign governments are significant potential customers for a botulinum vaccine.</w:t>
      </w:r>
    </w:p>
    <w:p>
      <w:pPr>
        <w:spacing w:after="0" w:line="9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The Michigan Department of Public Health first developed a pentavalent botulinum toxoid vaccine in the late 1960s and began manufacturing the pentavalent vaccine for use under an IND in 1969. This vaccine is called pentavalent because it addresses five serotypes of botulinum neurotoxin. Since 1989, the CDC and the DoD have distributed the pentavalent botulinum toxoid vaccine under this IND for vaccination of at risk laboratory workers and military personnel as an adjunct to other measures of protection. The pentavalent botulinum toxoid vaccine exhibited an acceptable safety profile in connection with the immunization of over 5,000 individuals with more than 21,000 doses of the vaccine. Approximately 90% of injections were followed by no, or mild, local reactions. Only 0.3% of injections were followed by severe local reactions. A total of 5.1% of injections were followed by reported systemic reactions. In connection with our acquisition of assets from the Michigan Biologic Products Institute in 1998, we acquired rights to the pentavalent vaccine, know-how relating to the development of the pentavalent vaccine and rights to a master botulinum cell bank, which provides starting materials for the pentavalent vaccine.</w:t>
      </w:r>
    </w:p>
    <w:p>
      <w:pPr>
        <w:spacing w:after="0" w:line="10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After more than 15 years of use, the supplies of pentavalent botulinum toxoid vaccine are dwindling and in need of replacement. In August 2003, HHS issued a pre-solicitation notice for the acquisition of up to ten million doses of a recombinant trivalent botulinum vaccine, which would address botulinum serotypes A, B and E. HHS was seeking a trivalent vaccine because botulinum serotype F is more difficult to produce under cGMP conditions and does not appear to represent the same level of threat as other serotypes of botulinum neurotoxin. We also believe that botulinum serotype E does not represent the same level of threat as serotypes A and B. Botulinum serotypes A and B are responsible for approximately 85% of all cases of botulism.</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November 1997, the DoD, through its Joint Vaccine Acquisition Program, awarded a contract for $322 million to DynPort Vaccine Company for the development of various biodefense vaccines. In April 2005, the DoD provided additional funding to DynPort for the continued development of a recombinant bivalent botulinum vaccine for protection against botulinum serotypes A and B.</w:t>
      </w:r>
    </w:p>
    <w:p>
      <w:pPr>
        <w:spacing w:after="0" w:line="28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bivalent botulinum vaccine for protection</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botulinum serotypes A and B in collaboration with HPA. We hold an exclusive license from HPA to the recombinant technology that we are using in the development of our vaccine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0" w:name="page101"/>
    <w:bookmarkEnd w:id="100"/>
    <w:p>
      <w:pPr>
        <w:spacing w:after="0" w:line="244" w:lineRule="auto"/>
        <w:rPr>
          <w:sz w:val="20"/>
          <w:szCs w:val="20"/>
          <w:color w:val="auto"/>
        </w:rPr>
      </w:pPr>
      <w:r>
        <w:rPr>
          <w:rFonts w:ascii="Arial" w:cs="Arial" w:eastAsia="Arial" w:hAnsi="Arial"/>
          <w:sz w:val="17"/>
          <w:szCs w:val="17"/>
          <w:color w:val="auto"/>
        </w:rPr>
        <w:t xml:space="preserve">candidate. HPA is also providing us with process development and toxicology expertise, access to its facilities and specialized manufacturing capabilities. We are designing our vaccine candidate to be administered by intramuscular injection with an alum adjuvant in a three dose regimen. Our recombinant vaccine candidate is based on a fragment of the botulinum toxin that we have selected as an antigen because we believe it to be non-toxic and immunogenic. We are producing this recombinant antigen in an </w:t>
      </w:r>
      <w:r>
        <w:rPr>
          <w:rFonts w:ascii="Arial" w:cs="Arial" w:eastAsia="Arial" w:hAnsi="Arial"/>
          <w:sz w:val="17"/>
          <w:szCs w:val="17"/>
          <w:i w:val="1"/>
          <w:iCs w:val="1"/>
          <w:color w:val="auto"/>
        </w:rPr>
        <w:t>E. coli</w:t>
      </w:r>
      <w:r>
        <w:rPr>
          <w:rFonts w:ascii="Arial" w:cs="Arial" w:eastAsia="Arial" w:hAnsi="Arial"/>
          <w:sz w:val="17"/>
          <w:szCs w:val="17"/>
          <w:color w:val="auto"/>
        </w:rPr>
        <w:t xml:space="preserve"> expression system. We believe that our technology will allow us to develop a stable product with possible cross-protection against a range of toxin subtypes and ease of formulation into a multivalent vaccine.</w:t>
      </w:r>
    </w:p>
    <w:p>
      <w:pPr>
        <w:spacing w:after="0" w:line="104"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We have completed initial proof-of-concept studies of this vaccine candidate in mice for botulinum serotypes A and B. In these studies, the vaccine elicited antibodies and provided protection against challenge with the botulinum toxin. We plan to initiate additional proof-of-concept animal studies in mice for botulinum serotype E and then to evaluate the toxicity of the vaccine in other animal studies so that we will be in a position, if we determine to do so, to develop a recombinant trivalent botulinum vaccine instead of a recombinant bivalent botulinum vaccine.</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have established a small scale production process for botulinum serotypes A and B. We anticipate that we will be able to manufacture our recombinant vaccine in a cGMP facility that will not require the high level of containment that is required for the production of conventional, non-recombinant toxoid vaccines that involve cultivation of the disease-causing organism. We plan to rely on the FDA animal rule in connection with the development of our recombinant bivalent botulinum vaccine candidate.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Botulinum immune globulin</w:t>
      </w:r>
    </w:p>
    <w:p>
      <w:pPr>
        <w:spacing w:after="0" w:line="8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We are developing our botulinum immune globulin candidate in collaboration with HPA as an intravenous therapeutic for treatment of symptomatic botulinum exposure. Because of the rapid onset of symptoms following infection with botulinum toxin, prophylactic vaccines, which take several weeks to create an effective protective immune response, are not useful as post-exposure treatments for botulism. In addition, antibiotics are not effective post-exposure treatments since they work by killing the botulinum bacteria that produce the toxin, but do not act directly against the botulinum toxin.</w:t>
      </w:r>
    </w:p>
    <w:p>
      <w:pPr>
        <w:spacing w:after="0" w:line="1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believe that an intravenous botulinum immune globulin has the potential to provide immediate protection from the effects of botulinum toxin. A third party’s FDA approved botulinum immune globulin was tested in a five-year, randomized, double-blind, placebo controlled trial in 122 infants with infant botulism and a subsequent six-year, open-label study in 382 infants. In the placebo controlled trial, infants treated with the botulinum immune globulin had statistically significant reductions in the average length of hospital stay, duration of intensive care, duration of mechanical ventilation, duration of tube or intravenous feeding and hospital charges. In the open-label study, the early treatment of patients with infant botulism shortened the average length of stay significantly more than later treatment.</w:t>
      </w:r>
    </w:p>
    <w:p>
      <w:pPr>
        <w:spacing w:after="0" w:line="102"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The only current recommended therapy for exposure to botulism consists of passive immunization with an immune globulin derived from equine plasma. The components of a previously approved trivalent equine immune globulin that contained antibodies against botulinum toxin types A, B, and E have been reformulated into an approved bivalent product and an investigational monovalent product. However, the equine immune globulin is subject to important shortcomings. First, because the human body recognizes the equine immune globulin as a foreign substance, its efficacy may be limited. In addition, the antibody immune response against the equine immune globulin can lead to potential severe side effects, including anaphylactic shock, if the equine immune globulin is administered more than once. To screen for sensitivity to the equine immune globulin, patients are given small challenge doses of the equine immune globulin before receiving a full dose.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1" w:name="page102"/>
    <w:bookmarkEnd w:id="101"/>
    <w:p>
      <w:pPr>
        <w:ind w:right="60"/>
        <w:spacing w:after="0" w:line="244" w:lineRule="auto"/>
        <w:rPr>
          <w:sz w:val="20"/>
          <w:szCs w:val="20"/>
          <w:color w:val="auto"/>
        </w:rPr>
      </w:pPr>
      <w:r>
        <w:rPr>
          <w:rFonts w:ascii="Arial" w:cs="Arial" w:eastAsia="Arial" w:hAnsi="Arial"/>
          <w:sz w:val="17"/>
          <w:szCs w:val="17"/>
          <w:color w:val="auto"/>
        </w:rPr>
        <w:t>In June 2006, HHS awarded a five-year development and supply contract with a base value of $362 million to Cangene for a heptavalent botulinum immune globulin derived from equine plasma. The contract provides for the supply of 200,000 doses of a botulinum immune globulin for the strategic national stockpile. Cangene has announced that it expects to produce and deliver usable product to the strategic national stockpile from mid to late 2007. The contract also provides for optional task orders worth up to an extra $234 million, which may be awarded at the sole discretion of HHS. Cangene previously began development work on the project under a research and development contract with the CDC.</w:t>
      </w:r>
    </w:p>
    <w:p>
      <w:pPr>
        <w:spacing w:after="0" w:line="104"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We plan to rely on the FDA animal rule in connection with the development of our botulinum immune globulin candidate. Specifically, we plan to conduct efficacy studies of this product candidate in an infected rodent population and then infected nonhuman primates. Concurrently, we expect to file an IND for a Phase I clinical trial to evaluate the safety and pharmacokinetics of the botulinum immune globulin in healthy volunteers. We believe that favorable data from these animal efficacy studies and the safety and pharmacokinetic clinical trial would be sufficient to support an application to the FDA for marketing approval.</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As the first step in the development of our botulinum immune globulin candidate, we are initiating production of a bivalent botulinum toxoid vaccine using botulinum serotype B derived from the starting material for the pentavalent vaccine developed by the Michigan Department of Public Health and serotype A from HPA. We are designing this botulinum toxoid vaccine to be administered by injection with an alum adjuvant. We anticipate that several doses will be needed to elicit a strong immune response. We are performing development activities at existing HPA facilities, which we expect may expedite production of clinical material for the vaccine. HPA is also providing us with process development and specialized manufacturing capabilities for the vaccine.</w:t>
      </w:r>
    </w:p>
    <w:p>
      <w:pPr>
        <w:spacing w:after="0" w:line="3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plan to conduct a preclinical proof-of-concept study of this vaccine candidate in mice to confirm the suitability of the vaccine for further development. If the results of this proof-of-concept study are favorable, based on a demonstration of protective efficacy or an immune response associated with protection, we plan to file an IND to initiate a Phase I clinical trial to evaluate the safety of this vaccine in healthy volunteers. We expect that the Phase I clinical trial will provide data sufficient to support an acceptable dose for the vaccine and the optimal dosing schedule. If the results of the Phase I clinical trial are favorable, we intend to initiate a donor stimulation program in which we will immunize healthy volunteers with the vaccine and collect plasma for fractionation for the manufacture of our botulinum immune globulin candidate. We expect to rely on safety and immunogenicity data from the pentavalent botulinum toxoid vaccine previously manufactured by the State of Michigan in the development of this bivalent botulinum toxoid vaccine. This data includes the results of a Phase II safety and immunogenicity clinical trial conducted by the DoD from July 1998 to May 2000, animal efficacy data and the extensive use of the pentavalent vaccine by the CDC in immunizing at risk laboratory personnel. As a result, we anticipate that the FDA will not require us to conduct a Phase II clinical trial for the bivalent botulinum toxoid vaccine before permitting us to initiate the donor stimulation program. However, the FDA has not approved our plan to proceed directly to a donor stimulation program without conducting a Phase II clinical trial for the botulinum toxoid vaccine and may not do so.</w:t>
      </w:r>
    </w:p>
    <w:p>
      <w:pPr>
        <w:spacing w:after="0" w:line="10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current plan is to develop the botulinum toxoid vaccine that we are using in the development of our botulinum immune globulin candidate through Phase I clinical trials. At that point, we expect to assess our future development plans based on the U.S. government’s interest in providing funding for the further development or procurement of this toxoid vaccine, either instead of or in addition to a recombinant botulinum vaccine, as a pre-exposure prophylaxis for botulinum toxin. We believe that this type of government funding may become available as there is currently no botulinum vaccine available for the military or the strategic national stockpile. Moreover, we believe that the well-established nature of the manufacturing process for a toxoid vaccine, the availability of safety data from the pentavalent</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02" w:name="page103"/>
    <w:bookmarkEnd w:id="102"/>
    <w:p>
      <w:pPr>
        <w:ind w:right="120"/>
        <w:spacing w:after="0" w:line="258" w:lineRule="auto"/>
        <w:rPr>
          <w:sz w:val="20"/>
          <w:szCs w:val="20"/>
          <w:color w:val="auto"/>
        </w:rPr>
      </w:pPr>
      <w:r>
        <w:rPr>
          <w:rFonts w:ascii="Arial" w:cs="Arial" w:eastAsia="Arial" w:hAnsi="Arial"/>
          <w:sz w:val="17"/>
          <w:szCs w:val="17"/>
          <w:color w:val="auto"/>
        </w:rPr>
        <w:t>botulinum vaccine, our access to know-how from the development and manufacturing of the pentavalent botulinum vaccine by the State of Michigan and access to HPA technology would all facilitate our development of a bivalent botulinum toxoid vaccine.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business</w:t>
      </w:r>
    </w:p>
    <w:p>
      <w:pPr>
        <w:spacing w:after="0" w:line="141"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In our commercial business, we are developing a range of commercial immunobiotic product candidates for use against infectious diseases with significant unmet or underserved medical needs.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Typhoid vaccine</w:t>
      </w:r>
    </w:p>
    <w:p>
      <w:pPr>
        <w:spacing w:after="0" w:line="12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Typhoid, also known as typhoid fever, is caused by infection with the bacterium</w:t>
      </w:r>
      <w:r>
        <w:rPr>
          <w:rFonts w:ascii="Arial" w:cs="Arial" w:eastAsia="Arial" w:hAnsi="Arial"/>
          <w:sz w:val="17"/>
          <w:szCs w:val="17"/>
          <w:i w:val="1"/>
          <w:iCs w:val="1"/>
          <w:color w:val="auto"/>
        </w:rPr>
        <w:t xml:space="preserve"> Salmonella typhi. </w:t>
      </w:r>
      <w:r>
        <w:rPr>
          <w:rFonts w:ascii="Arial" w:cs="Arial" w:eastAsia="Arial" w:hAnsi="Arial"/>
          <w:sz w:val="17"/>
          <w:szCs w:val="17"/>
          <w:color w:val="auto"/>
        </w:rPr>
        <w:t>Typhoid is</w:t>
      </w:r>
      <w:r>
        <w:rPr>
          <w:rFonts w:ascii="Arial" w:cs="Arial" w:eastAsia="Arial" w:hAnsi="Arial"/>
          <w:sz w:val="17"/>
          <w:szCs w:val="17"/>
          <w:i w:val="1"/>
          <w:iCs w:val="1"/>
          <w:color w:val="auto"/>
        </w:rPr>
        <w:t xml:space="preserve"> </w:t>
      </w:r>
      <w:r>
        <w:rPr>
          <w:rFonts w:ascii="Arial" w:cs="Arial" w:eastAsia="Arial" w:hAnsi="Arial"/>
          <w:sz w:val="17"/>
          <w:szCs w:val="17"/>
          <w:color w:val="auto"/>
        </w:rPr>
        <w:t>characterized by fever, headache, constipation, malaise, stomach pains, anorexia and myalgia. Severe cases of typhoid can result in confusion, delirium, intestinal perforation and death. Typhoid is transmitted by consuming contaminated food or drinks. Contamination usually results from poor hygiene and sanitation. Typhoid is often endemic in developing countries in which there is limited access to treated water supplies and sanitation.</w:t>
      </w:r>
    </w:p>
    <w:p>
      <w:pPr>
        <w:spacing w:after="0" w:line="78"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According to the CDC, approximately 400 cases of typhoid are reported annually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of which approximately 70% are contracted abroad. An estimated 22 million cases of typhoid occur per year worldwide, resulting in approximately 200,000 deaths annually. The CDC recommends that all persons from the United States traveling to developing countries consider receiving a typhoid vaccination, with travelers to Asia, Africa and Latin America deemed to be especially at risk. U.S. military personnel deployed in these areas are also at risk of infection.</w:t>
      </w:r>
    </w:p>
    <w:p>
      <w:pPr>
        <w:spacing w:after="0" w:line="9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One oral typhoid vaccine and one injectable typhoid vaccine are currently approved and administered in both the United States and Europe. The approved oral typhoid vaccine is available in liquid and capsule formulations. Both formulations require three to four doses to generate a protective immune response. The capsule formulation requires a booster every five years thereafter. The liquid formulation has been reported to provide 77% of recipients in clinical trials with protection three years after vaccination. The approved injectable vaccine requires only a single dose. However, it is poorly immunogenic in children, requires a booster dose every three years thereafter and was effective in only 55% to 75% of recipients in clinical trials. Both approved vaccines have good safety profiles with relatively few adverse events reported. Antibiotics are used to treat typhoid after infection and usually lead to recovery commencing within four days. Without antibiotic therapy, the CDC estimates that the mortality rate of a typhoid infection is as high as 20%.</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live attenuated typhoid vaccine that contains deletions in two genes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Salmonella typhi</w:t>
      </w:r>
      <w:r>
        <w:rPr>
          <w:rFonts w:ascii="Arial" w:cs="Arial" w:eastAsia="Arial" w:hAnsi="Arial"/>
          <w:sz w:val="17"/>
          <w:szCs w:val="17"/>
          <w:color w:val="auto"/>
        </w:rPr>
        <w:t xml:space="preserve"> bacterium designed to eliminate virulence. We have designed our vaccine candidate to be administered in a single drinkable dose prior to travel to countries where typhoid is endemic. We believe that, if approved, the method of administration of our vaccine candidate would provide a competitive advantage compared to both currently approved typhoid vaccines.</w:t>
      </w:r>
    </w:p>
    <w:p>
      <w:pPr>
        <w:spacing w:after="0" w:line="96"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We have completed preclinical studies in which we assessed the immunogenicity and toxicity of our vaccine candidate, with the following results:</w:t>
      </w:r>
    </w:p>
    <w:p>
      <w:pPr>
        <w:spacing w:after="0" w:line="72" w:lineRule="exact"/>
        <w:rPr>
          <w:sz w:val="20"/>
          <w:szCs w:val="20"/>
          <w:color w:val="auto"/>
        </w:rPr>
      </w:pPr>
    </w:p>
    <w:p>
      <w:pPr>
        <w:ind w:left="220" w:right="380" w:hanging="210"/>
        <w:spacing w:after="0" w:line="281" w:lineRule="auto"/>
        <w:tabs>
          <w:tab w:leader="none" w:pos="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tests in which human cells were exposed to our vaccine candidate, the live attenuated bacteria contained in the vaccine did not multiply.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3" w:name="page104"/>
    <w:bookmarkEnd w:id="103"/>
    <w:p>
      <w:pPr>
        <w:ind w:left="220" w:right="420" w:hanging="210"/>
        <w:spacing w:after="0" w:line="258" w:lineRule="auto"/>
        <w:tabs>
          <w:tab w:leader="none" w:pos="2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pharmacology studies in mice, our vaccine candidate was immunogenic and had higher relative immunogenicity when delivered subcutaneously than the currently approved oral typhoid vaccine.</w:t>
      </w:r>
    </w:p>
    <w:p>
      <w:pPr>
        <w:spacing w:after="0" w:line="72" w:lineRule="exact"/>
        <w:rPr>
          <w:rFonts w:ascii="Arial" w:cs="Arial" w:eastAsia="Arial" w:hAnsi="Arial"/>
          <w:sz w:val="17"/>
          <w:szCs w:val="17"/>
          <w:color w:val="auto"/>
        </w:rPr>
      </w:pPr>
    </w:p>
    <w:p>
      <w:pPr>
        <w:ind w:left="220" w:right="100" w:hanging="210"/>
        <w:spacing w:after="0" w:line="281" w:lineRule="auto"/>
        <w:tabs>
          <w:tab w:leader="none" w:pos="2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In safety and toxicity studies in mice, a strain of </w:t>
      </w:r>
      <w:r>
        <w:rPr>
          <w:rFonts w:ascii="Arial" w:cs="Arial" w:eastAsia="Arial" w:hAnsi="Arial"/>
          <w:sz w:val="17"/>
          <w:szCs w:val="17"/>
          <w:i w:val="1"/>
          <w:iCs w:val="1"/>
          <w:color w:val="auto"/>
        </w:rPr>
        <w:t>Salmonella</w:t>
      </w:r>
      <w:r>
        <w:rPr>
          <w:rFonts w:ascii="Arial" w:cs="Arial" w:eastAsia="Arial" w:hAnsi="Arial"/>
          <w:sz w:val="17"/>
          <w:szCs w:val="17"/>
          <w:color w:val="auto"/>
        </w:rPr>
        <w:t xml:space="preserve"> that causes a disease similar to typhoid in mice, which contained deletions in the genes that are also deleted in our vaccine candidate, did not cause disease.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We also have completed the following clinical trials of our typhoid vaccine candidate in the United States and Europe:</w:t>
      </w:r>
    </w:p>
    <w:p>
      <w:pPr>
        <w:spacing w:after="0" w:line="119" w:lineRule="exact"/>
        <w:rPr>
          <w:sz w:val="20"/>
          <w:szCs w:val="20"/>
          <w:color w:val="auto"/>
        </w:rPr>
      </w:pPr>
    </w:p>
    <w:p>
      <w:pPr>
        <w:ind w:left="220" w:right="400" w:hanging="210"/>
        <w:spacing w:after="0" w:line="250" w:lineRule="auto"/>
        <w:tabs>
          <w:tab w:leader="none" w:pos="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open-label, non-placebo controlled, pilot study conducted in the United Kingdom in nine healthy adult volunteers. The purpose of this study was to evaluate the safety and immunogenicity of our vaccine candidate. In this study, our vaccine candidate was immunogenic, eliciting both cell mediated and humoral immunogenicity, and well tolerated.</w:t>
      </w:r>
    </w:p>
    <w:p>
      <w:pPr>
        <w:spacing w:after="0" w:line="83" w:lineRule="exact"/>
        <w:rPr>
          <w:rFonts w:ascii="Arial" w:cs="Arial" w:eastAsia="Arial" w:hAnsi="Arial"/>
          <w:sz w:val="17"/>
          <w:szCs w:val="17"/>
          <w:color w:val="auto"/>
        </w:rPr>
      </w:pPr>
    </w:p>
    <w:p>
      <w:pPr>
        <w:ind w:left="220" w:hanging="210"/>
        <w:spacing w:after="0" w:line="242" w:lineRule="auto"/>
        <w:tabs>
          <w:tab w:leader="none" w:pos="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double-blind, placebo controlled, single dose escalating Phase I clinical trial conducted in the United States in 60 healthy adult volunteers. The purpose of this trial was to evaluate the safety, tolerability and immunogenicity of three dose levels of our vaccine candidate. In this trial, our vaccine candidate was immunogenic and well tolerated at all dose levels. The immunogenicity parameter for this trial was the proportion of trial participants with an immune response to the product candidate on day seven after dosing or day 28 after dosing. To be considered adequately immunogenic, 50% of the participants receiving a vaccine dose had to satisfy the primary immunogenicity endpoint. We performed analyses on both an intent to treat and a per protocol basis. An intent to treat analysis is based on the participants who receive a dose of vaccine. A per protocol analysis is based on the participants who complete a trial and substantially comply with the trial protocol. In both the intent to treat population and the per protocol population, 100% of the trial participants in the highest dose group and 56% of the participants in the lowest dose group had an immune response on day seven or day 28. The immune response rate for the highest dose group was statistically significantly greater than the immune response rate for the lowest dose group. The p-value was 0.0068 in the intent to treat population and 0.0073 in the per protocol population.</w:t>
      </w:r>
    </w:p>
    <w:p>
      <w:pPr>
        <w:spacing w:after="0" w:line="109" w:lineRule="exact"/>
        <w:rPr>
          <w:rFonts w:ascii="Arial" w:cs="Arial" w:eastAsia="Arial" w:hAnsi="Arial"/>
          <w:sz w:val="17"/>
          <w:szCs w:val="17"/>
          <w:color w:val="auto"/>
        </w:rPr>
      </w:pPr>
    </w:p>
    <w:p>
      <w:pPr>
        <w:ind w:left="220" w:hanging="210"/>
        <w:spacing w:after="0" w:line="242" w:lineRule="auto"/>
        <w:tabs>
          <w:tab w:leader="none" w:pos="2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An open-label, non-placebo controlled, single dose Phase I clinical trial conducted in the United States in 32 healthy adult volunteers. The purpose of this trial was to evaluate the safety and immunogenicity of two different presentations of the vaccine candidate, one using bottled water and another using tap water. We vaccinated 16 subjects with each presentation. Because one subject who received the tap water presentation of the vaccine candidate was excluded from the trial results due to a lack of post-baseline immunology data, the tap water presentation data reflected data from only 15 subjects. The immunogenicity parameter for this trial was the proportion of trial participants with an immune response to </w:t>
      </w:r>
      <w:r>
        <w:rPr>
          <w:rFonts w:ascii="Arial" w:cs="Arial" w:eastAsia="Arial" w:hAnsi="Arial"/>
          <w:sz w:val="17"/>
          <w:szCs w:val="17"/>
          <w:i w:val="1"/>
          <w:iCs w:val="1"/>
          <w:color w:val="auto"/>
        </w:rPr>
        <w:t>S. typhi</w:t>
      </w:r>
      <w:r>
        <w:rPr>
          <w:rFonts w:ascii="Arial" w:cs="Arial" w:eastAsia="Arial" w:hAnsi="Arial"/>
          <w:sz w:val="17"/>
          <w:szCs w:val="17"/>
          <w:color w:val="auto"/>
        </w:rPr>
        <w:t xml:space="preserve"> following administration of a single dose of the vaccine candidate. The immune response rate was 94% for the participants who received the bottled water presentation and 93% for the participants who received the tap water presentation. The response rate for both groups was statistically significantly higher than the assumed response rate of 50%. The p-value was 0.0005 for the participants who received the bottled water presentation and 0.0010 for the participants who received the tap water presentation. Because the two presentations were similarly immunogenic and both were well tolerated by trial participants, we selected the tap water presentation for further development based on its relative convenience.</w:t>
      </w:r>
    </w:p>
    <w:p>
      <w:pPr>
        <w:spacing w:after="0" w:line="11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these three clinical trials, our vaccine candidate demonstrated immunogenicity response levels following a single drinkable dose similar to those seen with multiple doses of the currently approved oral vaccine. As a result of these trials, we were able to establish the dose and regimen for our vaccine candidate with a formulation that we believe is appropriate for commercialization.</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8" w:right="1059" w:bottom="1440" w:gutter="0" w:footer="0" w:header="0"/>
        </w:sectPr>
      </w:pPr>
    </w:p>
    <w:bookmarkStart w:id="104" w:name="page105"/>
    <w:bookmarkEnd w:id="104"/>
    <w:p>
      <w:pPr>
        <w:ind w:right="20"/>
        <w:spacing w:after="0" w:line="244" w:lineRule="auto"/>
        <w:rPr>
          <w:sz w:val="20"/>
          <w:szCs w:val="20"/>
          <w:color w:val="auto"/>
        </w:rPr>
      </w:pPr>
      <w:r>
        <w:rPr>
          <w:rFonts w:ascii="Arial" w:cs="Arial" w:eastAsia="Arial" w:hAnsi="Arial"/>
          <w:sz w:val="17"/>
          <w:szCs w:val="17"/>
          <w:color w:val="auto"/>
        </w:rPr>
        <w:t>We recently completed a single-blind, placebo controlled Phase I clinical trial of our vaccine candidate in Vietnam in 27 healthy adult volunteers using the dose and regimen established in our Phase I clinical trials in the United States. The Wellcome Trust provided funding for the trial. The purpose of the trial was to evaluate the safety and immunogenicity of the vaccine candidate in adults living in an endemic area. Based on initial data from this trial, the vaccine candidate met the criterion for immunogenicity, with approximately 68% of subjects who received the vaccine candidate mounting a humoral antibody response. The vaccine candidate was well tolerated by trial participants, with no serious adverse events reported. We are continuing to analyze the data from this trial.</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remainder of our planned clinical development program for this vaccine candidate consists of the following:</w:t>
      </w:r>
    </w:p>
    <w:p>
      <w:pPr>
        <w:spacing w:after="0" w:line="101" w:lineRule="exact"/>
        <w:rPr>
          <w:sz w:val="20"/>
          <w:szCs w:val="20"/>
          <w:color w:val="auto"/>
        </w:rPr>
      </w:pPr>
    </w:p>
    <w:p>
      <w:pPr>
        <w:ind w:left="220" w:right="100" w:hanging="210"/>
        <w:spacing w:after="0" w:line="251" w:lineRule="auto"/>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Phase II clinical trial. </w:t>
      </w:r>
      <w:r>
        <w:rPr>
          <w:rFonts w:ascii="Arial" w:cs="Arial" w:eastAsia="Arial" w:hAnsi="Arial"/>
          <w:sz w:val="17"/>
          <w:szCs w:val="17"/>
          <w:color w:val="auto"/>
        </w:rPr>
        <w:t>In the fourth quarter of 2006, we plan to initiate a single-blind, placebo controlled Phase II clinical trial in</w:t>
      </w:r>
      <w:r>
        <w:rPr>
          <w:rFonts w:ascii="Arial" w:cs="Arial" w:eastAsia="Arial" w:hAnsi="Arial"/>
          <w:sz w:val="17"/>
          <w:szCs w:val="17"/>
          <w:i w:val="1"/>
          <w:iCs w:val="1"/>
          <w:color w:val="auto"/>
        </w:rPr>
        <w:t xml:space="preserve"> </w:t>
      </w:r>
      <w:r>
        <w:rPr>
          <w:rFonts w:ascii="Arial" w:cs="Arial" w:eastAsia="Arial" w:hAnsi="Arial"/>
          <w:sz w:val="17"/>
          <w:szCs w:val="17"/>
          <w:color w:val="auto"/>
        </w:rPr>
        <w:t>Vietnamese children between five and 14 years of age. The Wellcome Trust has agreed to provide funding for this trial. The purpose of this trial will be to evaluate the safety and immunogenicity of our vaccine candidate. The trial design calls for 100 subjects to receive vaccine and 50 to receive placebo, with at least 70% of the subjects being between five and ten years of age. We will assess safety and immunogenicity up to 28 days after vaccination.</w:t>
      </w:r>
    </w:p>
    <w:p>
      <w:pPr>
        <w:spacing w:after="0" w:line="64" w:lineRule="exact"/>
        <w:rPr>
          <w:rFonts w:ascii="Arial" w:cs="Arial" w:eastAsia="Arial" w:hAnsi="Arial"/>
          <w:sz w:val="17"/>
          <w:szCs w:val="17"/>
          <w:color w:val="auto"/>
        </w:rPr>
      </w:pPr>
    </w:p>
    <w:p>
      <w:pPr>
        <w:ind w:left="220" w:right="240" w:hanging="210"/>
        <w:spacing w:after="0" w:line="261" w:lineRule="auto"/>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Disease surveillance study. </w:t>
      </w:r>
      <w:r>
        <w:rPr>
          <w:rFonts w:ascii="Arial" w:cs="Arial" w:eastAsia="Arial" w:hAnsi="Arial"/>
          <w:sz w:val="17"/>
          <w:szCs w:val="17"/>
          <w:color w:val="auto"/>
        </w:rPr>
        <w:t>Concurrently with the planned Phase II clinical trial, we plan to conduct a disease surveillance</w:t>
      </w:r>
      <w:r>
        <w:rPr>
          <w:rFonts w:ascii="Arial" w:cs="Arial" w:eastAsia="Arial" w:hAnsi="Arial"/>
          <w:sz w:val="17"/>
          <w:szCs w:val="17"/>
          <w:i w:val="1"/>
          <w:iCs w:val="1"/>
          <w:color w:val="auto"/>
        </w:rPr>
        <w:t xml:space="preserve"> </w:t>
      </w:r>
      <w:r>
        <w:rPr>
          <w:rFonts w:ascii="Arial" w:cs="Arial" w:eastAsia="Arial" w:hAnsi="Arial"/>
          <w:sz w:val="17"/>
          <w:szCs w:val="17"/>
          <w:color w:val="auto"/>
        </w:rPr>
        <w:t>study in the areas where we are considering conducting a Phase III clinical trial of our vaccine candidate in order to confirm that a sufficient number of subjects will be included in the Phase III trial.</w:t>
      </w:r>
    </w:p>
    <w:p>
      <w:pPr>
        <w:spacing w:after="0" w:line="56" w:lineRule="exact"/>
        <w:rPr>
          <w:rFonts w:ascii="Arial" w:cs="Arial" w:eastAsia="Arial" w:hAnsi="Arial"/>
          <w:sz w:val="17"/>
          <w:szCs w:val="17"/>
          <w:color w:val="auto"/>
        </w:rPr>
      </w:pPr>
    </w:p>
    <w:p>
      <w:pPr>
        <w:ind w:left="220" w:right="80" w:hanging="210"/>
        <w:spacing w:after="0" w:line="251" w:lineRule="auto"/>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Phase III clinical trial. </w:t>
      </w:r>
      <w:r>
        <w:rPr>
          <w:rFonts w:ascii="Arial" w:cs="Arial" w:eastAsia="Arial" w:hAnsi="Arial"/>
          <w:sz w:val="17"/>
          <w:szCs w:val="17"/>
          <w:color w:val="auto"/>
        </w:rPr>
        <w:t>We plan to conduct a single-blind Phase III clinical trial in an area where typhoid is endemic. The</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of this trial will be to evaluate the efficacy of our vaccine candidate in children who are likely to be exposed to the typhoid bacterium. We expect to undertake the primary analysis of the data from the trial after approximately one year, which, if the results are favorable, we plan to use to support the filing with the FDA of a BLA for marketing approval of our vaccine candidate. We plan to continue to monitor the incidence of typhoid in the trial participants for several years after vaccination.</w:t>
      </w:r>
    </w:p>
    <w:p>
      <w:pPr>
        <w:spacing w:after="0" w:line="64" w:lineRule="exact"/>
        <w:rPr>
          <w:rFonts w:ascii="Arial" w:cs="Arial" w:eastAsia="Arial" w:hAnsi="Arial"/>
          <w:sz w:val="17"/>
          <w:szCs w:val="17"/>
          <w:color w:val="auto"/>
        </w:rPr>
      </w:pPr>
    </w:p>
    <w:p>
      <w:pPr>
        <w:ind w:left="220" w:right="220" w:hanging="210"/>
        <w:spacing w:after="0" w:line="261" w:lineRule="auto"/>
        <w:tabs>
          <w:tab w:leader="none" w:pos="22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Tolerability and immunogenicity study. </w:t>
      </w:r>
      <w:r>
        <w:rPr>
          <w:rFonts w:ascii="Arial" w:cs="Arial" w:eastAsia="Arial" w:hAnsi="Arial"/>
          <w:sz w:val="17"/>
          <w:szCs w:val="17"/>
          <w:color w:val="auto"/>
        </w:rPr>
        <w:t>Concurrently with our Phase III clinical trial in an endemic area, we plan to conduct a</w:t>
      </w:r>
      <w:r>
        <w:rPr>
          <w:rFonts w:ascii="Arial" w:cs="Arial" w:eastAsia="Arial" w:hAnsi="Arial"/>
          <w:sz w:val="17"/>
          <w:szCs w:val="17"/>
          <w:i w:val="1"/>
          <w:iCs w:val="1"/>
          <w:color w:val="auto"/>
        </w:rPr>
        <w:t xml:space="preserve"> </w:t>
      </w:r>
      <w:r>
        <w:rPr>
          <w:rFonts w:ascii="Arial" w:cs="Arial" w:eastAsia="Arial" w:hAnsi="Arial"/>
          <w:sz w:val="17"/>
          <w:szCs w:val="17"/>
          <w:color w:val="auto"/>
        </w:rPr>
        <w:t>Phase III clinical trial in the United States or Europe in healthy volunteers. The purpose of this trial will be to evaluate the safety and immunogenicity of our vaccine candidate to support marketing approval in the United Sates and Europe.</w:t>
      </w:r>
    </w:p>
    <w:p>
      <w:pPr>
        <w:spacing w:after="0" w:line="87"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Since typhoid fever in Asia is largely a disease of children, we plan to conduct our Phase II and Phase III clinical trials in this age group. We plan to conduct our Phase II and Phase III clinical trials in endemic areas because there are no agreed immune correlates of efficacy for live attenuated typhoid vaccines and it is not practicable to demonstrate clinical efficacy in travelers from the United States or Europe due to the prohibitively large number of subjects that would be needed. The currently approved typhoid vaccines relied on similar clinical trials for regulatory approval.</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plan to seek additional grant funding for development of this product candidate.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Hepatitis B therapeutic vaccine</w:t>
      </w:r>
    </w:p>
    <w:p>
      <w:pPr>
        <w:spacing w:after="0" w:line="121"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Hepatitis B is a highly infectious virus transmitted from person to person by contact with blood and bodily</w:t>
      </w:r>
      <w:r>
        <w:rPr>
          <w:rFonts w:ascii="Arial" w:cs="Arial" w:eastAsia="Arial" w:hAnsi="Arial"/>
          <w:sz w:val="17"/>
          <w:szCs w:val="17"/>
          <w:i w:val="1"/>
          <w:iCs w:val="1"/>
          <w:color w:val="auto"/>
        </w:rPr>
        <w:t xml:space="preserve"> </w:t>
      </w:r>
      <w:r>
        <w:rPr>
          <w:rFonts w:ascii="Arial" w:cs="Arial" w:eastAsia="Arial" w:hAnsi="Arial"/>
          <w:sz w:val="17"/>
          <w:szCs w:val="17"/>
          <w:color w:val="auto"/>
        </w:rPr>
        <w:t>fluids. Most hepatitis B infections in adults result in acute hepatitis, with the immune system eventually clearing the infection. However, in approximately 8% to 10% of infected adults and a much larger proportion of infected children, the immune system fails to clear the virus,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5" w:name="page106"/>
    <w:bookmarkEnd w:id="105"/>
    <w:p>
      <w:pPr>
        <w:ind w:right="40"/>
        <w:spacing w:after="0" w:line="247" w:lineRule="auto"/>
        <w:rPr>
          <w:sz w:val="20"/>
          <w:szCs w:val="20"/>
          <w:color w:val="auto"/>
        </w:rPr>
      </w:pPr>
      <w:r>
        <w:rPr>
          <w:rFonts w:ascii="Arial" w:cs="Arial" w:eastAsia="Arial" w:hAnsi="Arial"/>
          <w:sz w:val="17"/>
          <w:szCs w:val="17"/>
          <w:color w:val="auto"/>
        </w:rPr>
        <w:t>resulting in immune tolerance of the virus and chronic infection. In addition, pregnant women suffering from hepatitis B can pass the infection on to their babies during childbirth. Babies born infected rarely clear the infection, with over 90% becoming chronically infected. According to the World Health Organization, approximately 25% of people with chronic hepatitis B infection develop serious liver disease, including cirrhosis and liver cancer.</w:t>
      </w:r>
    </w:p>
    <w:p>
      <w:pPr>
        <w:spacing w:after="0" w:line="8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Chronic infection with the hepatitis B virus is a global problem, with an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350 million carriers worldwide. The World Health Organization estimates that approximately one million people per year worldwide die from complications of hepatitis B infection. Infection rates are highest in the developing world, posing an infection risk to travelers from industrialized countries. Infection is less common in the United States and Europe. In the United States, there are an estimated 1.2 million people with chronic hepatitis B infection, resulting in approximately 4,000 to 5,000 deaths annually.</w:t>
      </w:r>
    </w:p>
    <w:p>
      <w:pPr>
        <w:spacing w:after="0" w:line="30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Prophylactic vaccines based on recombinant protein subunit preparations are effective in preventing hepatitis B infection. Childhood vaccination with these vaccines is common in industrialized countries and in some of the developing world. Childhood immunization programs have reduced the number of carriers of chronic hepatitis B infection by up to 90% in parts of the world where hepatitis B is most common. In the United States, infection rates for acute hepatitis B have decreased by approximately 77% over the past 20 years. However, these existing vaccines have not proven to be effective in treating people with chronic hepatitis B infection. As a result, there remains a large number of people who are chronically infected with hepatitis B and require treatment to prevent the development of liver disease and reduce the risk of transmitting the infection to others.</w:t>
      </w:r>
    </w:p>
    <w:p>
      <w:pPr>
        <w:spacing w:after="0" w:line="10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There is no vaccine currently on the market that is licensed for therapeutic use for chronic hepatitis B infection. Currently available therapies for this patient population consist mainly of antiviral drugs and immunotherapies, such as interferons. However, these treatments are subject to a number of shortcomings. Both of these treatments can only be used in a subset of patients, and their efficacy is limited. In addition, the use of antiviral drugs may lead to the development of resistant forms of the virus and interferons have side effects that reduce patient compliance.</w:t>
      </w:r>
    </w:p>
    <w:p>
      <w:pPr>
        <w:spacing w:after="0" w:line="84"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live attenuated therapeutic vaccine for treatment of patients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chronic hepatitis B infection. We have designed our vaccine candidate to be administered in multiple drinkable doses over several months. It may require further booster doses. Because chronic carriers have weak cellular responses to the hepatitis B virus, they cannot clear the virus. Our vaccine candidate is intended to redirect the immune system to make strong cellular responses to a hepatitis B antigen known as hepatitis B core in chronic carriers, leading to suppression of viral replication and associated liver damage.</w:t>
      </w:r>
    </w:p>
    <w:p>
      <w:pPr>
        <w:spacing w:after="0" w:line="8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Our vaccine candidate uses our proprietary </w:t>
      </w:r>
      <w:r>
        <w:rPr>
          <w:rFonts w:ascii="Arial" w:cs="Arial" w:eastAsia="Arial" w:hAnsi="Arial"/>
          <w:sz w:val="17"/>
          <w:szCs w:val="17"/>
          <w:i w:val="1"/>
          <w:iCs w:val="1"/>
          <w:color w:val="auto"/>
        </w:rPr>
        <w:t>spi</w:t>
      </w:r>
      <w:r>
        <w:rPr>
          <w:rFonts w:ascii="Arial" w:cs="Arial" w:eastAsia="Arial" w:hAnsi="Arial"/>
          <w:sz w:val="17"/>
          <w:szCs w:val="17"/>
          <w:color w:val="auto"/>
        </w:rPr>
        <w:t>-VEC</w:t>
      </w:r>
      <w:r>
        <w:rPr>
          <w:rFonts w:ascii="Arial" w:cs="Arial" w:eastAsia="Arial" w:hAnsi="Arial"/>
          <w:sz w:val="14"/>
          <w:szCs w:val="14"/>
          <w:color w:val="auto"/>
        </w:rPr>
        <w:t>®</w:t>
      </w:r>
      <w:r>
        <w:rPr>
          <w:rFonts w:ascii="Arial" w:cs="Arial" w:eastAsia="Arial" w:hAnsi="Arial"/>
          <w:sz w:val="17"/>
          <w:szCs w:val="17"/>
          <w:color w:val="auto"/>
        </w:rPr>
        <w:t xml:space="preserve"> oral delivery system technology to deliver hepatitis B core antigen to the human immune system. </w:t>
      </w:r>
      <w:r>
        <w:rPr>
          <w:rFonts w:ascii="Arial" w:cs="Arial" w:eastAsia="Arial" w:hAnsi="Arial"/>
          <w:sz w:val="17"/>
          <w:szCs w:val="17"/>
          <w:i w:val="1"/>
          <w:iCs w:val="1"/>
          <w:color w:val="auto"/>
        </w:rPr>
        <w:t>Spi</w:t>
      </w:r>
      <w:r>
        <w:rPr>
          <w:rFonts w:ascii="Arial" w:cs="Arial" w:eastAsia="Arial" w:hAnsi="Arial"/>
          <w:sz w:val="17"/>
          <w:szCs w:val="17"/>
          <w:color w:val="auto"/>
        </w:rPr>
        <w:t>-VEC is based on our live attenuated typhoid vaccine and employs recombinant technology to insert the gene for hepatitis B core into the live attenuated S</w:t>
      </w:r>
      <w:r>
        <w:rPr>
          <w:rFonts w:ascii="Arial" w:cs="Arial" w:eastAsia="Arial" w:hAnsi="Arial"/>
          <w:sz w:val="17"/>
          <w:szCs w:val="17"/>
          <w:i w:val="1"/>
          <w:iCs w:val="1"/>
          <w:color w:val="auto"/>
        </w:rPr>
        <w:t>almonella</w:t>
      </w:r>
      <w:r>
        <w:rPr>
          <w:rFonts w:ascii="Arial" w:cs="Arial" w:eastAsia="Arial" w:hAnsi="Arial"/>
          <w:sz w:val="17"/>
          <w:szCs w:val="17"/>
          <w:color w:val="auto"/>
        </w:rPr>
        <w:t xml:space="preserve"> bacteria. The bacteria produce the antigen once inside the patient. Because we are relying on recombinant technology to insert the gene for hepatitis B core into a vector delivery system, we do not need to separately purify the vaccine.</w:t>
      </w:r>
    </w:p>
    <w:p>
      <w:pPr>
        <w:spacing w:after="0" w:line="96" w:lineRule="exact"/>
        <w:rPr>
          <w:sz w:val="20"/>
          <w:szCs w:val="20"/>
          <w:color w:val="auto"/>
        </w:rPr>
      </w:pPr>
    </w:p>
    <w:p>
      <w:pPr>
        <w:jc w:val="both"/>
        <w:ind w:right="40"/>
        <w:spacing w:after="0" w:line="250" w:lineRule="auto"/>
        <w:rPr>
          <w:sz w:val="20"/>
          <w:szCs w:val="20"/>
          <w:color w:val="auto"/>
        </w:rPr>
      </w:pPr>
      <w:r>
        <w:rPr>
          <w:rFonts w:ascii="Arial" w:cs="Arial" w:eastAsia="Arial" w:hAnsi="Arial"/>
          <w:sz w:val="17"/>
          <w:szCs w:val="17"/>
          <w:color w:val="auto"/>
        </w:rPr>
        <w:t>We have completed a program of pharmacology and toxicity studies of our hepatitis B therapeutic vaccine candidate in animals. In mice that were administered our vaccine candidate, the hepatitis B core antigen was produced and immune responses were elicited against the antigen. In separate toxicity studies also conducted in mice, our vaccine candidate was non-toxic.</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06" w:name="page107"/>
    <w:bookmarkEnd w:id="106"/>
    <w:p>
      <w:pPr>
        <w:ind w:right="20"/>
        <w:spacing w:after="0" w:line="242" w:lineRule="auto"/>
        <w:rPr>
          <w:sz w:val="20"/>
          <w:szCs w:val="20"/>
          <w:color w:val="auto"/>
        </w:rPr>
      </w:pPr>
      <w:r>
        <w:rPr>
          <w:rFonts w:ascii="Arial" w:cs="Arial" w:eastAsia="Arial" w:hAnsi="Arial"/>
          <w:sz w:val="17"/>
          <w:szCs w:val="17"/>
          <w:color w:val="auto"/>
        </w:rPr>
        <w:t>In February 2004, we completed an open-label, dose escalating Phase I clinical trial of our vaccine candidate in the United Kingdom in 30 healthy adult volunteers. The purpose of this trial was to evaluate the safety and immunogenicity of two dose levels of our vaccine candidate. In this trial, we administered the two doses of vaccine over a period of approximately two months. The primary immunogenicity parameter for this trial was the proportion of trial participants with an immune response to the product candidate on day 28 after dosing or day 84 after dosing. In this trial, 50% of the participants in the low dose group and 40% of the participants in the high dose group demonstrated an immune response on day 28 or day 84. The results in the low dose group reflect a confidence interval of 19.0% to 81.0%. The results in the high dose group reflect a confidence interval of 18.5% to 61.5%. These confidence intervals indicate a 95% likelihood that the true value is within the range specified. The secondary immunogenicity endpoint for this trial was the proportion of participants who demonstrated the type of immune response known to be important in promoting clearance of hepatitis B at any point during the trial. In this trial, 100% of the participants in the high dose group and 90% of the participants in the low dose group demonstrated such a response. We did not conduct a statistical analysis of the results from the secondary immunogenicity endpoint. The vaccine candidate was well tolerated by trial participants, with no serious adverse events reported.</w:t>
      </w:r>
    </w:p>
    <w:p>
      <w:pPr>
        <w:spacing w:after="0" w:line="10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March 2006, the U.K. Medicines and Healthcare Products Regulatory Agency approved our clinical trial application, including a trial protocol to initiate a Phase II clinical trial of our vaccine candidate in trial participants chronically infected with hepatitis B. The protocol provides for a placebo controlled, randomized, dose escalating study to be conducted in the United Kingdom in 45 chronic carriers of hepatitis B. If necessary, we may expand the study to additional sites in Europe to increase the recruitment rate. The primary purpose of this trial will be to evaluate the safety and tolerability of six monthly doses of our vaccine candidate. The secondary purpose will be to investigate whether the vaccine candidate can reduce the hepatitis B viral DNA load, a recognized surrogate endpoint for treatment of hepatitis B using current therapeutics. We expect to begin dosing trial participants in the fourth quarter of 2006.</w:t>
      </w:r>
    </w:p>
    <w:p>
      <w:pPr>
        <w:spacing w:after="0" w:line="106"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color w:val="auto"/>
        </w:rPr>
        <w:t>If the results of this Phase II clinical trial are favorable, we expect to submit an IND to the FDA to conduct one or more clinical trials of this vaccine candidate in the United States as may be appropriate. The IND must become effective before we can conduct any clinical trials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Group B streptococcus vaccine</w:t>
      </w:r>
    </w:p>
    <w:p>
      <w:pPr>
        <w:spacing w:after="0" w:line="121"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Group B streptococcus is a bacterium that causes illness in newborn babies, pregnant women, the elderly</w:t>
      </w:r>
      <w:r>
        <w:rPr>
          <w:rFonts w:ascii="Arial" w:cs="Arial" w:eastAsia="Arial" w:hAnsi="Arial"/>
          <w:sz w:val="17"/>
          <w:szCs w:val="17"/>
          <w:i w:val="1"/>
          <w:iCs w:val="1"/>
          <w:color w:val="auto"/>
        </w:rPr>
        <w:t xml:space="preserve"> </w:t>
      </w:r>
      <w:r>
        <w:rPr>
          <w:rFonts w:ascii="Arial" w:cs="Arial" w:eastAsia="Arial" w:hAnsi="Arial"/>
          <w:sz w:val="17"/>
          <w:szCs w:val="17"/>
          <w:color w:val="auto"/>
        </w:rPr>
        <w:t>and adults with other illnesses, such as diabetes or liver disease. Group B streptococcus is the most common cause of sepsis and meningitis in newborns in the developed world and is a frequent cause of pneumonia in newborns. It affects more babies than any other newborn health problem. Group B streptococcus bacteria can cause bladder and womb infections in pregnant women that in turn lead to infection of the fetus and premature delivery and stillbirth. In pregnant women carrying the group B streptococcus bacteria, the baby may become infected either before or during birth.</w:t>
      </w:r>
    </w:p>
    <w:p>
      <w:pPr>
        <w:spacing w:after="0" w:line="9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the United States, approximately half of all neonatal group B streptococcus infections occur in newborns less than seven days old and are categorized as “early onset disease.” Infections in babies between seven days and three months old are categorized as “late onset disease.” Early onset disease is often associated with complicated or premature deliveries and usually results in pneumonia and the blood infection septicemia in the baby. It is also associated with meningitis. Approximately 5% of babies with early onset disease die. A high number of survivors of early onset disease are left with significant permanent disabilities, including sight or hearing loss and mental retardation. The majority of late onset cases occur in the first month of life. Late onset disease usually results in meningitis. Up to 5% of babies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7" w:name="page108"/>
    <w:bookmarkEnd w:id="107"/>
    <w:p>
      <w:pPr>
        <w:ind w:right="140"/>
        <w:spacing w:after="0" w:line="258" w:lineRule="auto"/>
        <w:rPr>
          <w:sz w:val="20"/>
          <w:szCs w:val="20"/>
          <w:color w:val="auto"/>
        </w:rPr>
      </w:pPr>
      <w:r>
        <w:rPr>
          <w:rFonts w:ascii="Arial" w:cs="Arial" w:eastAsia="Arial" w:hAnsi="Arial"/>
          <w:sz w:val="17"/>
          <w:szCs w:val="17"/>
          <w:color w:val="auto"/>
        </w:rPr>
        <w:t>with late onset disease die. A high number of survivors of late onset disease are left with permanent disabilities, with up to one-third suffering long-term mental or physical handicaps.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Group B streptococcus infections in the elderly cause blood infections, skin or soft tissue infections and pneumonia.</w:t>
      </w:r>
    </w:p>
    <w:p>
      <w:pPr>
        <w:spacing w:after="0" w:line="10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The NIH has identified prevention of group B streptococcus infection in newborns as a</w:t>
      </w:r>
      <w:r>
        <w:rPr>
          <w:rFonts w:ascii="Arial" w:cs="Arial" w:eastAsia="Arial" w:hAnsi="Arial"/>
          <w:sz w:val="17"/>
          <w:szCs w:val="17"/>
          <w:i w:val="1"/>
          <w:iCs w:val="1"/>
          <w:color w:val="auto"/>
        </w:rPr>
        <w:t xml:space="preserve"> </w:t>
      </w:r>
      <w:r>
        <w:rPr>
          <w:rFonts w:ascii="Arial" w:cs="Arial" w:eastAsia="Arial" w:hAnsi="Arial"/>
          <w:sz w:val="17"/>
          <w:szCs w:val="17"/>
          <w:color w:val="auto"/>
        </w:rPr>
        <w:t>major vaccine objective. Concern about the number of group B streptococcus neonatal infections prompted the CDC to recommend routine screening of pregnant women for group B streptococcus bacteria and preventative antibiotic treatment at the time of labor for women found to be infected. Screening of pregnant women for infection is recommended during weeks 35 to 37 of pregnancy. Approximately 10% to 30% of women are found to be carrying the bacterium as a normal component of the vaginal microflora. These women are offered intravenous antibiotics throughout their labor as a preventative measure. In the absence of antibiotic treatment, the CDC estimates that the risk is one in 200 of delivering a baby with group B streptococcus infection. While the level of group B streptococcus disease decreased in the United States from 1.7 cases per 1,000 live births in 1993 to 0.4 cases per 1,000 live births in 2002, the CDC projects that there are approximately 2,750 neonatal infections each year in the United States. In a study of 338 of these cases of neonatal infections, the death rate was approximately 6%. We expect the target market for our vaccine candidate to be women of childbearing age.</w:t>
      </w:r>
    </w:p>
    <w:p>
      <w:pPr>
        <w:spacing w:after="0" w:line="10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existing method of prevention of group B streptococcus infection in neonates is the targeted administration of intravenous antibiotics to women during labor. However, this approach is invasive and only partially effective. In addition, antibiotics create the risk of possible adverse reactions and may lead to the development of antibiotic resistant strains of the disease. Direct vaccination of newborns is not effective because their immune system is too immature to respond to the vaccine. Antibiotics are used to treat babies after infection.</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Approximately 17,500 cases of group B streptococcus infection occur each year in the U.S. population over one year of age, with most occurring in those over age 50. According to the CDC, the average death rates for invasive infections are approximately 8% to 10% for adults 18 to 64 years of age and 15% to 25% for adults 65 years of age and over. Antibiotics are used to treat infected individuals.</w:t>
      </w:r>
    </w:p>
    <w:p>
      <w:pPr>
        <w:spacing w:after="0" w:line="81"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group B streptococcus vaccine initially for</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to women of childbearing age for protection of the fetus and newborn babies. We are designing our vaccine candidate to be administered by injection with an alum adjuvant in a three dose regimen. We expect that a booster dose may also be required. We anticipate that the vaccine will elicit an antibody response resulting in the production of antibody in the mother, which may then cross the placenta to protect the fetus and the newborn baby by passive immunity.</w:t>
      </w:r>
    </w:p>
    <w:p>
      <w:pPr>
        <w:spacing w:after="0" w:line="96" w:lineRule="exact"/>
        <w:rPr>
          <w:sz w:val="20"/>
          <w:szCs w:val="20"/>
          <w:color w:val="auto"/>
        </w:rPr>
      </w:pPr>
    </w:p>
    <w:p>
      <w:pPr>
        <w:jc w:val="both"/>
        <w:ind w:right="140"/>
        <w:spacing w:after="0" w:line="247" w:lineRule="auto"/>
        <w:rPr>
          <w:sz w:val="20"/>
          <w:szCs w:val="20"/>
          <w:color w:val="auto"/>
        </w:rPr>
      </w:pPr>
      <w:r>
        <w:rPr>
          <w:rFonts w:ascii="Arial" w:cs="Arial" w:eastAsia="Arial" w:hAnsi="Arial"/>
          <w:sz w:val="17"/>
          <w:szCs w:val="17"/>
          <w:color w:val="auto"/>
        </w:rPr>
        <w:t>We have identified several novel surface associated proteins and are working on the development of three of these proteins as components of our vaccine candidate. We believe that a combination of proteins will be required to provide effective protection. We have completed preclinical studies in which we evaluated the safety and immunogenicity of our vaccine candidate, with the following results:</w:t>
      </w:r>
    </w:p>
    <w:p>
      <w:pPr>
        <w:spacing w:after="0" w:line="46" w:lineRule="exact"/>
        <w:rPr>
          <w:sz w:val="20"/>
          <w:szCs w:val="20"/>
          <w:color w:val="auto"/>
        </w:rPr>
      </w:pPr>
    </w:p>
    <w:p>
      <w:pPr>
        <w:ind w:left="220" w:hanging="210"/>
        <w:spacing w:after="0"/>
        <w:tabs>
          <w:tab w:leader="none" w:pos="2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studies in rabbits and mice, the three protein components of our vaccine candidate were immunogenic.</w:t>
      </w:r>
    </w:p>
    <w:p>
      <w:pPr>
        <w:spacing w:after="0" w:line="53" w:lineRule="exact"/>
        <w:rPr>
          <w:rFonts w:ascii="Arial" w:cs="Arial" w:eastAsia="Arial" w:hAnsi="Arial"/>
          <w:sz w:val="17"/>
          <w:szCs w:val="17"/>
          <w:color w:val="auto"/>
        </w:rPr>
      </w:pPr>
    </w:p>
    <w:p>
      <w:pPr>
        <w:ind w:left="220" w:right="340" w:hanging="210"/>
        <w:spacing w:after="0" w:line="258" w:lineRule="auto"/>
        <w:tabs>
          <w:tab w:leader="none" w:pos="2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a passive immunization study in which we administered rabbit antibody to rat pups, the rat pups were protected against challenge with disease.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08" w:name="page109"/>
    <w:bookmarkEnd w:id="108"/>
    <w:p>
      <w:pPr>
        <w:ind w:left="220" w:right="60" w:hanging="210"/>
        <w:spacing w:after="0" w:line="258" w:lineRule="auto"/>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Antibodies elicited by one of the protein components of our vaccine candidate recognized a number of group B streptococcus types, indicating that the protein component has potential to generate immune responses with broad coverage.</w:t>
      </w:r>
    </w:p>
    <w:p>
      <w:pPr>
        <w:spacing w:after="0" w:line="24" w:lineRule="exact"/>
        <w:rPr>
          <w:rFonts w:ascii="Arial" w:cs="Arial" w:eastAsia="Arial" w:hAnsi="Arial"/>
          <w:sz w:val="17"/>
          <w:szCs w:val="17"/>
          <w:color w:val="auto"/>
        </w:rPr>
      </w:pPr>
    </w:p>
    <w:p>
      <w:pPr>
        <w:ind w:left="220" w:hanging="210"/>
        <w:spacing w:after="0"/>
        <w:tabs>
          <w:tab w:leader="none" w:pos="2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a toxicology study in mice with one of the protein components of our vaccine candidate, the protein was non-toxic.</w:t>
      </w:r>
    </w:p>
    <w:p>
      <w:pPr>
        <w:spacing w:after="0" w:line="119"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We have completed an open-label, dose escalating Phase I clinical trial of the first protein component of our vaccine candidate in the United Kingdom in 47 healthy adult volunteers. The purpose of this trial was to evaluate the safety and immunogenicity of this protein as an individual recombinant protein. We adjuvanted the protein with alum and tested it at four different strengths, with two doses given 28 days apart. In this trial, the protein was immunogenic at all doses tested. We performed analyses on both an intent to treat and a per protocol basis. In both the intent to treat population and the per protocol population, the immune response rate was 83% at the lowest dose tested and 100% at the highest dose tested. The response rate for both the highest dose group and the lowest dose group was statistically significantly higher than the assumed response rate of 50%. For the lowest dose group, the p-value was 0.0386 in both the intent to treat population and the per protocol population. For the highest dose group, the p-value was 0.0039 in the intent to treat population and 0.0078 in the per protocol population. The vaccine candidate was well tolerated by trial participants at all dose levels tested, with no serious adverse events reported. None of the subjects withdrew due to an adverse event.</w:t>
      </w:r>
    </w:p>
    <w:p>
      <w:pPr>
        <w:spacing w:after="0" w:line="11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As the next steps in our development plan, we plan to initiate two additional Phase I clinical trials for the other two proposed protein components of our vaccine candidate. First, we plan to evaluate the safety and immunogenicity of the protein that we already have tested together with one of these other proteins in a Phase I clinical trial in healthy adults. If the results of that trial are favorable, we plan to evaluate the safety and immunogenicity of all three proteins together in a further Phase I clinical trial. If the results of these Phase I clinical trials are favorable, we expect to submit an IND to the FDA to conduct more advanced clinical trials in the United States. The IND must become effective before we can conduct any clinical trials in the United States.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are in active discussions with NIH for NIH to provide clinical development support for this product candidate.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Chlamydia vaccine</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Chlamydia is the most prevalent sexually transmitted disease in the world. It is caused by infection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bacterium </w:t>
      </w:r>
      <w:r>
        <w:rPr>
          <w:rFonts w:ascii="Arial" w:cs="Arial" w:eastAsia="Arial" w:hAnsi="Arial"/>
          <w:sz w:val="17"/>
          <w:szCs w:val="17"/>
          <w:i w:val="1"/>
          <w:iCs w:val="1"/>
          <w:color w:val="auto"/>
        </w:rPr>
        <w:t>Chlamydium trachomatis. Chlamydia trachomatis</w:t>
      </w:r>
      <w:r>
        <w:rPr>
          <w:rFonts w:ascii="Arial" w:cs="Arial" w:eastAsia="Arial" w:hAnsi="Arial"/>
          <w:sz w:val="17"/>
          <w:szCs w:val="17"/>
          <w:color w:val="auto"/>
        </w:rPr>
        <w:t xml:space="preserve"> can cause urogenital disorders such as uritheritis, cervicitis, pelvic inflammatory disease, ectopic pregnancy and infertility among females and is the leading cause of non-gonococcal uritheritis and epidemiditis in males.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also causes the ocular disease trachoma, which is a form of vesicular conjunctivitis. Trachoma is the leading cause of preventable blindness worldwide.</w:t>
      </w:r>
    </w:p>
    <w:p>
      <w:pPr>
        <w:spacing w:after="0" w:line="78" w:lineRule="exact"/>
        <w:rPr>
          <w:sz w:val="20"/>
          <w:szCs w:val="20"/>
          <w:color w:val="auto"/>
        </w:rPr>
      </w:pPr>
    </w:p>
    <w:p>
      <w:pPr>
        <w:ind w:right="160"/>
        <w:spacing w:after="0" w:line="246"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The World Health Organization estimates that approximately 92 million new cases of</w:t>
      </w:r>
      <w:r>
        <w:rPr>
          <w:rFonts w:ascii="Arial" w:cs="Arial" w:eastAsia="Arial" w:hAnsi="Arial"/>
          <w:sz w:val="17"/>
          <w:szCs w:val="17"/>
          <w:i w:val="1"/>
          <w:iCs w:val="1"/>
          <w:color w:val="auto"/>
        </w:rPr>
        <w:t xml:space="preserve"> Chlamydia trachomatis </w:t>
      </w:r>
      <w:r>
        <w:rPr>
          <w:rFonts w:ascii="Arial" w:cs="Arial" w:eastAsia="Arial" w:hAnsi="Arial"/>
          <w:sz w:val="17"/>
          <w:szCs w:val="17"/>
          <w:color w:val="auto"/>
        </w:rPr>
        <w:t>infection occur annually worldwide, approximately four million of which occur in North America.</w:t>
      </w:r>
      <w:r>
        <w:rPr>
          <w:rFonts w:ascii="Arial" w:cs="Arial" w:eastAsia="Arial" w:hAnsi="Arial"/>
          <w:sz w:val="17"/>
          <w:szCs w:val="17"/>
          <w:i w:val="1"/>
          <w:iCs w:val="1"/>
          <w:color w:val="auto"/>
        </w:rPr>
        <w:t xml:space="preserve"> Chlamydia trachomatis </w:t>
      </w:r>
      <w:r>
        <w:rPr>
          <w:rFonts w:ascii="Arial" w:cs="Arial" w:eastAsia="Arial" w:hAnsi="Arial"/>
          <w:sz w:val="17"/>
          <w:szCs w:val="17"/>
          <w:color w:val="auto"/>
        </w:rPr>
        <w:t>infections are the most commonly reported notifiable disease in the United States, with an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2.8 million Americans becoming infected with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each year. Epidemiological studies indicate that in the United States,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infections are most prevalent among young sexually active individuals between the ages of 15 to 24 years of age. There is no vaccine currently on the market for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However, screening tests and effective antibiotic treatments have been effective at containing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 the United States and Europe. Although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infection can be treated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109" w:name="page110"/>
    <w:bookmarkEnd w:id="109"/>
    <w:p>
      <w:pPr>
        <w:ind w:right="540"/>
        <w:spacing w:after="0" w:line="258" w:lineRule="auto"/>
        <w:rPr>
          <w:sz w:val="20"/>
          <w:szCs w:val="20"/>
          <w:color w:val="auto"/>
        </w:rPr>
      </w:pPr>
      <w:r>
        <w:rPr>
          <w:rFonts w:ascii="Arial" w:cs="Arial" w:eastAsia="Arial" w:hAnsi="Arial"/>
          <w:sz w:val="17"/>
          <w:szCs w:val="17"/>
          <w:color w:val="auto"/>
        </w:rPr>
        <w:t>with antibiotics, control measures based on antimicrobial treatment alone are difficult due to the incidence of infection, the percentage of asymptomatic infections and deficiencies in diagnosis.</w:t>
      </w:r>
    </w:p>
    <w:p>
      <w:pPr>
        <w:spacing w:after="0" w:line="7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chlamydia vaccine for all clinically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relevant strains of </w:t>
      </w:r>
      <w:r>
        <w:rPr>
          <w:rFonts w:ascii="Arial" w:cs="Arial" w:eastAsia="Arial" w:hAnsi="Arial"/>
          <w:sz w:val="17"/>
          <w:szCs w:val="17"/>
          <w:i w:val="1"/>
          <w:iCs w:val="1"/>
          <w:color w:val="auto"/>
        </w:rPr>
        <w:t>Chlamydia trachomatis</w:t>
      </w:r>
      <w:r>
        <w:rPr>
          <w:rFonts w:ascii="Arial" w:cs="Arial" w:eastAsia="Arial" w:hAnsi="Arial"/>
          <w:sz w:val="17"/>
          <w:szCs w:val="17"/>
          <w:color w:val="auto"/>
        </w:rPr>
        <w:t xml:space="preserve">, including strains that cause ocular disease. We are designing our vaccine candidate to be administered by injection with a novel adjuvant in a three dose regimen. We are currently evaluating in license opportunities for the adjuvant. We have cloned our vaccine candidate and produced it in </w:t>
      </w:r>
      <w:r>
        <w:rPr>
          <w:rFonts w:ascii="Arial" w:cs="Arial" w:eastAsia="Arial" w:hAnsi="Arial"/>
          <w:sz w:val="17"/>
          <w:szCs w:val="17"/>
          <w:i w:val="1"/>
          <w:iCs w:val="1"/>
          <w:color w:val="auto"/>
        </w:rPr>
        <w:t>E. coli</w:t>
      </w:r>
      <w:r>
        <w:rPr>
          <w:rFonts w:ascii="Arial" w:cs="Arial" w:eastAsia="Arial" w:hAnsi="Arial"/>
          <w:sz w:val="17"/>
          <w:szCs w:val="17"/>
          <w:color w:val="auto"/>
        </w:rPr>
        <w:t xml:space="preserve">. In studies in mice, our vaccine candidate protected against both upper reproductive tract disease and lower reproductive tract infection induced by </w:t>
      </w:r>
      <w:r>
        <w:rPr>
          <w:rFonts w:ascii="Arial" w:cs="Arial" w:eastAsia="Arial" w:hAnsi="Arial"/>
          <w:sz w:val="17"/>
          <w:szCs w:val="17"/>
          <w:i w:val="1"/>
          <w:iCs w:val="1"/>
          <w:color w:val="auto"/>
        </w:rPr>
        <w:t>Chlamydia</w:t>
      </w:r>
      <w:r>
        <w:rPr>
          <w:rFonts w:ascii="Arial" w:cs="Arial" w:eastAsia="Arial" w:hAnsi="Arial"/>
          <w:sz w:val="17"/>
          <w:szCs w:val="17"/>
          <w:color w:val="auto"/>
        </w:rPr>
        <w:t xml:space="preserve"> </w:t>
      </w:r>
      <w:r>
        <w:rPr>
          <w:rFonts w:ascii="Arial" w:cs="Arial" w:eastAsia="Arial" w:hAnsi="Arial"/>
          <w:sz w:val="17"/>
          <w:szCs w:val="17"/>
          <w:i w:val="1"/>
          <w:iCs w:val="1"/>
          <w:color w:val="auto"/>
        </w:rPr>
        <w:t>trachomatis</w:t>
      </w:r>
      <w:r>
        <w:rPr>
          <w:rFonts w:ascii="Arial" w:cs="Arial" w:eastAsia="Arial" w:hAnsi="Arial"/>
          <w:sz w:val="17"/>
          <w:szCs w:val="17"/>
          <w:color w:val="auto"/>
        </w:rPr>
        <w:t>. In addition, there was no evidence of infertility in the mice following treatment with our vaccine candidate.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Meningitis B vaccine</w:t>
      </w:r>
    </w:p>
    <w:p>
      <w:pPr>
        <w:spacing w:after="0" w:line="121" w:lineRule="exact"/>
        <w:rPr>
          <w:sz w:val="20"/>
          <w:szCs w:val="20"/>
          <w:color w:val="auto"/>
        </w:rPr>
      </w:pPr>
    </w:p>
    <w:p>
      <w:pPr>
        <w:spacing w:after="0" w:line="247" w:lineRule="auto"/>
        <w:rPr>
          <w:sz w:val="20"/>
          <w:szCs w:val="20"/>
          <w:color w:val="auto"/>
        </w:rPr>
      </w:pPr>
      <w:r>
        <w:rPr>
          <w:rFonts w:ascii="Arial" w:cs="Arial" w:eastAsia="Arial" w:hAnsi="Arial"/>
          <w:sz w:val="17"/>
          <w:szCs w:val="17"/>
          <w:i w:val="1"/>
          <w:iCs w:val="1"/>
          <w:color w:val="auto"/>
        </w:rPr>
        <w:t xml:space="preserve">Disease overview. </w:t>
      </w:r>
      <w:r>
        <w:rPr>
          <w:rFonts w:ascii="Arial" w:cs="Arial" w:eastAsia="Arial" w:hAnsi="Arial"/>
          <w:sz w:val="17"/>
          <w:szCs w:val="17"/>
          <w:color w:val="auto"/>
        </w:rPr>
        <w:t>Meningococcal disease is a life threatening condition caused by infection with the bacterium</w:t>
      </w:r>
      <w:r>
        <w:rPr>
          <w:rFonts w:ascii="Arial" w:cs="Arial" w:eastAsia="Arial" w:hAnsi="Arial"/>
          <w:sz w:val="17"/>
          <w:szCs w:val="17"/>
          <w:i w:val="1"/>
          <w:iCs w:val="1"/>
          <w:color w:val="auto"/>
        </w:rPr>
        <w:t xml:space="preserve"> Neisseria meningitidis. Neisseria meningitidis </w:t>
      </w:r>
      <w:r>
        <w:rPr>
          <w:rFonts w:ascii="Arial" w:cs="Arial" w:eastAsia="Arial" w:hAnsi="Arial"/>
          <w:sz w:val="17"/>
          <w:szCs w:val="17"/>
          <w:color w:val="auto"/>
        </w:rPr>
        <w:t>is classified into 12 groups based on differences in the surface coating of the bacterium that</w:t>
      </w:r>
      <w:r>
        <w:rPr>
          <w:rFonts w:ascii="Arial" w:cs="Arial" w:eastAsia="Arial" w:hAnsi="Arial"/>
          <w:sz w:val="17"/>
          <w:szCs w:val="17"/>
          <w:i w:val="1"/>
          <w:iCs w:val="1"/>
          <w:color w:val="auto"/>
        </w:rPr>
        <w:t xml:space="preserve"> </w:t>
      </w:r>
      <w:r>
        <w:rPr>
          <w:rFonts w:ascii="Arial" w:cs="Arial" w:eastAsia="Arial" w:hAnsi="Arial"/>
          <w:sz w:val="17"/>
          <w:szCs w:val="17"/>
          <w:color w:val="auto"/>
        </w:rPr>
        <w:t>elicit distinct immune responses. According to the World Health Organization, group B is the most common cause of endemic meningitis in industrialized countries, accounting for 30% to 40% of cases in North America and 30% to 80% of cases in Europe. Meningococcal disease has a fatality rate of approximately 10%. The infection can develop very rapidly and cause death within 24 hours of the symptoms first becoming apparent. Children from six months to two years of age are at the highest risk of group B meningococcal infection, with teenagers also at enhanced risk.</w:t>
      </w:r>
    </w:p>
    <w:p>
      <w:pPr>
        <w:spacing w:after="0" w:line="85"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i w:val="1"/>
          <w:iCs w:val="1"/>
          <w:color w:val="auto"/>
        </w:rPr>
        <w:t xml:space="preserve">Market opportunity and current treatment. </w:t>
      </w:r>
      <w:r>
        <w:rPr>
          <w:rFonts w:ascii="Arial" w:cs="Arial" w:eastAsia="Arial" w:hAnsi="Arial"/>
          <w:sz w:val="17"/>
          <w:szCs w:val="17"/>
          <w:color w:val="auto"/>
        </w:rPr>
        <w:t>The World Health Organization estimates that approximately 1.2 million cases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bacterial meningitis occur annually worldwide, resulting in approximately 135,000 deaths. The World Health Organization estimates that approximately 500,000 of these cases and 50,000 of these deaths are caused by the bacterium </w:t>
      </w:r>
      <w:r>
        <w:rPr>
          <w:rFonts w:ascii="Arial" w:cs="Arial" w:eastAsia="Arial" w:hAnsi="Arial"/>
          <w:sz w:val="17"/>
          <w:szCs w:val="17"/>
          <w:i w:val="1"/>
          <w:iCs w:val="1"/>
          <w:color w:val="auto"/>
        </w:rPr>
        <w:t>Neisseria</w:t>
      </w:r>
      <w:r>
        <w:rPr>
          <w:rFonts w:ascii="Arial" w:cs="Arial" w:eastAsia="Arial" w:hAnsi="Arial"/>
          <w:sz w:val="17"/>
          <w:szCs w:val="17"/>
          <w:color w:val="auto"/>
        </w:rPr>
        <w:t xml:space="preserve"> </w:t>
      </w:r>
      <w:r>
        <w:rPr>
          <w:rFonts w:ascii="Arial" w:cs="Arial" w:eastAsia="Arial" w:hAnsi="Arial"/>
          <w:sz w:val="17"/>
          <w:szCs w:val="17"/>
          <w:i w:val="1"/>
          <w:iCs w:val="1"/>
          <w:color w:val="auto"/>
        </w:rPr>
        <w:t>meningitidis</w:t>
      </w:r>
      <w:r>
        <w:rPr>
          <w:rFonts w:ascii="Arial" w:cs="Arial" w:eastAsia="Arial" w:hAnsi="Arial"/>
          <w:sz w:val="17"/>
          <w:szCs w:val="17"/>
          <w:color w:val="auto"/>
        </w:rPr>
        <w:t>. In the United States, 2,333 cases of meningococcal disease were reported in 2001, with approximately one-third</w:t>
      </w:r>
      <w:r>
        <w:rPr>
          <w:rFonts w:ascii="Arial" w:cs="Arial" w:eastAsia="Arial" w:hAnsi="Arial"/>
          <w:sz w:val="17"/>
          <w:szCs w:val="17"/>
          <w:i w:val="1"/>
          <w:iCs w:val="1"/>
          <w:color w:val="auto"/>
        </w:rPr>
        <w:t xml:space="preserve"> </w:t>
      </w:r>
      <w:r>
        <w:rPr>
          <w:rFonts w:ascii="Arial" w:cs="Arial" w:eastAsia="Arial" w:hAnsi="Arial"/>
          <w:sz w:val="17"/>
          <w:szCs w:val="17"/>
          <w:color w:val="auto"/>
        </w:rPr>
        <w:t>due to group B. In 2003, 1,756 cases of meningococcal disease were reported in the United States. Currently, there is no meningitis vaccine on the market that is protective against group B meningococcal infection. Current meningitis B treatments include antibiotics and clinical support. The rapid progression of the infection means that antibiotic therapy can be ineffective in preventing serious morbidity and mortality.</w:t>
      </w:r>
    </w:p>
    <w:p>
      <w:pPr>
        <w:spacing w:after="0" w:line="8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i w:val="1"/>
          <w:iCs w:val="1"/>
          <w:color w:val="auto"/>
        </w:rPr>
        <w:t xml:space="preserve">Description and development status. </w:t>
      </w:r>
      <w:r>
        <w:rPr>
          <w:rFonts w:ascii="Arial" w:cs="Arial" w:eastAsia="Arial" w:hAnsi="Arial"/>
          <w:sz w:val="17"/>
          <w:szCs w:val="17"/>
          <w:color w:val="auto"/>
        </w:rPr>
        <w:t>We are developing a recombinant protein subunit meningitis B vaccine for babies, children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adolescents. We are designing our vaccine candidate to be administered by injection with an alum adjuvant in a two dose regimen for children under age five and a single dose regimen for children over age five. We do not expect that a booster dose will be required. We anticipate that the vaccine will consist of two or three protein antigens. We are currently evaluating a pool of 46 protein candidates in a number of preclinical studies. We are producing recombinant proteins in </w:t>
      </w:r>
      <w:r>
        <w:rPr>
          <w:rFonts w:ascii="Arial" w:cs="Arial" w:eastAsia="Arial" w:hAnsi="Arial"/>
          <w:sz w:val="17"/>
          <w:szCs w:val="17"/>
          <w:i w:val="1"/>
          <w:iCs w:val="1"/>
          <w:color w:val="auto"/>
        </w:rPr>
        <w:t>E. coli.</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We have entered into a collaboration agreement with Sanofi Pasteur for this vaccine candidate.</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Sanofi Pasteur collaboration</w:t>
      </w:r>
    </w:p>
    <w:p>
      <w:pPr>
        <w:spacing w:after="0" w:line="14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In May 2006, we entered into a license and co-development agreement effective April 1, 2006 with Sanofi Pasteur, the vaccines business of Sanofi-Aventis, pursuant to which we granted Sanofi Pasteur an exclusive, worldwide license to develop and commercialize a meningitis vaccine that contains program antigens evaluated and selected under the agreement. We retain the right and obligation to conduct development activities through Phase I clinical trials. Under specified circumstances, we also retain the right to exploit antigens that have been terminated from development under the agreement on an</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10" w:name="page111"/>
    <w:bookmarkEnd w:id="110"/>
    <w:p>
      <w:pPr>
        <w:spacing w:after="0" w:line="250" w:lineRule="auto"/>
        <w:rPr>
          <w:sz w:val="20"/>
          <w:szCs w:val="20"/>
          <w:color w:val="auto"/>
        </w:rPr>
      </w:pPr>
      <w:r>
        <w:rPr>
          <w:rFonts w:ascii="Arial" w:cs="Arial" w:eastAsia="Arial" w:hAnsi="Arial"/>
          <w:sz w:val="17"/>
          <w:szCs w:val="17"/>
          <w:color w:val="auto"/>
        </w:rPr>
        <w:t>exclusive basis and other specified antigens on a co-exclusive basis. Sanofi Pasteur has agreed to use commercially reasonable efforts to develop and commercialize a meningitis B vaccine in the United States, the European Union and other major market countries.</w:t>
      </w:r>
    </w:p>
    <w:p>
      <w:pPr>
        <w:spacing w:after="0" w:line="9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 steering committee made up of an equal number of representatives from us and Sanofi Pasteur oversees all development and commercialization activities under the agreement. The steering committee has the authority to make strategic decisions by unanimous vote relating to the development of a meningitis vaccine. Sanofi Pasteur has ultimate decision-making authority over matters that are not resolved at the steering committee and executive officer levels, but does not have the unilateral authority to amend the agreement or the development plan in a manner that would alter our obligations. In addition, Sanofi Pasteur has the right to make all strategic decisions relating to the development of any combination product and has sole discretion over the commercialization of any meningitis vaccine developed under the agreement.</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Under the agreement, Sanofi Pasteur paid us an initial fee of € 3 million. In addition, Sanofi Pasteur has agreed to pay all expenses incurred by us under the development program. We are also eligible to receive payments of up to a maximum of €73 million upon the achievement of specified research, development and commercialization milestones. Sanofi Pasteur has agreed to pay royalties to us based on net sales by Sanofi Pasteur, its affiliates and sublicensees of licensed products from the collaboration, including specified minimum royalties with respect to sales of any combination product. In addition, Sanofi Pasteur has agreed to pay us a portion of specified sublicense income received by Sanofi Pasteur or its affiliates.</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term of the agreement ends, on a country-by-country basis, upon the later of ten years from first commercial sale or the expiration of the last-to-expire patent covering a licensed product in such country. Sanofi Pasteur may terminate the agreement for convenience beginning April 1, 2007 upon six months’ prior written notice. Sanofi Pasteur also may terminate the agreement upon any change of control involving us or as a result of our uncured material breach of the agreement or bankruptcy.</w:t>
      </w:r>
    </w:p>
    <w:p>
      <w:pPr>
        <w:spacing w:after="0" w:line="1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Facilities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general information regarding our materially important facilities.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50"/>
        </w:trPr>
        <w:tc>
          <w:tcPr>
            <w:tcW w:w="2060" w:type="dxa"/>
            <w:vAlign w:val="bottom"/>
            <w:tcBorders>
              <w:top w:val="single" w:sz="8" w:color="auto"/>
            </w:tcBorders>
          </w:tcPr>
          <w:p>
            <w:pPr>
              <w:spacing w:after="0"/>
              <w:rPr>
                <w:sz w:val="13"/>
                <w:szCs w:val="13"/>
                <w:color w:val="auto"/>
              </w:rPr>
            </w:pPr>
          </w:p>
        </w:tc>
        <w:tc>
          <w:tcPr>
            <w:tcW w:w="37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Approximate</w:t>
            </w:r>
          </w:p>
        </w:tc>
        <w:tc>
          <w:tcPr>
            <w:tcW w:w="1660" w:type="dxa"/>
            <w:vAlign w:val="bottom"/>
            <w:tcBorders>
              <w:top w:val="single" w:sz="8" w:color="auto"/>
            </w:tcBorders>
          </w:tcPr>
          <w:p>
            <w:pPr>
              <w:spacing w:after="0"/>
              <w:rPr>
                <w:sz w:val="13"/>
                <w:szCs w:val="13"/>
                <w:color w:val="auto"/>
              </w:rPr>
            </w:pPr>
          </w:p>
        </w:tc>
      </w:tr>
      <w:tr>
        <w:trPr>
          <w:trHeight w:val="162"/>
        </w:trPr>
        <w:tc>
          <w:tcPr>
            <w:tcW w:w="2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Location</w:t>
            </w:r>
          </w:p>
        </w:tc>
        <w:tc>
          <w:tcPr>
            <w:tcW w:w="3780" w:type="dxa"/>
            <w:vAlign w:val="bottom"/>
            <w:tcBorders>
              <w:bottom w:val="single" w:sz="8" w:color="auto"/>
            </w:tcBorders>
          </w:tcPr>
          <w:p>
            <w:pPr>
              <w:ind w:left="1960"/>
              <w:spacing w:after="0"/>
              <w:rPr>
                <w:sz w:val="20"/>
                <w:szCs w:val="20"/>
                <w:color w:val="auto"/>
              </w:rPr>
            </w:pPr>
            <w:r>
              <w:rPr>
                <w:rFonts w:ascii="Arial" w:cs="Arial" w:eastAsia="Arial" w:hAnsi="Arial"/>
                <w:sz w:val="12"/>
                <w:szCs w:val="12"/>
                <w:b w:val="1"/>
                <w:bCs w:val="1"/>
                <w:color w:val="auto"/>
              </w:rPr>
              <w:t>Use</w:t>
            </w: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Segment</w:t>
            </w: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square feet</w:t>
            </w: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Owned/leased</w:t>
            </w:r>
          </w:p>
        </w:tc>
      </w:tr>
      <w:tr>
        <w:trPr>
          <w:trHeight w:val="34"/>
        </w:trPr>
        <w:tc>
          <w:tcPr>
            <w:tcW w:w="20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185"/>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Lansing, Michigan</w:t>
            </w:r>
          </w:p>
        </w:tc>
        <w:tc>
          <w:tcPr>
            <w:tcW w:w="3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Manufacturing operations facilities and office</w:t>
            </w:r>
          </w:p>
        </w:tc>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Biodefense</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214,000</w:t>
            </w:r>
          </w:p>
        </w:tc>
        <w:tc>
          <w:tcPr>
            <w:tcW w:w="1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Owned</w:t>
            </w:r>
          </w:p>
        </w:tc>
      </w:tr>
      <w:tr>
        <w:trPr>
          <w:trHeight w:val="181"/>
        </w:trPr>
        <w:tc>
          <w:tcPr>
            <w:tcW w:w="2060" w:type="dxa"/>
            <w:vAlign w:val="bottom"/>
            <w:shd w:val="clear" w:color="auto" w:fill="CCEEFF"/>
          </w:tcPr>
          <w:p>
            <w:pPr>
              <w:spacing w:after="0"/>
              <w:rPr>
                <w:sz w:val="15"/>
                <w:szCs w:val="15"/>
                <w:color w:val="auto"/>
              </w:rPr>
            </w:pPr>
          </w:p>
        </w:tc>
        <w:tc>
          <w:tcPr>
            <w:tcW w:w="3780" w:type="dxa"/>
            <w:vAlign w:val="bottom"/>
            <w:shd w:val="clear" w:color="auto" w:fill="CCEEFF"/>
          </w:tcPr>
          <w:p>
            <w:pPr>
              <w:ind w:left="420"/>
              <w:spacing w:after="0" w:line="181" w:lineRule="exact"/>
              <w:rPr>
                <w:sz w:val="20"/>
                <w:szCs w:val="20"/>
                <w:color w:val="auto"/>
              </w:rPr>
            </w:pPr>
            <w:r>
              <w:rPr>
                <w:rFonts w:ascii="Arial" w:cs="Arial" w:eastAsia="Arial" w:hAnsi="Arial"/>
                <w:sz w:val="16"/>
                <w:szCs w:val="16"/>
                <w:color w:val="auto"/>
              </w:rPr>
              <w:t>space</w:t>
            </w:r>
          </w:p>
        </w:tc>
        <w:tc>
          <w:tcPr>
            <w:tcW w:w="1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85"/>
        </w:trPr>
        <w:tc>
          <w:tcPr>
            <w:tcW w:w="2060" w:type="dxa"/>
            <w:vAlign w:val="bottom"/>
          </w:tcPr>
          <w:p>
            <w:pPr>
              <w:spacing w:after="0"/>
              <w:rPr>
                <w:sz w:val="20"/>
                <w:szCs w:val="20"/>
                <w:color w:val="auto"/>
              </w:rPr>
            </w:pPr>
            <w:r>
              <w:rPr>
                <w:rFonts w:ascii="Arial" w:cs="Arial" w:eastAsia="Arial" w:hAnsi="Arial"/>
                <w:sz w:val="16"/>
                <w:szCs w:val="16"/>
                <w:color w:val="auto"/>
              </w:rPr>
              <w:t>Frederick, Maryland</w:t>
            </w:r>
          </w:p>
        </w:tc>
        <w:tc>
          <w:tcPr>
            <w:tcW w:w="3780" w:type="dxa"/>
            <w:vAlign w:val="bottom"/>
          </w:tcPr>
          <w:p>
            <w:pPr>
              <w:ind w:left="420"/>
              <w:spacing w:after="0"/>
              <w:rPr>
                <w:sz w:val="20"/>
                <w:szCs w:val="20"/>
                <w:color w:val="auto"/>
              </w:rPr>
            </w:pPr>
            <w:r>
              <w:rPr>
                <w:rFonts w:ascii="Arial" w:cs="Arial" w:eastAsia="Arial" w:hAnsi="Arial"/>
                <w:sz w:val="16"/>
                <w:szCs w:val="16"/>
                <w:color w:val="auto"/>
              </w:rPr>
              <w:t>Future manufacturing facilities and office and</w:t>
            </w:r>
          </w:p>
        </w:tc>
        <w:tc>
          <w:tcPr>
            <w:tcW w:w="1280" w:type="dxa"/>
            <w:vAlign w:val="bottom"/>
          </w:tcPr>
          <w:p>
            <w:pPr>
              <w:ind w:left="220"/>
              <w:spacing w:after="0"/>
              <w:rPr>
                <w:sz w:val="20"/>
                <w:szCs w:val="20"/>
                <w:color w:val="auto"/>
              </w:rPr>
            </w:pPr>
            <w:r>
              <w:rPr>
                <w:rFonts w:ascii="Arial" w:cs="Arial" w:eastAsia="Arial" w:hAnsi="Arial"/>
                <w:sz w:val="16"/>
                <w:szCs w:val="16"/>
                <w:color w:val="auto"/>
              </w:rPr>
              <w:t>Biodefense/</w:t>
            </w:r>
          </w:p>
        </w:tc>
        <w:tc>
          <w:tcPr>
            <w:tcW w:w="1140" w:type="dxa"/>
            <w:vAlign w:val="bottom"/>
          </w:tcPr>
          <w:p>
            <w:pPr>
              <w:jc w:val="right"/>
              <w:ind w:right="126"/>
              <w:spacing w:after="0"/>
              <w:rPr>
                <w:sz w:val="20"/>
                <w:szCs w:val="20"/>
                <w:color w:val="auto"/>
              </w:rPr>
            </w:pPr>
            <w:r>
              <w:rPr>
                <w:rFonts w:ascii="Arial" w:cs="Arial" w:eastAsia="Arial" w:hAnsi="Arial"/>
                <w:sz w:val="16"/>
                <w:szCs w:val="16"/>
                <w:color w:val="auto"/>
              </w:rPr>
              <w:t>290,000</w:t>
            </w:r>
          </w:p>
        </w:tc>
        <w:tc>
          <w:tcPr>
            <w:tcW w:w="1660" w:type="dxa"/>
            <w:vAlign w:val="bottom"/>
          </w:tcPr>
          <w:p>
            <w:pPr>
              <w:ind w:left="180"/>
              <w:spacing w:after="0"/>
              <w:rPr>
                <w:sz w:val="20"/>
                <w:szCs w:val="20"/>
                <w:color w:val="auto"/>
              </w:rPr>
            </w:pPr>
            <w:r>
              <w:rPr>
                <w:rFonts w:ascii="Arial" w:cs="Arial" w:eastAsia="Arial" w:hAnsi="Arial"/>
                <w:sz w:val="16"/>
                <w:szCs w:val="16"/>
                <w:color w:val="auto"/>
              </w:rPr>
              <w:t>Owned</w:t>
            </w:r>
          </w:p>
        </w:tc>
      </w:tr>
      <w:tr>
        <w:trPr>
          <w:trHeight w:val="181"/>
        </w:trPr>
        <w:tc>
          <w:tcPr>
            <w:tcW w:w="2060" w:type="dxa"/>
            <w:vAlign w:val="bottom"/>
          </w:tcPr>
          <w:p>
            <w:pPr>
              <w:spacing w:after="0"/>
              <w:rPr>
                <w:sz w:val="15"/>
                <w:szCs w:val="15"/>
                <w:color w:val="auto"/>
              </w:rPr>
            </w:pPr>
          </w:p>
        </w:tc>
        <w:tc>
          <w:tcPr>
            <w:tcW w:w="3780" w:type="dxa"/>
            <w:vAlign w:val="bottom"/>
          </w:tcPr>
          <w:p>
            <w:pPr>
              <w:ind w:left="420"/>
              <w:spacing w:after="0" w:line="181" w:lineRule="exact"/>
              <w:rPr>
                <w:sz w:val="20"/>
                <w:szCs w:val="20"/>
                <w:color w:val="auto"/>
              </w:rPr>
            </w:pPr>
            <w:r>
              <w:rPr>
                <w:rFonts w:ascii="Arial" w:cs="Arial" w:eastAsia="Arial" w:hAnsi="Arial"/>
                <w:sz w:val="16"/>
                <w:szCs w:val="16"/>
                <w:color w:val="auto"/>
              </w:rPr>
              <w:t>laboratory space</w:t>
            </w:r>
          </w:p>
        </w:tc>
        <w:tc>
          <w:tcPr>
            <w:tcW w:w="1280" w:type="dxa"/>
            <w:vAlign w:val="bottom"/>
          </w:tcPr>
          <w:p>
            <w:pPr>
              <w:ind w:left="220"/>
              <w:spacing w:after="0" w:line="181" w:lineRule="exact"/>
              <w:rPr>
                <w:sz w:val="20"/>
                <w:szCs w:val="20"/>
                <w:color w:val="auto"/>
              </w:rPr>
            </w:pPr>
            <w:r>
              <w:rPr>
                <w:rFonts w:ascii="Arial" w:cs="Arial" w:eastAsia="Arial" w:hAnsi="Arial"/>
                <w:sz w:val="16"/>
                <w:szCs w:val="16"/>
                <w:color w:val="auto"/>
              </w:rPr>
              <w:t>Commercial</w:t>
            </w:r>
          </w:p>
        </w:tc>
        <w:tc>
          <w:tcPr>
            <w:tcW w:w="11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Gaithersburg, Maryland</w:t>
            </w:r>
          </w:p>
        </w:tc>
        <w:tc>
          <w:tcPr>
            <w:tcW w:w="3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Office and laboratory space</w:t>
            </w:r>
          </w:p>
        </w:tc>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Biodefense/</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36,000</w:t>
            </w:r>
          </w:p>
        </w:tc>
        <w:tc>
          <w:tcPr>
            <w:tcW w:w="1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Leases expire 2008</w:t>
            </w:r>
          </w:p>
        </w:tc>
      </w:tr>
      <w:tr>
        <w:trPr>
          <w:trHeight w:val="183"/>
        </w:trPr>
        <w:tc>
          <w:tcPr>
            <w:tcW w:w="20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80" w:type="dxa"/>
            <w:vAlign w:val="bottom"/>
          </w:tcPr>
          <w:p>
            <w:pPr>
              <w:ind w:left="220"/>
              <w:spacing w:after="0"/>
              <w:rPr>
                <w:sz w:val="20"/>
                <w:szCs w:val="20"/>
                <w:color w:val="auto"/>
              </w:rPr>
            </w:pPr>
            <w:r>
              <w:rPr>
                <w:rFonts w:ascii="Arial" w:cs="Arial" w:eastAsia="Arial" w:hAnsi="Arial"/>
                <w:sz w:val="16"/>
                <w:szCs w:val="16"/>
                <w:color w:val="auto"/>
              </w:rPr>
              <w:t>Commercial</w:t>
            </w:r>
          </w:p>
        </w:tc>
        <w:tc>
          <w:tcPr>
            <w:tcW w:w="11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5"/>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Rockville, Maryland</w:t>
            </w:r>
          </w:p>
        </w:tc>
        <w:tc>
          <w:tcPr>
            <w:tcW w:w="37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Office space</w:t>
            </w:r>
          </w:p>
        </w:tc>
        <w:tc>
          <w:tcPr>
            <w:tcW w:w="1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Biodefense/</w:t>
            </w:r>
          </w:p>
        </w:tc>
        <w:tc>
          <w:tcPr>
            <w:tcW w:w="11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23,000</w:t>
            </w:r>
          </w:p>
        </w:tc>
        <w:tc>
          <w:tcPr>
            <w:tcW w:w="1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expires 2016</w:t>
            </w:r>
          </w:p>
        </w:tc>
      </w:tr>
      <w:tr>
        <w:trPr>
          <w:trHeight w:val="181"/>
        </w:trPr>
        <w:tc>
          <w:tcPr>
            <w:tcW w:w="206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8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Commercial</w:t>
            </w:r>
          </w:p>
        </w:tc>
        <w:tc>
          <w:tcPr>
            <w:tcW w:w="11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93"/>
        </w:trPr>
        <w:tc>
          <w:tcPr>
            <w:tcW w:w="2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Wokingham, England</w:t>
            </w:r>
          </w:p>
        </w:tc>
        <w:tc>
          <w:tcPr>
            <w:tcW w:w="378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Office and laboratory space</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Commercial</w:t>
            </w: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16,000</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Leases expire 2016</w:t>
            </w:r>
          </w:p>
        </w:tc>
      </w:tr>
    </w:tbl>
    <w:p>
      <w:pPr>
        <w:spacing w:after="0" w:line="11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i w:val="1"/>
          <w:iCs w:val="1"/>
          <w:color w:val="auto"/>
        </w:rPr>
        <w:t xml:space="preserve">Lansing, Michigan. </w:t>
      </w:r>
      <w:r>
        <w:rPr>
          <w:rFonts w:ascii="Arial" w:cs="Arial" w:eastAsia="Arial" w:hAnsi="Arial"/>
          <w:sz w:val="17"/>
          <w:szCs w:val="17"/>
          <w:color w:val="auto"/>
        </w:rPr>
        <w:t>We own a multi-building campus on approximately 12.5 acres in Lansing, Michigan that includes facilities for</w:t>
      </w:r>
      <w:r>
        <w:rPr>
          <w:rFonts w:ascii="Arial" w:cs="Arial" w:eastAsia="Arial" w:hAnsi="Arial"/>
          <w:sz w:val="17"/>
          <w:szCs w:val="17"/>
          <w:i w:val="1"/>
          <w:iCs w:val="1"/>
          <w:color w:val="auto"/>
        </w:rPr>
        <w:t xml:space="preserve"> </w:t>
      </w:r>
      <w:r>
        <w:rPr>
          <w:rFonts w:ascii="Arial" w:cs="Arial" w:eastAsia="Arial" w:hAnsi="Arial"/>
          <w:sz w:val="17"/>
          <w:szCs w:val="17"/>
          <w:color w:val="auto"/>
        </w:rPr>
        <w:t>bulk manufacturing of BioThrax, including fermentation, filtration and formulation, as well as for raw material storage and in-process and final product warehousing. The campus is secured through perimeter fencing, limited and controlled ingress and egress and 24 hour on-site security personnel. We acquired these facilities in 1998 from the Michigan Biologic Products Institute after the State of Michigan, with the concurrence of the DoD, suspended the production of BioThrax to renovate these manufacturing facilities. Following our acquisition of BioThrax, we completed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1" w:name="page112"/>
    <w:bookmarkEnd w:id="111"/>
    <w:p>
      <w:pPr>
        <w:ind w:right="60"/>
        <w:spacing w:after="0" w:line="250" w:lineRule="auto"/>
        <w:rPr>
          <w:sz w:val="20"/>
          <w:szCs w:val="20"/>
          <w:color w:val="auto"/>
        </w:rPr>
      </w:pPr>
      <w:r>
        <w:rPr>
          <w:rFonts w:ascii="Arial" w:cs="Arial" w:eastAsia="Arial" w:hAnsi="Arial"/>
          <w:sz w:val="17"/>
          <w:szCs w:val="17"/>
          <w:color w:val="auto"/>
        </w:rPr>
        <w:t>the facility renovations initiated by the State of Michigan. Our comprehensive renovations included the implementation of work plans to systematically validate the manufacturing process of BioThrax and improve our quality systems. In December 2001, the FDA approved a supplement to our manufacturing facility license for the manufacture of BioThrax at the renovated facilities.</w:t>
      </w:r>
    </w:p>
    <w:p>
      <w:pPr>
        <w:spacing w:after="0" w:line="96"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February 2006, we began construction of a new 50,000 square foot manufacturing facility on our Lansing campus.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are constructing this new facility as a large scale commercial manufacturing plant that we can use to produce multiple vaccine products, subject to complying with appropriate change-over procedures. Subject to regulatory approval, we expect that the new manufacturing facility will serve as our primary BioThrax manufacturing facility. We anticipate that we will initiate large scale manufacturing of BioThrax for commercial sale at the new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at our new facility will be delayed and we will incur additional unanticipated costs.</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constructing this facility to accommodate production of up to 40 million doses of BioThrax per year on a single production line, which we could expand for production of up to 80 million doses per year through the addition of a second production line. In comparison, our current facility has a maximum production capacity of approximately nine million doses of BioThrax per year. In addition to construction of a new manufacturing facility, we recently commissioned a new pilot plant on our Lansing campus. Our Lansing facilities and substantially all of the other assets of our wholly owned subsidiary, Emergent BioDefense Operations Lansing Inc., other than accounts receivable under our DoD and HHS contracts, serve as collateral for our financing obligations for our facility expansion in Lansing. For more information, see “Management’s discussion and analysis of financial condition and results of operations — Liquidity and capital resources — Debt financing.”</w:t>
      </w:r>
    </w:p>
    <w:p>
      <w:pPr>
        <w:spacing w:after="0" w:line="88"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i w:val="1"/>
          <w:iCs w:val="1"/>
          <w:color w:val="auto"/>
        </w:rPr>
        <w:t xml:space="preserve">Frederick, Maryland. </w:t>
      </w:r>
      <w:r>
        <w:rPr>
          <w:rFonts w:ascii="Arial" w:cs="Arial" w:eastAsia="Arial" w:hAnsi="Arial"/>
          <w:sz w:val="17"/>
          <w:szCs w:val="17"/>
          <w:color w:val="auto"/>
        </w:rPr>
        <w:t>We own two buildings of approximately 145,000 square feet each on a 15-acre site in Frederick, Maryland.</w:t>
      </w:r>
      <w:r>
        <w:rPr>
          <w:rFonts w:ascii="Arial" w:cs="Arial" w:eastAsia="Arial" w:hAnsi="Arial"/>
          <w:sz w:val="17"/>
          <w:szCs w:val="17"/>
          <w:i w:val="1"/>
          <w:iCs w:val="1"/>
          <w:color w:val="auto"/>
        </w:rPr>
        <w:t xml:space="preserve"> </w:t>
      </w:r>
      <w:r>
        <w:rPr>
          <w:rFonts w:ascii="Arial" w:cs="Arial" w:eastAsia="Arial" w:hAnsi="Arial"/>
          <w:sz w:val="17"/>
          <w:szCs w:val="17"/>
          <w:color w:val="auto"/>
        </w:rPr>
        <w:t>We financed the purchase of these buildings with a forgivable loan from the Department of Business and Economic Development of the State of Maryland and mortgage loans from commercial lenders. These buildings serve as collateral for these financing obligations. For more information, see “Management’s discussion and analysis of financial condition and results of operations — Liquidity and capital resources — Debt financing.”</w:t>
      </w:r>
    </w:p>
    <w:p>
      <w:pPr>
        <w:spacing w:after="0" w:line="9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are in the preliminary phase of establishing plans to build out this site for product development and a portion of our potential future product manufacturing requirements. Our preliminary plans contemplate that the site would be designed to provide laboratory space, product development and pilot plant production capabilities, full scale commercial manufacturing operations, warehouse and storage facilities, fill and finish operations and administrative office space. We expect that we will complete the build out of this site in several stages. Our preliminary plans contemplate a build out of one of the two buildings on this site to accommodate laboratory space, product development, pilot plant, initial product launch capabilities and administrative office space during 2008 and 2009. Our preliminary plans also contemplate that we will build out commercial manufacturing operations two to three years after establishing initial product launch capabilities.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lease two separate product development facilities. Our facility in Gaithersburg, Maryland of approximately</w:t>
      </w:r>
    </w:p>
    <w:p>
      <w:pPr>
        <w:spacing w:after="0" w:line="19"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36,000 square feet contains a combination of laboratory and office space, including our current executive offices. We conduct product development programs at this site for both our biodefense and commercial product candidates. Our facility in Wokingham, England of approximately 16,000 square feet contains a combination of laboratory and office space. We conduct product development programs at this site primarily for our commercial product candidates. Our facility in Rockville, Maryland contains approximately 23,000 square feet of office space. We plan to relocate our executive offices to our Rockville facility in late 2006.</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w:t>
      </w:r>
    </w:p>
    <w:p>
      <w:pPr>
        <w:spacing w:after="0" w:line="144"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manufacture BioThrax at our facilities in Lansing, Michigan using well established vaccine manufacturing procedures. We currently rely on contract manufacturers and other third parties to manufacture the supplies of our immunobiotic product candidates that we require for preclinical and clinical development. We acquire these supplies on a purchase order basis. We anticipate that we will use our existing plant facilities in Michigan, including our recently commissioned pilot plant, and, when constructed and approved, our planned new plant facilities in Michigan and Maryland to support both continued process development and the manufacture of clinical supplies of our product candidates. However, we also expect that we will continue to use third parties for production of preclinical and clinical supplies of some of our product candidates. We believe that manufacturing our products and product candidates independently will provide us cost savings and greater control over the manufacturing and regulatory approval and oversight process, accelerate product development timelines and allow us to expand our base of manufacturing know-how that we can then apply to the development and manufacture of future product candidates.</w:t>
      </w:r>
    </w:p>
    <w:p>
      <w:pPr>
        <w:spacing w:after="0" w:line="103"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Hollister-Stier Laboratories LLC performs the contract filling operation for BioThrax vials at its FDA approved facility located in Spokane, Washington. Hollister-Stier has agreed to meet all of our firm purchase orders for contract filling of BioThrax based on a good faith annual estimate that we provide prior to each calendar year. In addition, Hollister-Stier has agreed to accommodate fill requests in excess of our annual estimate subject to its available production capacity. Our contract with Hollister-Stier expires December 31, 2007. The contract also can be terminated by either party following an uncured material breach by the other party.</w:t>
      </w:r>
    </w:p>
    <w:p>
      <w:pPr>
        <w:spacing w:after="0" w:line="102"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Talecris Biotherapeutics has agreed to perform plasma fractionation and purification and contract filling relating to the manufacture of our anthrax immune globulin candidate at its FDA approved facilities located in Melville, New York and Clayton, North Carolina. Subject to limited exceptions, we have agreed to obtain all of our anthrax immune globulin requirements exclusively from Talecris. While our agreement with Talecris remains in effect, Talecris has agreed not to market, sell or acquire any competing product that contains anthrax immune globulin as an active ingredient.</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Talecris has agreed to perform plasma fractionation and purification and contract filling for the manufacture of our anthrax immune globulin candidate for preclinical or animal studies, for clinical use or for non-clinical testing required for clinical trials and for commercial sale. We have agreed to pay Talecris royalties on net sales on a country-by-country basis for commercial product manufactured by Talecris under the contract.</w:t>
      </w:r>
    </w:p>
    <w:p>
      <w:pPr>
        <w:spacing w:after="0" w:line="99"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contract with Talecris expires December 31, 2013 or five years following initiation of commercial manufacturing. We have the option to extend the term for an additional five-year period upon notice to Talecris at least 12 months prior to the expiration of the initial term. After three years following initiation of commercial manufacturing, either party may terminate the contract upon two years’ advance notice. The contract can also be terminated by either party following an uncured material breach by the other party. We have the right to terminate the contract, under specified circumstances, if we discontinue our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color w:val="auto"/>
        </w:rPr>
        <w:t>production of anthrax immune globulin source plasma or the development of our anthrax immune globulin candidate.</w:t>
      </w:r>
    </w:p>
    <w:p>
      <w:pPr>
        <w:spacing w:after="0" w:line="119"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We expect to engage one or more third parties to perform the plasma fractionation and purification processes and contract filling for our botulinum immune globulin candidate. We also expect that we will rely on third parties for a portion of the manufacturing process for commercial supplies of product candidates that we successfully develop, including fermentation for some of our vaccine product candidates and contract fill and finish operations.</w:t>
      </w:r>
    </w:p>
    <w:p>
      <w:pPr>
        <w:spacing w:after="0" w:line="99"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We rely on third parties for supplies and raw materials used for the production of BioThrax and our immunobiotic product candidates. We purchase these supplies and raw materials from various suppliers in quantities adequate to meet our needs. We believe that there are adequate alternative sources of supply available if any of our current suppliers were unable to meet our needs.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Marketing and sales</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currently market and sell BioThrax directly to the DoD and HHS with a small, targeted marketing and sales group. We plan to continue to do so and expect that we will use a similar approach for sales to the U.S. government of any other biodefense product candidates that we successfully develop. We plan to expand our sales and marketing organization as we broaden our sales activities of biodefense products to state and local governments, which we expect will be interested in these products to protect first responders, such as police, fire and emergency medical personnel. We have established marketing and sales offices in Singapore and Munich, Germany to target sales of biodefense products to foreign governments. We have engaged third party marketing representatives to market BioThrax in the Middle East, Turkey, India, Australia and several Scandinavian countries in Europe.</w:t>
      </w:r>
    </w:p>
    <w:p>
      <w:pPr>
        <w:spacing w:after="0" w:line="304"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We expect to establish a separate internal organization to market and sell commercial products for which we retain commercialization or co-commercialization rights. We anticipate that our internal marketing and sales organization will be complemented by selective co-promotion and other arrangements with leading pharmaceutical and biotechnology companies.</w:t>
      </w:r>
    </w:p>
    <w:p>
      <w:pPr>
        <w:spacing w:after="0" w:line="9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generally expect to retain commercial rights for our product candidates that we successfully develop in situations in which we believe it is possible to access the market through a focused, specialized sales force. In particular, we believe that such a sales force could address commercial markets, such as the market for typhoid vaccines and other vaccines for travelers to developing countries, that overlap with markets for our biodefense products. We expect that we will selectively pursue collaboration arrangements in situations in which the collaborator has particular expertise or resources for the development or commercialization of our products or product candidates or to access particular markets.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resources provide us with competitive advantages, we face potential competition from many different sources, including commercial pharmaceutical and biotechnology companies, academic institutions, government agencies and private and public research institutions.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GlaxoSmithKline, Sanofi-Aventis, Wyeth, Merck and Chiron generated approximately 85% of total vaccine revenues in 2005.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concentration of the industry reflects a number of factors, including:</w:t>
      </w:r>
    </w:p>
    <w:p>
      <w:pPr>
        <w:spacing w:after="0" w:line="66" w:lineRule="exact"/>
        <w:rPr>
          <w:sz w:val="20"/>
          <w:szCs w:val="20"/>
          <w:color w:val="auto"/>
        </w:rPr>
      </w:pPr>
    </w:p>
    <w:p>
      <w:pPr>
        <w:ind w:left="4840" w:right="3900" w:hanging="4830"/>
        <w:spacing w:after="0" w:line="725" w:lineRule="auto"/>
        <w:tabs>
          <w:tab w:leader="none" w:pos="22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need for significant, long-term investment in research and development;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-127635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4" w:name="page115"/>
    <w:bookmarkEnd w:id="114"/>
    <w:p>
      <w:pPr>
        <w:ind w:left="220" w:right="220" w:hanging="210"/>
        <w:spacing w:after="0" w:line="258" w:lineRule="auto"/>
        <w:tabs>
          <w:tab w:leader="none" w:pos="2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importance of manufacturing capacity, capability and specialty know-how, such as techniques, processes and biological starting materials; and</w:t>
      </w:r>
    </w:p>
    <w:p>
      <w:pPr>
        <w:spacing w:after="0" w:line="24" w:lineRule="exact"/>
        <w:rPr>
          <w:rFonts w:ascii="Arial" w:cs="Arial" w:eastAsia="Arial" w:hAnsi="Arial"/>
          <w:sz w:val="17"/>
          <w:szCs w:val="17"/>
          <w:color w:val="auto"/>
        </w:rPr>
      </w:pPr>
    </w:p>
    <w:p>
      <w:pPr>
        <w:ind w:left="220" w:hanging="210"/>
        <w:spacing w:after="0"/>
        <w:tabs>
          <w:tab w:leader="none" w:pos="2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high regulatory burden for prophylactic products, which generally are administered to healthy people.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These factors have created a significant barrier to entry into the vaccine industry.</w:t>
      </w:r>
    </w:p>
    <w:p>
      <w:pPr>
        <w:spacing w:after="0" w:line="11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Many of our competitors, including those named above, have significantly greater financial resources and expertise in research and development, manufacturing, preclinical testing, conducting clinical trials, obtaining regulatory approvals and marketing approved products than we do. These companies also compete with us in recruiting and retaining qualified scientific and management personnel, as well as in acquiring products, product candidates and technologies complementary to, or necessary for, our programs. Smaller or more focused companies, including VaxGen, Cangene, Human Genome Sciences, Acambis, Avant Immunotherapeutics and Avecia, may also prove to be significant competitors, particularly through collaborative arrangements with large and established companies.</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side effects, are more convenient or are less expensive than any products that we may develop. In addition, we may not be able to compete effectively if our products and product candidates do not satisfy government procurement requirements, particularly requirements of the U.S. government with respect to biodefense products.</w:t>
      </w:r>
    </w:p>
    <w:p>
      <w:pPr>
        <w:spacing w:after="0" w:line="99" w:lineRule="exact"/>
        <w:rPr>
          <w:sz w:val="20"/>
          <w:szCs w:val="20"/>
          <w:color w:val="auto"/>
        </w:rPr>
      </w:pPr>
    </w:p>
    <w:p>
      <w:pPr>
        <w:ind w:right="560"/>
        <w:spacing w:after="0" w:line="250" w:lineRule="auto"/>
        <w:rPr>
          <w:sz w:val="20"/>
          <w:szCs w:val="20"/>
          <w:color w:val="auto"/>
        </w:rPr>
      </w:pPr>
      <w:r>
        <w:rPr>
          <w:rFonts w:ascii="Arial" w:cs="Arial" w:eastAsia="Arial" w:hAnsi="Arial"/>
          <w:sz w:val="17"/>
          <w:szCs w:val="17"/>
          <w:color w:val="auto"/>
        </w:rPr>
        <w:t>Any immunobiotic product candidates that we successfully develop and commercialize is likely to compete with currently marketed products, such as vaccines and therapeutics, including antibiotics, and with other product candidates that are in development for the same indications.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BioThrax. </w:t>
      </w:r>
      <w:r>
        <w:rPr>
          <w:rFonts w:ascii="Arial" w:cs="Arial" w:eastAsia="Arial" w:hAnsi="Arial"/>
          <w:sz w:val="17"/>
          <w:szCs w:val="17"/>
          <w:color w:val="auto"/>
        </w:rPr>
        <w:t>Although BioThrax is the only product approved by the FDA for human use for the prevention of anthrax infection, we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face significant competition for the supply of this vaccine to the U.S. government. The NIAID Biodefense Research Agenda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CDC Category A Agents includes the development of an anthrax vaccine based on recombinant protective antigen.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September 2003, NIAID awarded joint three-year contracts totaling $151.6 million to VaxGen and Avecia to fund development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 recombinant protective antigen anthrax vaccine. In November 2004, HHS awarded VaxGen a contract with a value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$877.5 million to supply 75 million doses of recombinant protective antigen vaccine for the strategic national stockpile. Avecia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submitted a competing proposal to supply vaccine for the strategic national stockpile, which HHS did not accept. The HHS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procurement request was limited to a recombinant anthrax vaccine. Because BioThrax is not a recombinant vaccine, BioThrax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was precluded from consideration under that procurement program.</w:t>
      </w:r>
    </w:p>
    <w:p>
      <w:pPr>
        <w:spacing w:after="0" w:line="11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VaxGen has not yet delivered any vaccine doses under its contract with HHS. In May 2006, VaxGen announced that HHS unilaterally modified its contract to provide its anthrax vaccine for the strategic national stockpile. The contract modification extends the deadlines by which VaxGen is required to complete various milestones, including deliveries, and imposes additional requirements for clinical and non-clinical studies to be completed prior to the initiation of vaccine deliveries to the strategic national stockpile. VaxGen announced that meeting the new requirements would delay deliveries to the strategic national stockpile to the end of 2007 at best or more likely into 2008. VaxGen is obligated under the modified contract to initiate deliveries no later than November 2008. In May 2006, an HHS official stated in Congressional testimony that delays in accelerated development programs are not unexpected or unprecedented and that HHS maintains a commitment to develop a next generation recombinant protective antigen anthrax vaccine.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115" w:name="page116"/>
    <w:bookmarkEnd w:id="115"/>
    <w:p>
      <w:pPr>
        <w:ind w:right="160"/>
        <w:spacing w:after="0" w:line="258" w:lineRule="auto"/>
        <w:rPr>
          <w:sz w:val="20"/>
          <w:szCs w:val="20"/>
          <w:color w:val="auto"/>
        </w:rPr>
      </w:pPr>
      <w:r>
        <w:rPr>
          <w:rFonts w:ascii="Arial" w:cs="Arial" w:eastAsia="Arial" w:hAnsi="Arial"/>
          <w:sz w:val="17"/>
          <w:szCs w:val="17"/>
          <w:color w:val="auto"/>
        </w:rPr>
        <w:t>HPA manufactures an anthrax vaccine for use by the government of the United Kingdom. In addition, other countries may have anthrax vaccines for use by or in development for their own internal purposes.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biodefense products. </w:t>
      </w:r>
      <w:r>
        <w:rPr>
          <w:rFonts w:ascii="Arial" w:cs="Arial" w:eastAsia="Arial" w:hAnsi="Arial"/>
          <w:sz w:val="17"/>
          <w:szCs w:val="17"/>
          <w:color w:val="auto"/>
        </w:rPr>
        <w:t>The competition for our biodefense immunobiotic product candidates includes the following:</w:t>
      </w:r>
    </w:p>
    <w:p>
      <w:pPr>
        <w:spacing w:after="0" w:line="66" w:lineRule="exact"/>
        <w:rPr>
          <w:sz w:val="20"/>
          <w:szCs w:val="20"/>
          <w:color w:val="auto"/>
        </w:rPr>
      </w:pPr>
    </w:p>
    <w:p>
      <w:pPr>
        <w:ind w:left="220" w:right="40" w:hanging="210"/>
        <w:spacing w:after="0" w:line="251" w:lineRule="auto"/>
        <w:tabs>
          <w:tab w:leader="none" w:pos="2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Next generation anthrax vaccine. </w:t>
      </w:r>
      <w:r>
        <w:rPr>
          <w:rFonts w:ascii="Arial" w:cs="Arial" w:eastAsia="Arial" w:hAnsi="Arial"/>
          <w:sz w:val="17"/>
          <w:szCs w:val="17"/>
          <w:color w:val="auto"/>
        </w:rPr>
        <w:t>We expect that NIAID will issue multiple contracts to fund future development and testing of</w:t>
      </w:r>
      <w:r>
        <w:rPr>
          <w:rFonts w:ascii="Arial" w:cs="Arial" w:eastAsia="Arial" w:hAnsi="Arial"/>
          <w:sz w:val="17"/>
          <w:szCs w:val="17"/>
          <w:i w:val="1"/>
          <w:iCs w:val="1"/>
          <w:color w:val="auto"/>
        </w:rPr>
        <w:t xml:space="preserve"> </w:t>
      </w:r>
      <w:r>
        <w:rPr>
          <w:rFonts w:ascii="Arial" w:cs="Arial" w:eastAsia="Arial" w:hAnsi="Arial"/>
          <w:sz w:val="17"/>
          <w:szCs w:val="17"/>
          <w:color w:val="auto"/>
        </w:rPr>
        <w:t>a next generation anthrax vaccine pursuant to its request for proposals issued in June 2006. We face significant competition for NIAID funding from other companies that have responded to this NIAID request for proposals. If we continue to pursue the development of a next generation anthrax vaccine, we also expect that we will face significant competition for the supply of our product candidate to the U.S. government.</w:t>
      </w:r>
    </w:p>
    <w:p>
      <w:pPr>
        <w:spacing w:after="0" w:line="12" w:lineRule="exact"/>
        <w:rPr>
          <w:rFonts w:ascii="Arial" w:cs="Arial" w:eastAsia="Arial" w:hAnsi="Arial"/>
          <w:sz w:val="17"/>
          <w:szCs w:val="17"/>
          <w:color w:val="auto"/>
        </w:rPr>
      </w:pPr>
    </w:p>
    <w:p>
      <w:pPr>
        <w:ind w:left="220" w:right="120" w:hanging="210"/>
        <w:spacing w:after="0" w:line="249" w:lineRule="auto"/>
        <w:tabs>
          <w:tab w:leader="none" w:pos="2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Anthrax immune globulin. </w:t>
      </w:r>
      <w:r>
        <w:rPr>
          <w:rFonts w:ascii="Arial" w:cs="Arial" w:eastAsia="Arial" w:hAnsi="Arial"/>
          <w:sz w:val="17"/>
          <w:szCs w:val="17"/>
          <w:color w:val="auto"/>
        </w:rPr>
        <w:t>Cangene, in collaboration with the CDC, is currently developing an anthrax immune globulin using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plasma collected from military personnel who have been vaccinated with BioThrax. In July 2006, HHS exercised an option under a modification to an existing development and supply contract for Cangene to supply 10,000 doses of anthrax immune globulin for the strategic national stockpile. In June 2006, HHS awarded a contract to Human Genome Sciences to supply 20,000 treatment courses of a monoclonal antibody to </w:t>
      </w:r>
      <w:r>
        <w:rPr>
          <w:rFonts w:ascii="Arial" w:cs="Arial" w:eastAsia="Arial" w:hAnsi="Arial"/>
          <w:sz w:val="17"/>
          <w:szCs w:val="17"/>
          <w:i w:val="1"/>
          <w:iCs w:val="1"/>
          <w:color w:val="auto"/>
        </w:rPr>
        <w:t>Bacillus anthracis</w:t>
      </w:r>
      <w:r>
        <w:rPr>
          <w:rFonts w:ascii="Arial" w:cs="Arial" w:eastAsia="Arial" w:hAnsi="Arial"/>
          <w:sz w:val="17"/>
          <w:szCs w:val="17"/>
          <w:color w:val="auto"/>
        </w:rPr>
        <w:t>, referred to as ABthrax, for the strategic national stockpile.</w:t>
      </w:r>
    </w:p>
    <w:p>
      <w:pPr>
        <w:spacing w:after="0" w:line="14" w:lineRule="exact"/>
        <w:rPr>
          <w:rFonts w:ascii="Arial" w:cs="Arial" w:eastAsia="Arial" w:hAnsi="Arial"/>
          <w:sz w:val="17"/>
          <w:szCs w:val="17"/>
          <w:color w:val="auto"/>
        </w:rPr>
      </w:pPr>
    </w:p>
    <w:p>
      <w:pPr>
        <w:ind w:left="220" w:right="20" w:hanging="210"/>
        <w:spacing w:after="0" w:line="273" w:lineRule="auto"/>
        <w:tabs>
          <w:tab w:leader="none" w:pos="2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Recombinant bivalent botulinum vaccine. </w:t>
      </w:r>
      <w:r>
        <w:rPr>
          <w:rFonts w:ascii="Arial" w:cs="Arial" w:eastAsia="Arial" w:hAnsi="Arial"/>
          <w:sz w:val="17"/>
          <w:szCs w:val="17"/>
          <w:color w:val="auto"/>
        </w:rPr>
        <w:t>DynPort Vaccine Company has a recombinant bivalent botulinum vaccine in Phase I</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development with funding from the DoD.</w:t>
      </w:r>
    </w:p>
    <w:p>
      <w:pPr>
        <w:ind w:left="220" w:right="120" w:hanging="210"/>
        <w:spacing w:after="0" w:line="254" w:lineRule="auto"/>
        <w:tabs>
          <w:tab w:leader="none" w:pos="220"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Botulinum immune globulin. </w:t>
      </w:r>
      <w:r>
        <w:rPr>
          <w:rFonts w:ascii="Arial" w:cs="Arial" w:eastAsia="Arial" w:hAnsi="Arial"/>
          <w:sz w:val="17"/>
          <w:szCs w:val="17"/>
          <w:color w:val="auto"/>
        </w:rPr>
        <w:t>The current recommended therapy for clinical symptoms of botulism following exposure consists</w:t>
      </w:r>
      <w:r>
        <w:rPr>
          <w:rFonts w:ascii="Arial" w:cs="Arial" w:eastAsia="Arial" w:hAnsi="Arial"/>
          <w:sz w:val="17"/>
          <w:szCs w:val="17"/>
          <w:i w:val="1"/>
          <w:iCs w:val="1"/>
          <w:color w:val="auto"/>
        </w:rPr>
        <w:t xml:space="preserve"> </w:t>
      </w:r>
      <w:r>
        <w:rPr>
          <w:rFonts w:ascii="Arial" w:cs="Arial" w:eastAsia="Arial" w:hAnsi="Arial"/>
          <w:sz w:val="17"/>
          <w:szCs w:val="17"/>
          <w:color w:val="auto"/>
        </w:rPr>
        <w:t>of passive immunization with an immune globulin derived from equine plasma. In June 2006, HHS awarded a five-year development and supply contract to Cangene for a heptavalent botulinum immune globulin derived from equine plasma. The contract provides for the supply of 200,000 doses of a botulinum immune globulin for the strategic national stockpile.</w:t>
      </w:r>
    </w:p>
    <w:p>
      <w:pPr>
        <w:spacing w:after="0" w:line="9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BioThrax and our biodefense product candidates also face competition for government funding from other defensive measures, including medical countermeasures for biological, chemical and nuclear threats, diagnostic testing systems and other emergency preparedness countermeasures.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products. </w:t>
      </w:r>
      <w:r>
        <w:rPr>
          <w:rFonts w:ascii="Arial" w:cs="Arial" w:eastAsia="Arial" w:hAnsi="Arial"/>
          <w:sz w:val="17"/>
          <w:szCs w:val="17"/>
          <w:color w:val="auto"/>
        </w:rPr>
        <w:t>The competition for our commercial immunobiotic product candidates includes the following:</w:t>
      </w:r>
    </w:p>
    <w:p>
      <w:pPr>
        <w:spacing w:after="0" w:line="66" w:lineRule="exact"/>
        <w:rPr>
          <w:sz w:val="20"/>
          <w:szCs w:val="20"/>
          <w:color w:val="auto"/>
        </w:rPr>
      </w:pPr>
    </w:p>
    <w:p>
      <w:pPr>
        <w:ind w:left="220" w:right="80" w:hanging="210"/>
        <w:spacing w:after="0" w:line="251" w:lineRule="auto"/>
        <w:tabs>
          <w:tab w:leader="none" w:pos="2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Typhoid vaccine. </w:t>
      </w:r>
      <w:r>
        <w:rPr>
          <w:rFonts w:ascii="Arial" w:cs="Arial" w:eastAsia="Arial" w:hAnsi="Arial"/>
          <w:sz w:val="17"/>
          <w:szCs w:val="17"/>
          <w:color w:val="auto"/>
        </w:rPr>
        <w:t>One oral typhoid vaccine and one injectable typhoid vaccine are currently approved and administered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and Europe. In addition, combination vaccines are available for the prevention of hepatitis A and typhoid infections. Antibiotics typically are used to treat typhoid after infection. For more information, see “— Products — Commercial business — Typhoid vaccine.” We believe that Avant Immunotherapeutics Inc. has an oral, single dose, live attenuated typhoid vaccine candidate in Phase I clinical development with funding from NIAID.</w:t>
      </w:r>
    </w:p>
    <w:p>
      <w:pPr>
        <w:spacing w:after="0" w:line="25" w:lineRule="exact"/>
        <w:rPr>
          <w:rFonts w:ascii="Arial" w:cs="Arial" w:eastAsia="Arial" w:hAnsi="Arial"/>
          <w:sz w:val="17"/>
          <w:szCs w:val="17"/>
          <w:color w:val="auto"/>
        </w:rPr>
      </w:pPr>
    </w:p>
    <w:p>
      <w:pPr>
        <w:ind w:left="220" w:right="80" w:hanging="210"/>
        <w:spacing w:after="0" w:line="251" w:lineRule="auto"/>
        <w:tabs>
          <w:tab w:leader="none" w:pos="2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There is no vaccine currently on the market that is licensed for therapeutic use for hepatitis B</w:t>
      </w:r>
      <w:r>
        <w:rPr>
          <w:rFonts w:ascii="Arial" w:cs="Arial" w:eastAsia="Arial" w:hAnsi="Arial"/>
          <w:sz w:val="17"/>
          <w:szCs w:val="17"/>
          <w:i w:val="1"/>
          <w:iCs w:val="1"/>
          <w:color w:val="auto"/>
        </w:rPr>
        <w:t xml:space="preserve"> </w:t>
      </w:r>
      <w:r>
        <w:rPr>
          <w:rFonts w:ascii="Arial" w:cs="Arial" w:eastAsia="Arial" w:hAnsi="Arial"/>
          <w:sz w:val="17"/>
          <w:szCs w:val="17"/>
          <w:color w:val="auto"/>
        </w:rPr>
        <w:t>infection. Currently available therapies for this patient population consist mainly of antiviral drugs and immunotherapies, such as interferons. For more information, see “— Products — Commercial business — Hepatitis B therapeutic vaccine.” Several other companies have vaccine candidates in clinical development, including Enzo Biochem, Oxxon Therapeutics and Genencor International.</w:t>
      </w:r>
    </w:p>
    <w:p>
      <w:pPr>
        <w:spacing w:after="0" w:line="25" w:lineRule="exact"/>
        <w:rPr>
          <w:rFonts w:ascii="Arial" w:cs="Arial" w:eastAsia="Arial" w:hAnsi="Arial"/>
          <w:sz w:val="17"/>
          <w:szCs w:val="17"/>
          <w:color w:val="auto"/>
        </w:rPr>
      </w:pPr>
    </w:p>
    <w:p>
      <w:pPr>
        <w:jc w:val="both"/>
        <w:ind w:left="220" w:right="480" w:hanging="210"/>
        <w:spacing w:after="0" w:line="261" w:lineRule="auto"/>
        <w:tabs>
          <w:tab w:leader="none" w:pos="22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The existing method of prevention of group B streptococcus infection in neonates is the</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administration of intravenous antibiotics to women during labor. A number of competitors have passive immune vaccines in preclinical development.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6" w:name="page117"/>
    <w:bookmarkEnd w:id="116"/>
    <w:p>
      <w:pPr>
        <w:ind w:left="220" w:right="20" w:hanging="210"/>
        <w:spacing w:after="0" w:line="254" w:lineRule="auto"/>
        <w:tabs>
          <w:tab w:leader="none" w:pos="22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Chlamydia vaccine. </w:t>
      </w:r>
      <w:r>
        <w:rPr>
          <w:rFonts w:ascii="Arial" w:cs="Arial" w:eastAsia="Arial" w:hAnsi="Arial"/>
          <w:sz w:val="17"/>
          <w:szCs w:val="17"/>
          <w:color w:val="auto"/>
        </w:rPr>
        <w:t>There is no vaccine currently on the market for chlamydia, and we are not aware of any competing</w:t>
      </w:r>
      <w:r>
        <w:rPr>
          <w:rFonts w:ascii="Arial" w:cs="Arial" w:eastAsia="Arial" w:hAnsi="Arial"/>
          <w:sz w:val="17"/>
          <w:szCs w:val="17"/>
          <w:i w:val="1"/>
          <w:iCs w:val="1"/>
          <w:color w:val="auto"/>
        </w:rPr>
        <w:t xml:space="preserve"> </w:t>
      </w:r>
      <w:r>
        <w:rPr>
          <w:rFonts w:ascii="Arial" w:cs="Arial" w:eastAsia="Arial" w:hAnsi="Arial"/>
          <w:sz w:val="17"/>
          <w:szCs w:val="17"/>
          <w:color w:val="auto"/>
        </w:rPr>
        <w:t>chlamydia vaccine candidate in clinical development. Several competitors may have chlamydia vaccine candidates in preclinical development. Screening tests and effective antibiotic treatments have been effective at containing chlamydia in the United States and Europe.</w:t>
      </w:r>
    </w:p>
    <w:p>
      <w:pPr>
        <w:spacing w:after="0" w:line="10" w:lineRule="exact"/>
        <w:rPr>
          <w:rFonts w:ascii="Arial" w:cs="Arial" w:eastAsia="Arial" w:hAnsi="Arial"/>
          <w:sz w:val="17"/>
          <w:szCs w:val="17"/>
          <w:color w:val="auto"/>
        </w:rPr>
      </w:pPr>
    </w:p>
    <w:p>
      <w:pPr>
        <w:ind w:left="220" w:right="20" w:hanging="210"/>
        <w:spacing w:after="0" w:line="256" w:lineRule="auto"/>
        <w:tabs>
          <w:tab w:leader="none" w:pos="22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Meningitis B vaccine. </w:t>
      </w:r>
      <w:r>
        <w:rPr>
          <w:rFonts w:ascii="Arial" w:cs="Arial" w:eastAsia="Arial" w:hAnsi="Arial"/>
          <w:sz w:val="17"/>
          <w:szCs w:val="17"/>
          <w:color w:val="auto"/>
        </w:rPr>
        <w:t>Currently, there is no meningitis vaccine on the market that is protective against group B meningococcal</w:t>
      </w:r>
      <w:r>
        <w:rPr>
          <w:rFonts w:ascii="Arial" w:cs="Arial" w:eastAsia="Arial" w:hAnsi="Arial"/>
          <w:sz w:val="17"/>
          <w:szCs w:val="17"/>
          <w:i w:val="1"/>
          <w:iCs w:val="1"/>
          <w:color w:val="auto"/>
        </w:rPr>
        <w:t xml:space="preserve"> </w:t>
      </w:r>
      <w:r>
        <w:rPr>
          <w:rFonts w:ascii="Arial" w:cs="Arial" w:eastAsia="Arial" w:hAnsi="Arial"/>
          <w:sz w:val="17"/>
          <w:szCs w:val="17"/>
          <w:color w:val="auto"/>
        </w:rPr>
        <w:t>infection. Novartis markets a meningitis B vaccine in New Zealand to people under the age of 20 and is also developing a broad coverage protein subunit vaccine candidate. Current meningitis B treatment strategies include antibiotics and clinical support.</w:t>
      </w: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Intellectual property and licenses</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success, particularly with respect to our commercial business, depends in part on our ability to obtain and maintain proprietary protection for our product candidates, technology and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of our business. U.S. patents generally have a term of 20 years from the date of nonprovisional filing. We also rely on trade secrets, know-how, continuing technological innovation and in-licensing opportunities to develop and maintain our proprietary position.</w:t>
      </w:r>
    </w:p>
    <w:p>
      <w:pPr>
        <w:spacing w:after="0" w:line="102"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As of October 20, 2006, we owned or licensed a total of 20 U.S. patents and 44 U.S. patent applications relating to our biodefense and commercial product candidates described in this prospectus, as well as numerous foreign counterparts to many of these patents and patent applications. Our patent portfolio includes patents and patent applications with claims directed to compositions of matter, pharmaceutical formulations and methods of use.</w:t>
      </w:r>
    </w:p>
    <w:p>
      <w:pPr>
        <w:spacing w:after="0" w:line="9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consider the patent rights that we have licensed from HPA relating to our recombinant bivalent botulinum vaccine candidate and our botulinum toxoid vaccine, which we plan to use in the development of our botulinum immune globulin candidate, to be most important to the protection of our biodefense product portfolio. These patents rights are described below under “— License agreements — HPA agreements.”</w:t>
      </w:r>
    </w:p>
    <w:p>
      <w:pPr>
        <w:spacing w:after="0" w:line="9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We consider the following patents that we own or license to be most important to the protection of our vaccine candidates in our commercial business that are in clinical development.</w:t>
      </w:r>
    </w:p>
    <w:p>
      <w:pPr>
        <w:spacing w:after="0" w:line="20" w:lineRule="exact"/>
        <w:rPr>
          <w:sz w:val="20"/>
          <w:szCs w:val="20"/>
          <w:color w:val="auto"/>
        </w:rPr>
      </w:pPr>
    </w:p>
    <w:p>
      <w:pPr>
        <w:ind w:left="220" w:right="60" w:hanging="210"/>
        <w:spacing w:after="0" w:line="246" w:lineRule="auto"/>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Typhoid vaccine. </w:t>
      </w:r>
      <w:r>
        <w:rPr>
          <w:rFonts w:ascii="Arial" w:cs="Arial" w:eastAsia="Arial" w:hAnsi="Arial"/>
          <w:sz w:val="17"/>
          <w:szCs w:val="17"/>
          <w:color w:val="auto"/>
        </w:rPr>
        <w:t>We hold five U.S. patents relating to our typhoid vaccine candidate. Some of these patents have claims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composition of matter of the vaccine candidate and methods of use of attenuated </w:t>
      </w:r>
      <w:r>
        <w:rPr>
          <w:rFonts w:ascii="Arial" w:cs="Arial" w:eastAsia="Arial" w:hAnsi="Arial"/>
          <w:sz w:val="17"/>
          <w:szCs w:val="17"/>
          <w:i w:val="1"/>
          <w:iCs w:val="1"/>
          <w:color w:val="auto"/>
        </w:rPr>
        <w:t>Salmonella typhi</w:t>
      </w:r>
      <w:r>
        <w:rPr>
          <w:rFonts w:ascii="Arial" w:cs="Arial" w:eastAsia="Arial" w:hAnsi="Arial"/>
          <w:sz w:val="17"/>
          <w:szCs w:val="17"/>
          <w:color w:val="auto"/>
        </w:rPr>
        <w:t xml:space="preserve"> bacteria as vaccines for the treatment and prevention of typhoid and for the delivery of vaccine antigens. In addition, we have two pending U.S. patent applications with claims to additional compositions and methods of therapy that are generally related to our typhoid vaccine candidate. Our issued U.S. patents expire, and, if issued, our U.S. patent applications would expire, between 2015 and 2020. We hold 28 foreign counterparts to our issued U.S. patents relating to our typhoid vaccine candidate, including counterparts under the European Patent Convention and in Japan, that expire, and 34 foreign patent applications that, if issued, would expire, between 2015 and 2020.</w:t>
      </w:r>
    </w:p>
    <w:p>
      <w:pPr>
        <w:spacing w:after="0" w:line="20" w:lineRule="exact"/>
        <w:rPr>
          <w:rFonts w:ascii="Arial" w:cs="Arial" w:eastAsia="Arial" w:hAnsi="Arial"/>
          <w:sz w:val="17"/>
          <w:szCs w:val="17"/>
          <w:color w:val="auto"/>
        </w:rPr>
      </w:pPr>
    </w:p>
    <w:p>
      <w:pPr>
        <w:ind w:left="220" w:hanging="210"/>
        <w:spacing w:after="0" w:line="249" w:lineRule="auto"/>
        <w:tabs>
          <w:tab w:leader="none" w:pos="22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Hepatitis B therapeutic vaccine. </w:t>
      </w:r>
      <w:r>
        <w:rPr>
          <w:rFonts w:ascii="Arial" w:cs="Arial" w:eastAsia="Arial" w:hAnsi="Arial"/>
          <w:sz w:val="17"/>
          <w:szCs w:val="17"/>
          <w:color w:val="auto"/>
        </w:rPr>
        <w:t>Our hepatitis B therapeutic vaccine candidate uses our proprietary</w:t>
      </w:r>
      <w:r>
        <w:rPr>
          <w:rFonts w:ascii="Arial" w:cs="Arial" w:eastAsia="Arial" w:hAnsi="Arial"/>
          <w:sz w:val="17"/>
          <w:szCs w:val="17"/>
          <w:i w:val="1"/>
          <w:iCs w:val="1"/>
          <w:color w:val="auto"/>
        </w:rPr>
        <w:t xml:space="preserve"> spi</w:t>
      </w:r>
      <w:r>
        <w:rPr>
          <w:rFonts w:ascii="Arial" w:cs="Arial" w:eastAsia="Arial" w:hAnsi="Arial"/>
          <w:sz w:val="17"/>
          <w:szCs w:val="17"/>
          <w:color w:val="auto"/>
        </w:rPr>
        <w:t>-VEC oral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system technology to deliver hepatitis B core antigen to the human immune system. </w:t>
      </w:r>
      <w:r>
        <w:rPr>
          <w:rFonts w:ascii="Arial" w:cs="Arial" w:eastAsia="Arial" w:hAnsi="Arial"/>
          <w:sz w:val="17"/>
          <w:szCs w:val="17"/>
          <w:i w:val="1"/>
          <w:iCs w:val="1"/>
          <w:color w:val="auto"/>
        </w:rPr>
        <w:t>Spi</w:t>
      </w:r>
      <w:r>
        <w:rPr>
          <w:rFonts w:ascii="Arial" w:cs="Arial" w:eastAsia="Arial" w:hAnsi="Arial"/>
          <w:sz w:val="17"/>
          <w:szCs w:val="17"/>
          <w:color w:val="auto"/>
        </w:rPr>
        <w:t>-VEC is based on our live attenuated typhoid vaccine candidate and employs recombinant technology to insert the gene for hepatitis B core into the live attenuated S</w:t>
      </w:r>
      <w:r>
        <w:rPr>
          <w:rFonts w:ascii="Arial" w:cs="Arial" w:eastAsia="Arial" w:hAnsi="Arial"/>
          <w:sz w:val="17"/>
          <w:szCs w:val="17"/>
          <w:i w:val="1"/>
          <w:iCs w:val="1"/>
          <w:color w:val="auto"/>
        </w:rPr>
        <w:t>almonella</w:t>
      </w:r>
      <w:r>
        <w:rPr>
          <w:rFonts w:ascii="Arial" w:cs="Arial" w:eastAsia="Arial" w:hAnsi="Arial"/>
          <w:sz w:val="17"/>
          <w:szCs w:val="17"/>
          <w:color w:val="auto"/>
        </w:rPr>
        <w:t xml:space="preserve"> bacteria. As a result, the patents relating to our typhoid vaccine candidate also protect our hepatitis B therapeutic vaccine candidate. We also hold one U.S. patent with claims to the use of attenuated </w:t>
      </w:r>
      <w:r>
        <w:rPr>
          <w:rFonts w:ascii="Arial" w:cs="Arial" w:eastAsia="Arial" w:hAnsi="Arial"/>
          <w:sz w:val="17"/>
          <w:szCs w:val="17"/>
          <w:i w:val="1"/>
          <w:iCs w:val="1"/>
          <w:color w:val="auto"/>
        </w:rPr>
        <w:t>Salmonella</w:t>
      </w:r>
      <w:r>
        <w:rPr>
          <w:rFonts w:ascii="Arial" w:cs="Arial" w:eastAsia="Arial" w:hAnsi="Arial"/>
          <w:sz w:val="17"/>
          <w:szCs w:val="17"/>
          <w:color w:val="auto"/>
        </w:rPr>
        <w:t xml:space="preserve"> organisms for the delivery of hepatitis B vaccine antigens, which expires in 2019. In addition, we have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19" w:right="1059" w:bottom="1440" w:gutter="0" w:footer="0" w:header="0"/>
        </w:sectPr>
      </w:pPr>
    </w:p>
    <w:bookmarkStart w:id="117" w:name="page118"/>
    <w:bookmarkEnd w:id="117"/>
    <w:p>
      <w:pPr>
        <w:jc w:val="both"/>
        <w:ind w:left="220" w:right="500"/>
        <w:spacing w:after="0" w:line="250" w:lineRule="auto"/>
        <w:rPr>
          <w:sz w:val="20"/>
          <w:szCs w:val="20"/>
          <w:color w:val="auto"/>
        </w:rPr>
      </w:pPr>
      <w:r>
        <w:rPr>
          <w:rFonts w:ascii="Arial" w:cs="Arial" w:eastAsia="Arial" w:hAnsi="Arial"/>
          <w:sz w:val="17"/>
          <w:szCs w:val="17"/>
          <w:color w:val="auto"/>
        </w:rPr>
        <w:t>one pending U.S. patent application relating to our hepatitis B therapeutic vaccine candidate, which if issued also would expire in 2019. We have four foreign patent applications relating to our hepatitis B therapeutic vaccine candidate that, if issued, would expire in 2019.</w:t>
      </w:r>
    </w:p>
    <w:p>
      <w:pPr>
        <w:spacing w:after="0" w:line="26" w:lineRule="exact"/>
        <w:rPr>
          <w:sz w:val="20"/>
          <w:szCs w:val="20"/>
          <w:color w:val="auto"/>
        </w:rPr>
      </w:pPr>
    </w:p>
    <w:p>
      <w:pPr>
        <w:ind w:left="220" w:right="80" w:hanging="210"/>
        <w:spacing w:after="0" w:line="247" w:lineRule="auto"/>
        <w:tabs>
          <w:tab w:leader="none" w:pos="22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Group B streptococcus vaccine. </w:t>
      </w:r>
      <w:r>
        <w:rPr>
          <w:rFonts w:ascii="Arial" w:cs="Arial" w:eastAsia="Arial" w:hAnsi="Arial"/>
          <w:sz w:val="17"/>
          <w:szCs w:val="17"/>
          <w:color w:val="auto"/>
        </w:rPr>
        <w:t>We hold two U.S. patents relating to our group B streptococcus vaccine candidate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claims to the composition of matter of the vaccine candidate and methods of use for the prevention or treatment of infection caused by </w:t>
      </w:r>
      <w:r>
        <w:rPr>
          <w:rFonts w:ascii="Arial" w:cs="Arial" w:eastAsia="Arial" w:hAnsi="Arial"/>
          <w:sz w:val="17"/>
          <w:szCs w:val="17"/>
          <w:i w:val="1"/>
          <w:iCs w:val="1"/>
          <w:color w:val="auto"/>
        </w:rPr>
        <w:t>Streptococcus agalactiae</w:t>
      </w:r>
      <w:r>
        <w:rPr>
          <w:rFonts w:ascii="Arial" w:cs="Arial" w:eastAsia="Arial" w:hAnsi="Arial"/>
          <w:sz w:val="17"/>
          <w:szCs w:val="17"/>
          <w:color w:val="auto"/>
        </w:rPr>
        <w:t>. In addition, we have four pending U.S. patent applications with claims to additional compositions and methods of therapy relating to our group B streptococcus vaccine candidate. Our issued U.S. patents expire, and, if issued, our U.S. patent applications would expire, between 2019 and 2022. We hold 19 foreign counterparts to our issued U.S. patents relating to our group B streptococcus vaccine candidate, including counterparts under the European Patent Convention and in Japan, that expire, and 40 foreign patent applications that, if issued, would expire, in 2019.</w:t>
      </w:r>
    </w:p>
    <w:p>
      <w:pPr>
        <w:spacing w:after="0" w:line="19" w:lineRule="exact"/>
        <w:rPr>
          <w:rFonts w:ascii="Arial" w:cs="Arial" w:eastAsia="Arial" w:hAnsi="Arial"/>
          <w:sz w:val="17"/>
          <w:szCs w:val="17"/>
          <w:color w:val="auto"/>
        </w:rPr>
      </w:pPr>
    </w:p>
    <w:p>
      <w:pPr>
        <w:ind w:left="220" w:hanging="210"/>
        <w:spacing w:after="0" w:line="245" w:lineRule="auto"/>
        <w:tabs>
          <w:tab w:leader="none" w:pos="22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STM technology. </w:t>
      </w:r>
      <w:r>
        <w:rPr>
          <w:rFonts w:ascii="Arial" w:cs="Arial" w:eastAsia="Arial" w:hAnsi="Arial"/>
          <w:sz w:val="17"/>
          <w:szCs w:val="17"/>
          <w:color w:val="auto"/>
        </w:rPr>
        <w:t>We jointly own with Imperial College Innovations Limited patents with claims to methods for the identification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virulence genes using our signature tagged mutagenesis, or STM, technology, which we used to identify and develop the gene mutations that form the basis of our typhoid vaccine and hepatitis B therapeutic vaccine candidates. We also jointly own with Imperial Innovations the composition of matter patents covering these gene mutations. We have exclusive rights, even as to Imperial Innovations, under these jointly owned patents in all fields of use, except in the field of diagnosis, prevention, treatment, or palliation of microbial diseases, disorders and infections in humans and animals where our rights are generally non-exclusive and are subject to existing license agreements with third parties. Because our typhoid vaccine and hepatitis B therapeutic vaccine candidates are outside of this non-exclusive field of use, we have exclusive rights with respect to these vaccine candidates. We exclusively own the composition of matter patents covering the specific combination of mutations employed in our typhoid vaccine and hepatitis B therapeutic vaccine candidates.</w:t>
      </w:r>
    </w:p>
    <w:p>
      <w:pPr>
        <w:spacing w:after="0" w:line="105"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Our ability to maintain and solidify our proprietary position for our technology will depend on our success in obtaining effective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or circumvented, which could limit our ability to stop competitors from marketing related products or the length of term of patent protection that we may have for our products. In addition, our competitors may independently develop similar technologies or duplicate any technology developed by us, and the rights granted under any issued patents may not provide us with any meaningful competitive advantages against these competitors. Furthermore, because of the extensive time required for development, testing and regulatory review of a potential product, it is possible that, before any of our products can be commercialized, any related patent may expire or remain in force for only a short period following commercialization, thereby reducing any advantage of the patent.</w:t>
      </w:r>
    </w:p>
    <w:p>
      <w:pPr>
        <w:spacing w:after="0" w:line="11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also rely on trade secrets relating to manufacturing processes and product development to protect our business. Because we do not have patent protection for BioThrax, the label expansions and improvements that we are pursuing for BioThrax or our anthrax immune globulin candidate, our only intellectual property protection for BioThrax and our anthrax immune globulin candidate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18" w:name="page119"/>
    <w:bookmarkEnd w:id="118"/>
    <w:p>
      <w:pPr>
        <w:ind w:right="120"/>
        <w:spacing w:after="0" w:line="247" w:lineRule="auto"/>
        <w:rPr>
          <w:sz w:val="20"/>
          <w:szCs w:val="20"/>
          <w:color w:val="auto"/>
        </w:rPr>
      </w:pPr>
      <w:r>
        <w:rPr>
          <w:rFonts w:ascii="Arial" w:cs="Arial" w:eastAsia="Arial" w:hAnsi="Arial"/>
          <w:sz w:val="17"/>
          <w:szCs w:val="17"/>
          <w:color w:val="auto"/>
        </w:rPr>
        <w:t>systems, agreements or security measures may be breached, and we may not have adequate remedies for any breach. In addition, our trade secrets may otherwise become known or be independently discovered by competitors. To the extent that our consultants or contractors use intellectual property owned by others in their work for us, disputes may arise as to the rights in related or resulting know-how and inventions.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w:t>
      </w:r>
    </w:p>
    <w:p>
      <w:pPr>
        <w:spacing w:after="0" w:line="14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We are a party to a number of license agreements under which we license patents, patent applications, and other intellectual property. We enter into these agreements to augment our owned intellectual property. These agreements impose various diligence and financial payment obligations on us. We expect to continue to enter into these types of license agreements in the future. The only existing licenses that we consider to be material to our current product portfolio or development pipeline are our agreements with HPA, which are described below. We also have a license agreement with the Bavarian State Ministry of the Environment, Public Health and Consumer Protection, or StMUGV, relating to a viral vector technology that we may use in the development of future product candidates, which is also described below.</w:t>
      </w:r>
    </w:p>
    <w:p>
      <w:pPr>
        <w:spacing w:after="0" w:line="8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i w:val="1"/>
          <w:iCs w:val="1"/>
          <w:color w:val="auto"/>
        </w:rPr>
        <w:t xml:space="preserve">HPA agreements. </w:t>
      </w:r>
      <w:r>
        <w:rPr>
          <w:rFonts w:ascii="Arial" w:cs="Arial" w:eastAsia="Arial" w:hAnsi="Arial"/>
          <w:sz w:val="17"/>
          <w:szCs w:val="17"/>
          <w:color w:val="auto"/>
        </w:rPr>
        <w:t>In November 2004, we entered into two separate license agreements with HPA for our botulinum toxoid</w:t>
      </w:r>
      <w:r>
        <w:rPr>
          <w:rFonts w:ascii="Arial" w:cs="Arial" w:eastAsia="Arial" w:hAnsi="Arial"/>
          <w:sz w:val="17"/>
          <w:szCs w:val="17"/>
          <w:i w:val="1"/>
          <w:iCs w:val="1"/>
          <w:color w:val="auto"/>
        </w:rPr>
        <w:t xml:space="preserve"> </w:t>
      </w:r>
      <w:r>
        <w:rPr>
          <w:rFonts w:ascii="Arial" w:cs="Arial" w:eastAsia="Arial" w:hAnsi="Arial"/>
          <w:sz w:val="17"/>
          <w:szCs w:val="17"/>
          <w:color w:val="auto"/>
        </w:rPr>
        <w:t>vaccine and our recombinant bivalent botulinum vaccine candidate. Under the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w:t>
      </w:r>
    </w:p>
    <w:p>
      <w:pPr>
        <w:spacing w:after="0" w:line="98"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 xml:space="preserve">The licensed patent portfolio includes one U.S. patent with claims to the composition of matter of recombinant components of </w:t>
      </w:r>
      <w:r>
        <w:rPr>
          <w:rFonts w:ascii="Arial" w:cs="Arial" w:eastAsia="Arial" w:hAnsi="Arial"/>
          <w:sz w:val="17"/>
          <w:szCs w:val="17"/>
          <w:i w:val="1"/>
          <w:iCs w:val="1"/>
          <w:color w:val="auto"/>
        </w:rPr>
        <w:t>Clostridium botulinum</w:t>
      </w:r>
      <w:r>
        <w:rPr>
          <w:rFonts w:ascii="Arial" w:cs="Arial" w:eastAsia="Arial" w:hAnsi="Arial"/>
          <w:sz w:val="17"/>
          <w:szCs w:val="17"/>
          <w:color w:val="auto"/>
        </w:rPr>
        <w:t>, which expires in 2016. Additional composition of matter and method of use claims are pending in three</w:t>
      </w:r>
      <w:r>
        <w:rPr>
          <w:rFonts w:ascii="Arial" w:cs="Arial" w:eastAsia="Arial" w:hAnsi="Arial"/>
          <w:sz w:val="17"/>
          <w:szCs w:val="17"/>
          <w:i w:val="1"/>
          <w:iCs w:val="1"/>
          <w:color w:val="auto"/>
        </w:rPr>
        <w:t xml:space="preserve"> </w:t>
      </w:r>
      <w:r>
        <w:rPr>
          <w:rFonts w:ascii="Arial" w:cs="Arial" w:eastAsia="Arial" w:hAnsi="Arial"/>
          <w:sz w:val="17"/>
          <w:szCs w:val="17"/>
          <w:color w:val="auto"/>
        </w:rPr>
        <w:t>U.S. patent applications, which if issued as patents also would expire in 2016. The licensed portfolio also includes seven foreign applications, which if issued would expire in 2016.</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Under each license agreement, we are required to pay HPA royalties on sales of the licensed product by us, our affiliates or third party sublicensees in the major market countries of the United States, United Kingdom, France, Germany, Italy and Japan, and a separate royalty on sales of the licensed product by us and our affiliates in any other country.</w:t>
      </w:r>
    </w:p>
    <w:p>
      <w:pPr>
        <w:spacing w:after="0" w:line="9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Under each license agreement, we are generally obligated to use commercially reasonable efforts to respond to applicable solicitations or procurement proposals from, and to enter into contracts with, governmental agencies in each of the major market countries with respect to the licensed product. We may satisfy this obligation by filing an IND with respect to a licensed product by November 2009. If we fail to file an IND within that time period under either of the license agreements, we are obligated to pay HPA an annual fee until an IND has been filed.</w:t>
      </w:r>
    </w:p>
    <w:p>
      <w:pPr>
        <w:spacing w:after="0" w:line="102" w:lineRule="exact"/>
        <w:rPr>
          <w:sz w:val="20"/>
          <w:szCs w:val="20"/>
          <w:color w:val="auto"/>
        </w:rPr>
      </w:pPr>
    </w:p>
    <w:p>
      <w:pPr>
        <w:ind w:right="380"/>
        <w:spacing w:after="0" w:line="244" w:lineRule="auto"/>
        <w:rPr>
          <w:sz w:val="20"/>
          <w:szCs w:val="20"/>
          <w:color w:val="auto"/>
        </w:rPr>
      </w:pPr>
      <w:r>
        <w:rPr>
          <w:rFonts w:ascii="Arial" w:cs="Arial" w:eastAsia="Arial" w:hAnsi="Arial"/>
          <w:sz w:val="17"/>
          <w:szCs w:val="17"/>
          <w:color w:val="auto"/>
        </w:rPr>
        <w:t>In November 2004, we also entered into two separate development agreements with HPA pursuant to which HPA agreed to conduct specified tests, studies and other development activities with respect to the botulinum toxoid product and the recombinant botulinum product in accordance with mutually-agreed development plans. We have paid minimum contractual commitments of $ 1.0 million under each development agreement to compensate HPA for this development work. HPA also agreed to provide us with clinical supplies of the botulinum toxoid product and the recombinant botulinum product for clinical trials.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19" w:name="page120"/>
    <w:bookmarkEnd w:id="119"/>
    <w:p>
      <w:pPr>
        <w:jc w:val="both"/>
        <w:ind w:right="660"/>
        <w:spacing w:after="0" w:line="250" w:lineRule="auto"/>
        <w:rPr>
          <w:sz w:val="20"/>
          <w:szCs w:val="20"/>
          <w:color w:val="auto"/>
        </w:rPr>
      </w:pPr>
      <w:r>
        <w:rPr>
          <w:rFonts w:ascii="Arial" w:cs="Arial" w:eastAsia="Arial" w:hAnsi="Arial"/>
          <w:sz w:val="17"/>
          <w:szCs w:val="17"/>
          <w:color w:val="auto"/>
        </w:rPr>
        <w:t>The term of each development agreement lasts until the development activities are completed. HPA may terminate each development agreement as a result of our uncured material breach or insolvency. Each of the development agreements automatically terminates if the applicable license agreement is terminated.</w:t>
      </w:r>
    </w:p>
    <w:p>
      <w:pPr>
        <w:spacing w:after="0" w:line="9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term of each license agreement lasts until the expiration of all of our royalty obligations under the applicable license agreement. We are obligated to pay royalties under each license agreement, on a product-by-product and country-by-country basis, until the later of seven years from first commercial sale of the first licensed product in that country and the expiration of the last-to-expire licensed patent in that country. HPA may terminate each license agreement if we terminate the applicable development agreement without cause before we have paid, or if HPA terminates such development agreement due to our failure to pay, the minimum commitment amount set forth in such development agreement. In addition, HPA may terminate each license agreement as a result of our uncured material breach or insolvency.</w:t>
      </w:r>
    </w:p>
    <w:p>
      <w:pPr>
        <w:spacing w:after="0" w:line="84"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i w:val="1"/>
          <w:iCs w:val="1"/>
          <w:color w:val="auto"/>
        </w:rPr>
        <w:t xml:space="preserve">MVAtor Platform Technology. </w:t>
      </w:r>
      <w:r>
        <w:rPr>
          <w:rFonts w:ascii="Arial" w:cs="Arial" w:eastAsia="Arial" w:hAnsi="Arial"/>
          <w:sz w:val="17"/>
          <w:szCs w:val="17"/>
          <w:color w:val="auto"/>
        </w:rPr>
        <w:t>In July 2006, in connection with our acquisition of ViVacs GmbH, a German limited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we acquired a license agreement with StMUGV that provides us the non-exclusive, worldwide right to develop and produce viruses and viral products, including recombinant viral vectors, using the modified vaccinia Ankara virus, or MVA. Our MVAtor platform technology, which is based on these licensed rights, could potentially be used as a viral vector for delivery of multiple vaccine antigens for different disease-causing organisms, including influenza, using recombinant technology.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Under the license agreement, we are required to pay StMUGV:</w:t>
      </w:r>
    </w:p>
    <w:p>
      <w:pPr>
        <w:spacing w:after="0" w:line="119" w:lineRule="exact"/>
        <w:rPr>
          <w:sz w:val="20"/>
          <w:szCs w:val="20"/>
          <w:color w:val="auto"/>
        </w:rPr>
      </w:pPr>
    </w:p>
    <w:p>
      <w:pPr>
        <w:ind w:left="320" w:right="100" w:hanging="310"/>
        <w:spacing w:after="0" w:line="258"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percentage of the net revenue or license fees, as applicable, that we receive from products developed using MVA that are used for research or other purposes; and</w:t>
      </w:r>
    </w:p>
    <w:p>
      <w:pPr>
        <w:spacing w:after="0" w:line="77" w:lineRule="exact"/>
        <w:rPr>
          <w:rFonts w:ascii="Arial" w:cs="Arial" w:eastAsia="Arial" w:hAnsi="Arial"/>
          <w:sz w:val="17"/>
          <w:szCs w:val="17"/>
          <w:color w:val="auto"/>
        </w:rPr>
      </w:pPr>
    </w:p>
    <w:p>
      <w:pPr>
        <w:ind w:left="320" w:right="240" w:hanging="310"/>
        <w:spacing w:after="0" w:line="258"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percentage of the license fees that we receive from products developed using MVA that are licensed as starting material for the production of a smallpox vaccine.</w:t>
      </w:r>
    </w:p>
    <w:p>
      <w:pPr>
        <w:spacing w:after="0" w:line="90" w:lineRule="exact"/>
        <w:rPr>
          <w:sz w:val="20"/>
          <w:szCs w:val="20"/>
          <w:color w:val="auto"/>
        </w:rPr>
      </w:pPr>
    </w:p>
    <w:p>
      <w:pPr>
        <w:ind w:right="260"/>
        <w:spacing w:after="0" w:line="250" w:lineRule="auto"/>
        <w:rPr>
          <w:sz w:val="20"/>
          <w:szCs w:val="20"/>
          <w:color w:val="auto"/>
        </w:rPr>
      </w:pPr>
      <w:r>
        <w:rPr>
          <w:rFonts w:ascii="Arial" w:cs="Arial" w:eastAsia="Arial" w:hAnsi="Arial"/>
          <w:sz w:val="17"/>
          <w:szCs w:val="17"/>
          <w:color w:val="auto"/>
        </w:rPr>
        <w:t>The license agreement does not have a specified term. Each party may terminate the license agreement as a result of an uncured material breach by the other party. In addition, StMUGV may terminate the license agreement upon the insolvency or liquidation of our wholly owned subsidiary, Emergent Product Development GmbH, formerly ViVacs GmbH.</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Government contracts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have an ongoing BioThrax supply contract with the DoD, which purchases BioThrax for immunization of military personnel.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supply BioThrax to HHS for placement into the strategic national stockpile.</w:t>
      </w:r>
    </w:p>
    <w:p>
      <w:pPr>
        <w:spacing w:after="0" w:line="101" w:lineRule="exact"/>
        <w:rPr>
          <w:sz w:val="20"/>
          <w:szCs w:val="20"/>
          <w:color w:val="auto"/>
        </w:rPr>
      </w:pPr>
    </w:p>
    <w:p>
      <w:pPr>
        <w:spacing w:after="0" w:line="246" w:lineRule="auto"/>
        <w:rPr>
          <w:sz w:val="20"/>
          <w:szCs w:val="20"/>
          <w:color w:val="auto"/>
        </w:rPr>
      </w:pPr>
      <w:r>
        <w:rPr>
          <w:rFonts w:ascii="Arial" w:cs="Arial" w:eastAsia="Arial" w:hAnsi="Arial"/>
          <w:sz w:val="17"/>
          <w:szCs w:val="17"/>
          <w:i w:val="1"/>
          <w:iCs w:val="1"/>
          <w:color w:val="auto"/>
        </w:rPr>
        <w:t xml:space="preserve">Department of Defense. </w:t>
      </w:r>
      <w:r>
        <w:rPr>
          <w:rFonts w:ascii="Arial" w:cs="Arial" w:eastAsia="Arial" w:hAnsi="Arial"/>
          <w:sz w:val="17"/>
          <w:szCs w:val="17"/>
          <w:color w:val="auto"/>
        </w:rPr>
        <w:t>Since 1998, we have been a party to two supply agreements for BioThrax with the DoD.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delivery of all of the doses of BioThrax under our first contract with the DoD. In November 2003, we entered into a follow-on, second supply contract with the DoD. This second contract is referred to as an indefinite delivery/indefinite quantity contract. Under this contract, the DoD is obligated to acquire a minimum number of doses of BioThrax and has the right to acquire up to a maximum number of doses. We invoice the DoD for progress payments under the contract upon reaching pre-determined process stages in the manufacture of BioThrax. We amended this contract in October 2006. As amended, this contract provides for the supply of a minimum of approximately 1.5 million additional doses of BioThrax to the DoD through September 2007. We expect to deliver to the DoD approximately 480,000 of these doses by December 2006, with the balance to be delivered by September 2007. The DoD may submit additional orders under this contract through February 2007.</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20" w:name="page121"/>
    <w:bookmarkEnd w:id="120"/>
    <w:p>
      <w:pPr>
        <w:ind w:right="60"/>
        <w:spacing w:after="0" w:line="248" w:lineRule="auto"/>
        <w:rPr>
          <w:sz w:val="20"/>
          <w:szCs w:val="20"/>
          <w:color w:val="auto"/>
        </w:rPr>
      </w:pPr>
      <w:r>
        <w:rPr>
          <w:rFonts w:ascii="Arial" w:cs="Arial" w:eastAsia="Arial" w:hAnsi="Arial"/>
          <w:sz w:val="17"/>
          <w:szCs w:val="17"/>
          <w:i w:val="1"/>
          <w:iCs w:val="1"/>
          <w:color w:val="auto"/>
        </w:rPr>
        <w:t xml:space="preserve">Department of Health and Human Services. </w:t>
      </w:r>
      <w:r>
        <w:rPr>
          <w:rFonts w:ascii="Arial" w:cs="Arial" w:eastAsia="Arial" w:hAnsi="Arial"/>
          <w:sz w:val="17"/>
          <w:szCs w:val="17"/>
          <w:color w:val="auto"/>
        </w:rPr>
        <w:t>In May 2005, we entered into an agreement to supply five million doses of BioThrax</w:t>
      </w:r>
      <w:r>
        <w:rPr>
          <w:rFonts w:ascii="Arial" w:cs="Arial" w:eastAsia="Arial" w:hAnsi="Arial"/>
          <w:sz w:val="17"/>
          <w:szCs w:val="17"/>
          <w:i w:val="1"/>
          <w:iCs w:val="1"/>
          <w:color w:val="auto"/>
        </w:rPr>
        <w:t xml:space="preserve"> </w:t>
      </w:r>
      <w:r>
        <w:rPr>
          <w:rFonts w:ascii="Arial" w:cs="Arial" w:eastAsia="Arial" w:hAnsi="Arial"/>
          <w:sz w:val="17"/>
          <w:szCs w:val="17"/>
          <w:color w:val="auto"/>
        </w:rPr>
        <w:t>to HHS for placement into the strategic national stockpile for a fixed price of $123 million. We completed delivery of all five million doses of BioThrax by February 2006, seven months earlier than required. In May 2006, we entered into a contract modification with HHS for the delivery of an additional five million doses of BioThrax to HHS by May 2007 for a fixed price of $120 million. We expect to complete delivery of all five million additional doses by the first half of 2007. Our contract with HHS does not provide for progress payments. We invoice HHS under the contract upon completing delivery of the specified doses of BioThrax.</w:t>
      </w:r>
    </w:p>
    <w:p>
      <w:pPr>
        <w:spacing w:after="0" w:line="28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i w:val="1"/>
          <w:iCs w:val="1"/>
          <w:color w:val="auto"/>
        </w:rPr>
        <w:t xml:space="preserve">U.S. government indemnification. </w:t>
      </w:r>
      <w:r>
        <w:rPr>
          <w:rFonts w:ascii="Arial" w:cs="Arial" w:eastAsia="Arial" w:hAnsi="Arial"/>
          <w:sz w:val="17"/>
          <w:szCs w:val="17"/>
          <w:color w:val="auto"/>
        </w:rPr>
        <w:t>Under our BioThrax contracts with the DoD and HHS, the U.S. government indemnifies us</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claims by third parties for death, personal injury and other damages related to BioThrax, including reasonable litigation and settlement costs, to the extent that the claim or loss results from specified risks not covered by insurance or caused by our grossly negligent or criminal behavior. As required under such contracts, we have notified the DoD of personal injury claims that have been filed against us as a result of the vaccination of U.S. military personnel with BioThrax and are seeking reimbursement from DoD for all costs incurred in defending these claims.</w:t>
      </w:r>
    </w:p>
    <w:p>
      <w:pPr>
        <w:spacing w:after="0" w:line="8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i w:val="1"/>
          <w:iCs w:val="1"/>
          <w:color w:val="auto"/>
        </w:rPr>
        <w:t xml:space="preserve">Safety Act and other statutory protections. </w:t>
      </w:r>
      <w:r>
        <w:rPr>
          <w:rFonts w:ascii="Arial" w:cs="Arial" w:eastAsia="Arial" w:hAnsi="Arial"/>
          <w:sz w:val="17"/>
          <w:szCs w:val="17"/>
          <w:color w:val="auto"/>
        </w:rPr>
        <w:t>In August 2006, the Department of Homeland Security approved our application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w:t>
      </w:r>
    </w:p>
    <w:p>
      <w:pPr>
        <w:spacing w:after="0" w:line="9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We have successfully asserted the government contractor defense in product liability litigation in a federal district court in Michigan.</w:t>
      </w:r>
    </w:p>
    <w:p>
      <w:pPr>
        <w:spacing w:after="0" w:line="102"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As part of the 2006 Defense Authorization Act, the U.S. Congress adopted the Public Readiness and Emergency Preparedness Act, which offers targeted liability protections to those involved in the development, manufacturing and deployment of pandemic and epidemic products and security countermeasures. The Public Readiness and Emergency Preparedness Act provides immunity, subject to limited exceptions, for claims arising out of, related to or resulting from the administration or use of a covered countermeasure.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Government regulation</w:t>
      </w:r>
    </w:p>
    <w:p>
      <w:pPr>
        <w:spacing w:after="0" w:line="144"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for the preclinical and clinical development, manufacture, distribution and marketing of pharmaceutical and biological products, including immunobiotics. These agencies and other federal, state and local entities regulate research and development activities and the testing, manufacture, quality control, safety, effectiveness, labeling, storage, distribution, recordkeeping, approval, advertising, sale, promotion, import, and export of our products and product candidates.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9" w:right="10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color w:val="auto"/>
        </w:rPr>
        <w:t>U.S. government regulation</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the United States, BioThrax and our product candidates are regulated by the FDA as biological products. Biologics are subject to regulation under the Federal Food, Drug, and Cosmetic Act, or the FDCA, the Public Health Service Act, or the PHSA, the regulations promulgated under the FDCA and the PHSA and other federal, state, and local statutes and regulations. Violations of regulatory requirements at any stage may result in various adverse consequences, including delay in approving or refusal to approve a product. Violations of regulatory requirements also may result in enforcement actions, including withdrawal of approval, labeling restrictions, seizure of products, fines, injunctions or civil or criminal penalties.</w:t>
      </w:r>
    </w:p>
    <w:p>
      <w:pPr>
        <w:spacing w:after="0" w:line="104"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The process required by the FDA under these laws before our product candidates may be marketed in the United States generally involves the following:</w:t>
      </w:r>
    </w:p>
    <w:p>
      <w:pPr>
        <w:spacing w:after="0" w:line="90" w:lineRule="exact"/>
        <w:rPr>
          <w:sz w:val="20"/>
          <w:szCs w:val="20"/>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preclinical laboratory and animal tests;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clinical trials may begin;</w:t>
      </w:r>
    </w:p>
    <w:p>
      <w:pPr>
        <w:spacing w:after="0" w:line="105" w:lineRule="exact"/>
        <w:rPr>
          <w:rFonts w:ascii="Arial" w:cs="Arial" w:eastAsia="Arial" w:hAnsi="Arial"/>
          <w:sz w:val="17"/>
          <w:szCs w:val="17"/>
          <w:color w:val="auto"/>
        </w:rPr>
      </w:pPr>
    </w:p>
    <w:p>
      <w:pPr>
        <w:ind w:left="220" w:right="440" w:hanging="210"/>
        <w:spacing w:after="0" w:line="258" w:lineRule="auto"/>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completion of human clinical trials and other studies to establish the safety and efficacy of the proposed product for each intended use;</w:t>
      </w:r>
    </w:p>
    <w:p>
      <w:pPr>
        <w:spacing w:after="0" w:line="77" w:lineRule="exact"/>
        <w:rPr>
          <w:rFonts w:ascii="Arial" w:cs="Arial" w:eastAsia="Arial" w:hAnsi="Arial"/>
          <w:sz w:val="17"/>
          <w:szCs w:val="17"/>
          <w:color w:val="auto"/>
        </w:rPr>
      </w:pPr>
    </w:p>
    <w:p>
      <w:pPr>
        <w:ind w:left="220" w:right="460" w:hanging="210"/>
        <w:spacing w:after="0" w:line="258" w:lineRule="auto"/>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FDA review of whether the facility in which the product is manufactured, processed, packed or held complies with cGMP requirements designed to assure the product’s continued quality; and</w:t>
      </w:r>
    </w:p>
    <w:p>
      <w:pPr>
        <w:spacing w:after="0" w:line="77" w:lineRule="exact"/>
        <w:rPr>
          <w:rFonts w:ascii="Arial" w:cs="Arial" w:eastAsia="Arial" w:hAnsi="Arial"/>
          <w:sz w:val="17"/>
          <w:szCs w:val="17"/>
          <w:color w:val="auto"/>
        </w:rPr>
      </w:pPr>
    </w:p>
    <w:p>
      <w:pPr>
        <w:ind w:left="220" w:right="60" w:hanging="210"/>
        <w:spacing w:after="0" w:line="250" w:lineRule="auto"/>
        <w:tabs>
          <w:tab w:leader="none" w:pos="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submission to the FDA and approval of an NDA in the case of a drug, or a BLA in the case of a biologic, containing preclinical and clinical data, proposed labeling and information to demonstrate that the product will be manufactured to appropriate standards of identity, purity and quality.</w:t>
      </w:r>
    </w:p>
    <w:p>
      <w:pPr>
        <w:spacing w:after="0" w:line="96"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The research, development and approval process requires substantial time, effort and financial resources, and approvals may not be granted on a timely or commercially viable basis, if at all.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139"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Preclinical studies include laboratory evaluation of the product candidate, its chemistry, formulation and stability, as well as animal studies to assess its potential safety and efficacy. We submit the results of the preclinical studies, together with manufacturing information, analytical data and any available clinical data or literature to the FDA as part of an IND, which must become effective before we may begin human clinical trials. The IND submission also contains clinical trial protocols, which describe the design of the proposed clinical trials. The IND becomes effective 30 days after the FDA receives the filing, unless the FDA, within the 30-day time period, raises concerns or questions about the conduct of the preclinical trials or the design of the proposed clinical trials as outlined in the IND. In such a case, the IND sponsor and the FDA must resolve any outstanding concerns before clinical trials can begin. In addition, an independent Institutional Review Board charged with protecting the welfare of human subjects involved in research at each medical center proposing to conduct the clinical trials must review and approve any clinical trial. Furthermore, study subjects must provide informed consent for their participation in the clinical trial.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i w:val="1"/>
          <w:iCs w:val="1"/>
          <w:color w:val="auto"/>
        </w:rPr>
        <w:t>Clinical trials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Human clinical trials are typically conducted in three sequential phases, which may overlap:</w:t>
      </w:r>
    </w:p>
    <w:p>
      <w:pPr>
        <w:spacing w:after="0" w:line="119" w:lineRule="exact"/>
        <w:rPr>
          <w:sz w:val="20"/>
          <w:szCs w:val="20"/>
          <w:color w:val="auto"/>
        </w:rPr>
      </w:pPr>
    </w:p>
    <w:p>
      <w:pPr>
        <w:ind w:left="220" w:right="240" w:hanging="210"/>
        <w:spacing w:after="0" w:line="258" w:lineRule="auto"/>
        <w:tabs>
          <w:tab w:leader="none" w:pos="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a Phase I clinical trial, the drug or biologic is initially administered into healthy human subjects or subjects with the target condition and tested for safety, dosage tolerance, absorption, metabolism, distribution and excretion.</w:t>
      </w:r>
    </w:p>
    <w:p>
      <w:pPr>
        <w:spacing w:after="0" w:line="77" w:lineRule="exact"/>
        <w:rPr>
          <w:rFonts w:ascii="Arial" w:cs="Arial" w:eastAsia="Arial" w:hAnsi="Arial"/>
          <w:sz w:val="17"/>
          <w:szCs w:val="17"/>
          <w:color w:val="auto"/>
        </w:rPr>
      </w:pPr>
    </w:p>
    <w:p>
      <w:pPr>
        <w:ind w:left="220" w:right="180" w:hanging="210"/>
        <w:spacing w:after="0" w:line="258" w:lineRule="auto"/>
        <w:tabs>
          <w:tab w:leader="none" w:pos="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a Phase II clinical trial, the drug or biologic is administered to a limited subject population to identify possible adverse effects and safety risks, the efficacy of the product for specific targeted diseases and dosage tolerance and optimal dosage.</w:t>
      </w:r>
    </w:p>
    <w:p>
      <w:pPr>
        <w:spacing w:after="0" w:line="77" w:lineRule="exact"/>
        <w:rPr>
          <w:rFonts w:ascii="Arial" w:cs="Arial" w:eastAsia="Arial" w:hAnsi="Arial"/>
          <w:sz w:val="17"/>
          <w:szCs w:val="17"/>
          <w:color w:val="auto"/>
        </w:rPr>
      </w:pPr>
    </w:p>
    <w:p>
      <w:pPr>
        <w:ind w:left="220" w:right="120" w:hanging="210"/>
        <w:spacing w:after="0" w:line="247" w:lineRule="auto"/>
        <w:tabs>
          <w:tab w:leader="none" w:pos="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Phase III clinical trial is undertaken if a Phase II clinical trial demonstrates that a dosage range of the drug or biologic is effective and has an acceptable safety profile. In a Phase III clinical trial, the drug or biologic is administered to an expanded population, often at geographically dispersed clinical trial sites, to further evaluate dosage and clinical efficacy and to further test for safety.</w:t>
      </w:r>
    </w:p>
    <w:p>
      <w:pPr>
        <w:spacing w:after="0" w:line="9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U.S. law requires that trials to support approval for product marketing be “adequate and well controlled.” In general, this means that pivotal clinical trials typically must be prospective, randomized, blinded and controlled. The design of the clinical trials must be described in appropriate protocols submitted to the FDA and approved by an Institutional Review Board. Clinical trials typically compare the experimental product to either a placebo or, in some cases, a product already approved for the treatment of the applicable disease or condition. Trials must also be conducted in compliance with good clinical practice, or GCP, requirements.</w:t>
      </w:r>
    </w:p>
    <w:p>
      <w:pPr>
        <w:spacing w:after="0" w:line="30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the case of product candidates that are intended to treat rare life-threatening diseases, such as infection caused by exposure to the anthrax toxin, conducting controlled clinical trials to determine efficacy may be unethical or infeasible. Under regulations issued by the FDA in 2002, often referred to as “the animal rule,” the FDA described the circumstances under which it will rely on evidence from studies in animals to provide substantial evidence of efficacy for products for which human efficacy studies are not ethical or feasible. The animal rule provides that, under these circumstances, approval of the product can be based on clinical data from trials in healthy subjects that demonstrate adequate safety and immunogenicity and efficacy data from adequate and well controlled animal studies. Among other requirements, the animal studies must establish that the biological product is reasonably likely to produce clinical benefits in humans. Because the FDA must agree that data derived from animal studies may be extrapolated to establish safety and effectiveness in humans, these studies add complexity and uncertainty to the testing and approval process. In addition,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1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may not successfully complete Phase I, Phase II or Phase III testing of our product candidates within any specific time period, if at all. Furthermore, the FDA or the Institutional Review Boards or the sponsor may prevent clinical trials from beginning or may place clinical trials on hold or terminate them at any point in this process if, among other reasons, they conclude that study subjects are being exposed to an unacceptable health risk.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approval</w:t>
      </w:r>
    </w:p>
    <w:p>
      <w:pPr>
        <w:spacing w:after="0" w:line="139"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In the United States, the results of product development, preclinical studies and clinical trials must be submitted to the FDA for review and approval prior to marketing and commercial shipment of the product candidate. If the product is regulated as a drug, an NDA must be submitted and approved before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4" w:right="1059" w:bottom="1440" w:gutter="0" w:footer="0" w:header="0"/>
        </w:sectPr>
      </w:pPr>
    </w:p>
    <w:bookmarkStart w:id="123" w:name="page124"/>
    <w:bookmarkEnd w:id="123"/>
    <w:p>
      <w:pPr>
        <w:ind w:right="80"/>
        <w:spacing w:after="0" w:line="245" w:lineRule="auto"/>
        <w:rPr>
          <w:sz w:val="20"/>
          <w:szCs w:val="20"/>
          <w:color w:val="auto"/>
        </w:rPr>
      </w:pPr>
      <w:r>
        <w:rPr>
          <w:rFonts w:ascii="Arial" w:cs="Arial" w:eastAsia="Arial" w:hAnsi="Arial"/>
          <w:sz w:val="17"/>
          <w:szCs w:val="17"/>
          <w:color w:val="auto"/>
        </w:rPr>
        <w:t>commercial marketing may begin. If the product is regulated as a biologic, a BLA must be submitted and approved before commercial marketing may begin. The NDA or BLA must include a substantial amount of data and other information concerning the safety and effectiveness and, in the case of a biologic, purity and potency of the product candidate from laboratory, animal and clinical testing, as well as data and information on the finished product, including manufacturing, product stability and proposed product labeling.</w:t>
      </w:r>
    </w:p>
    <w:p>
      <w:pPr>
        <w:spacing w:after="0" w:line="102"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Each domestic and foreign manufacturing establishment, including any contract manufacturers we may decide to use, must be listed in the NDA or BLA and must be registered with the FDA. The FDA generally will not approve an application until the FDA conducts a manufacturing inspection, approves the applicable manufacturing process for the drug or biological product and determines that the facility is in compliance with cGMP requirements. If the manufacturing facilities and processes fail to pass the FDA inspection, we will not receive approval to market these products.</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Under applicable laws and FDA regulations, each NDA or BLA submitted for FDA approval is usually reviewed for administrative completeness and reviewability within 45 to 60 days following submission of the application. If deemed complete, the FDA will “file” the NDA or BLA, thereby triggering substantive review of the application. The FDA can refuse to file any NDA or BLA that it deems incomplete or not properly reviewable.</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FDA may deny an NDA or BLA if the applicable regulatory criteria are not satisfied or may require additional clinical data. Even if additional clinical data is submitted, the FDA may ultimately decide that the NDA or BLA does not satisfy the criteria for approval. If the FDA approves a product, it may limit the approved therapeutic uses for the product as described in the product labeling, require that contraindications, warning statements or precautions be included in the product labeling, require that additional studies be conducted following approval as a condition of the approval, impose restrictions and conditions on product distribution, prescribing or dispensing in the form of a risk management plan or otherwise limit the scope of any approval or post-approval, or limit labeling. Once issued, the FDA may withdraw product approval if compliance with regulatory standards is not maintained or if problems occur after the product reaches the market. In addition, the FDA may require testing and surveillance programs to monitor the effect of approved products that have been commercialized. The FDA has the power to prevent or limit further marketing of a product based on the results of these post-marketing programs.</w:t>
      </w:r>
    </w:p>
    <w:p>
      <w:pPr>
        <w:spacing w:after="0" w:line="103"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Satisfaction of FDA requirements or similar requirements of state, local and foreign regulatory agencies often takes many years and the actual time required may vary substantially, based upon the type, complexity and novelty of the product candidate. Government regulation may delay or prevent marketing of potential products for a considerable period of time or permanently and impose costly procedures upon our activities. The FDA or other regulatory agencies may not grant approval for any of our product candidates on a timely basis, or on a commercially viable basis, if at all. Success in preclinical testing or early clinical trials does not ensure that later clinical trials will be successful, and interim results of a clinical trial do not necessarily predict final results. Data obtained from preclinical and clinical activities is not always conclusive and may be susceptible to varying interpretations, which could delay, limit or prevent regulatory approval. Even if a product candidate receives regulatory approval, the approval may be significantly limited to specific indications. Furthermore, later discovery of previously unknown problems with a product may result in restrictions on the product or even complete withdrawal of the product from the market.</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i w:val="1"/>
          <w:iCs w:val="1"/>
          <w:color w:val="auto"/>
        </w:rPr>
        <w:t>Ongoing regulation</w:t>
      </w:r>
    </w:p>
    <w:p>
      <w:pPr>
        <w:spacing w:after="0" w:line="139" w:lineRule="exact"/>
        <w:rPr>
          <w:sz w:val="20"/>
          <w:szCs w:val="20"/>
          <w:color w:val="auto"/>
        </w:rPr>
      </w:pPr>
    </w:p>
    <w:p>
      <w:pPr>
        <w:ind w:right="800"/>
        <w:spacing w:after="0" w:line="258" w:lineRule="auto"/>
        <w:rPr>
          <w:sz w:val="20"/>
          <w:szCs w:val="20"/>
          <w:color w:val="auto"/>
        </w:rPr>
      </w:pPr>
      <w:r>
        <w:rPr>
          <w:rFonts w:ascii="Arial" w:cs="Arial" w:eastAsia="Arial" w:hAnsi="Arial"/>
          <w:sz w:val="17"/>
          <w:szCs w:val="17"/>
          <w:color w:val="auto"/>
        </w:rPr>
        <w:t>Any products manufactured or distributed by us pursuant to FDA clearances or approvals are subject to pervasive and continuing regulation by the FDA, including:</w:t>
      </w:r>
    </w:p>
    <w:p>
      <w:pPr>
        <w:spacing w:after="0" w:line="90" w:lineRule="exact"/>
        <w:rPr>
          <w:sz w:val="20"/>
          <w:szCs w:val="20"/>
          <w:color w:val="auto"/>
        </w:rPr>
      </w:pPr>
    </w:p>
    <w:p>
      <w:pPr>
        <w:ind w:left="220" w:hanging="210"/>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recordkeeping requirements;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periodic reporting requirements;</w:t>
      </w:r>
    </w:p>
    <w:p>
      <w:pPr>
        <w:spacing w:after="0" w:line="105" w:lineRule="exact"/>
        <w:rPr>
          <w:rFonts w:ascii="Arial" w:cs="Arial" w:eastAsia="Arial" w:hAnsi="Arial"/>
          <w:sz w:val="17"/>
          <w:szCs w:val="17"/>
          <w:color w:val="auto"/>
        </w:rPr>
      </w:pPr>
    </w:p>
    <w:p>
      <w:pPr>
        <w:ind w:left="220" w:right="280" w:hanging="210"/>
        <w:spacing w:after="0" w:line="258" w:lineRule="auto"/>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cGMP requirements related to all stages of manufacturing, testing, storage, packaging, labeling and distribution of finished dosage forms of the product;</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reporting of adverse experiences with the drug or biologic;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advertising and promotion restrictions.</w:t>
      </w:r>
    </w:p>
    <w:p>
      <w:pPr>
        <w:spacing w:after="0" w:line="119"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The FDA’s rules for advertising and promotion require in particular that we not promote our products for unapproved uses and that our promotion be fairly balanced and adequately substantiated. We must also submit appropriate new and supplemental applications and obtain FDA approval for some changes to the approved product, product labeling or manufacturing process.</w:t>
      </w:r>
    </w:p>
    <w:p>
      <w:pPr>
        <w:spacing w:after="0" w:line="9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Drug and biologics manufacturers and their subcontractors are required to register their establishments with the FDA and state agencies. The cGMP requirements for biological products are extensive and require considerable time, resources, and ongoing investment to comply. The regulations require manufacturers to establish validated systems to ensure that products meet high standards of sterility, purity and potency. The requirements apply to all stages of the manufacturing process, including the synthesis, processing, sterilization, packaging, labeling, storage and shipment of the biological product. The regulations require investigation and correction of any deviations from cGMP and impose documentation requirements upon us and any third party manufacturers that we may decide to use. Manufacturing establishments are subject to periodic unannounced inspections by the FDA and state agencies for compliance with cGMP. The FDA is authorized to inspect manufacturing facilities without a warrant at reasonable times and in a reasonable manner. We or our present or future suppliers may not be able to comply with cGMP and other FDA regulatory requirements.</w:t>
      </w:r>
    </w:p>
    <w:p>
      <w:pPr>
        <w:spacing w:after="0" w:line="103" w:lineRule="exact"/>
        <w:rPr>
          <w:sz w:val="20"/>
          <w:szCs w:val="20"/>
          <w:color w:val="auto"/>
        </w:rPr>
      </w:pPr>
    </w:p>
    <w:p>
      <w:pPr>
        <w:ind w:right="260"/>
        <w:spacing w:after="0" w:line="247" w:lineRule="auto"/>
        <w:rPr>
          <w:sz w:val="20"/>
          <w:szCs w:val="20"/>
          <w:color w:val="auto"/>
        </w:rPr>
      </w:pPr>
      <w:r>
        <w:rPr>
          <w:rFonts w:ascii="Arial" w:cs="Arial" w:eastAsia="Arial" w:hAnsi="Arial"/>
          <w:sz w:val="17"/>
          <w:szCs w:val="17"/>
          <w:color w:val="auto"/>
        </w:rPr>
        <w:t>In addition, cGMP requirements are constantly evolving, and new or different requirements may apply in the future. We, our collaborators or third party contract manufacturers may not be able to comply with the applicable regulations. After regulatory approvals are obtained, the subsequent discovery of previously unknown problems, or the failure to maintain compliance with existing or new regulatory requirements, may result in:</w:t>
      </w:r>
    </w:p>
    <w:p>
      <w:pPr>
        <w:spacing w:after="0" w:line="99" w:lineRule="exact"/>
        <w:rPr>
          <w:sz w:val="20"/>
          <w:szCs w:val="20"/>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warning letters;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withdrawal of the product from the market;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refusal to approve pending applications or supplements to approved applications;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voluntary or mandatory product recall;</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fines or disgorgement of profits or revenue;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suspension or withdrawal of regulatory approvals;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refusal to permit the import or export of products;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4" w:right="1059" w:bottom="1440" w:gutter="0" w:footer="0" w:header="0"/>
        </w:sectPr>
      </w:pPr>
    </w:p>
    <w:bookmarkStart w:id="125" w:name="page126"/>
    <w:bookmarkEnd w:id="125"/>
    <w:p>
      <w:pPr>
        <w:ind w:left="220" w:hanging="210"/>
        <w:spacing w:after="0"/>
        <w:tabs>
          <w:tab w:leader="none" w:pos="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product seizure;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1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or delay regulatory approval of our product candidates. Moreover, increased attention to the containment of health care costs in the United States and in foreign markets could result in new government regulations. We cannot predict the likelihood, nature or extent of adverse governmental regulation that might arise from future legislative or administrative action in the United States or abroad. We and our product candidates are also subject to a variety of state laws and regulations in those states or localities where they are or will be marketed. Any applicable state or local regulations may hinder our ability to market our product candidates in those states or localities.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BioThrax lot release and FDA review</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Because of the complex manufacturing processes for most biological products, the FDA requires that each product lot of an approved biologic, including vaccines, undergo thorough testing for purity, potency, identity and sterility. Before a lot of BioThrax can be used, we must submit a sample of the vaccine lot and a lot release protocol to the FDA. The lot release protocol documents reflect the results of our tests for potency, safety, sterility and any additional assays mandated by our BLA for BioThrax and a summary of relevant manufacturing details. The FDA reviews the manufacturing and testing information provided in the lot release protocol and may elect to perform confirmatory testing on lot samples that we submit. We cannot distribute a lot of BioThrax until the FDA releases it. The length of the FDA review process depends on a number of factors, including reviewer questions, license supplement approval, reviewer availability, and whether our internal testing of product samples is completed before or concurrently with FDA testing.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Biologics review for BioThrax</w:t>
      </w:r>
    </w:p>
    <w:p>
      <w:pPr>
        <w:spacing w:after="0" w:line="14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NIH originally approved the manufacture and sale of BioThrax in 1970 pursuant to the regulatory process in effect at the time. In 1972, responsibility for approving biological products was transferred from the NIH to the FDA. Following that transfer of responsibility, the FDA established procedures for reviewing the safety, efficacy and labeling of biological products, including BioThrax, that had been approved by the NIH prior to July 1, 1972. Under the biologics review process, the FDA appointed advisory panels of independent experts to evaluate previously approved biologic products and to advise the FDA as to whether the products were safe, effective and not misbranded. After reviewing a particular panel’s recommendation, the FDA publishes the panel’s report, along with a proposed order recommending classification of the biological product into one of three categories: Category I, safe, effective and not misbranded; Category II, unsafe, ineffective or misbranded; or Category III, not within Category I or Category II because further studies are required. After a ninety-day comment period, the FDA reviews any comments and then publishes a final rule or order classifying the product at issue as Category I, II or III. Only after publishing a final order does the FDA then take action with respect to individual products. For example, if the biologics review determines that a specific product is not safe and effective, the FDA would initiate the process of revoking the approval for the product. Likewise, if further study is required before the status of a product can be determined, the sponsor would be required to come forward with additional data within prescribed time periods. The FDA completed the biologics review for BioThrax in 2005, classifying the product as Category I, safe, effective and not misbranded.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Regulation of immune globulin products</w:t>
      </w:r>
    </w:p>
    <w:p>
      <w:pPr>
        <w:spacing w:after="0" w:line="14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Products derived from humans, including our immune globulin candidates, are subject to additional regulation. The FDA regulates the screening and vaccination of human donors and the process of collecting source plasma. FDA regulations require that all donors be tested for suitability and provide informed consent prior to vaccination or collection of source plasma for the immune globulin. The vaccination and collection of source plasma may also be subject to Institutional Review Board approval or to an IND, depending on factors such as whether donors are to be vaccinated according to the vaccine’s approved schedule. The FDA also regulates the process of testing, storage and processing of source plasma, which is used to manufacture immune globulin candidates for use in clinical trials and, after approval by the FDA, for commercial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related to bioterrorism counteragents and pandemic preparedness</w:t>
      </w:r>
    </w:p>
    <w:p>
      <w:pPr>
        <w:spacing w:after="0" w:line="141"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Because some of our products or product candidates are intended for the treatment of diseases that may result from acts of bioterrorism or for pandemic preparedness, they may be subject to the specific requirements described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Project BioShield</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Project BioShield Act of 2004 provides expedited procedures for bioterrorism related procurement and awarding of research grants, making it easier for HHS to quickly commit funds to countermeasure projects. Project BioShield relaxes procedures under the Federal Acquisition Regulation for procuring up to $25 million of property or services used in performing, administering or supporting biomedical countermeasure research and development. In addition, if the Secretary of HHS deems that there is a pressing need, Project BioShield authorizes the Secretary to use an expedited award process, rather than the normal peer review process, for grants, contracts and cooperative agreements related to biomedical countermeasure research and development activity. This power is limited to awards of $1.5 million or less.</w:t>
      </w:r>
    </w:p>
    <w:p>
      <w:pPr>
        <w:spacing w:after="0" w:line="102"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Under Project BioShield, the Secretary of HHS, with the concurrence of the Secretary of the Department of Homeland Security and upon the approval of the President, can contract to purchase unapproved countermeasures for the strategic national stockpile in specified circumstances. Congress is notified of a recommendation for a stockpile purchase after Presidential approval. Project BioShield specifies that a company supplying the countermeasure to the strategic national stockpile is paid on delivery of a substantial portion of the countermeasure. To be eligible for purchase under these provisions, the Secretary of HHS must determine that there is sufficient and satisfactory clinical results or research data, including data, if available, from preclinical and clinical trials, to support a reasonable conclusion that the countermeasure will qualify for approval or licensing within eight years. Project BioShield also allows the Secretary of HHS to authorize the emergency use of medical products that have not yet been approved by the FDA. To exercise this authority, the Secretary of HHS must conclude that:</w:t>
      </w:r>
    </w:p>
    <w:p>
      <w:pPr>
        <w:spacing w:after="0" w:line="104" w:lineRule="exact"/>
        <w:rPr>
          <w:sz w:val="20"/>
          <w:szCs w:val="20"/>
          <w:color w:val="auto"/>
        </w:rPr>
      </w:pPr>
    </w:p>
    <w:p>
      <w:pPr>
        <w:ind w:left="220" w:hanging="210"/>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agent for which the countermeasure is designed can cause serious or life-threatening disease;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product may reasonably be believed to be effective in detecting, diagnosing, treating or preventing the disease;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known and potential benefits of the product outweigh its known and potential risks;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there is no adequate alternative to the product that is approved and available;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other criteria prescribed in regulations are met.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2" w:right="1059" w:bottom="1440" w:gutter="0" w:footer="0" w:header="0"/>
        </w:sectPr>
      </w:pPr>
    </w:p>
    <w:bookmarkStart w:id="127" w:name="page128"/>
    <w:bookmarkEnd w:id="127"/>
    <w:p>
      <w:pPr>
        <w:ind w:right="240"/>
        <w:spacing w:after="0" w:line="258" w:lineRule="auto"/>
        <w:rPr>
          <w:sz w:val="20"/>
          <w:szCs w:val="20"/>
          <w:color w:val="auto"/>
        </w:rPr>
      </w:pPr>
      <w:r>
        <w:rPr>
          <w:rFonts w:ascii="Arial" w:cs="Arial" w:eastAsia="Arial" w:hAnsi="Arial"/>
          <w:sz w:val="17"/>
          <w:szCs w:val="17"/>
          <w:color w:val="auto"/>
        </w:rPr>
        <w:t>Although this provision permits the Secretary of HHS to circumvent the FDA approval process, its use would be limited to rare circumstances. We cannot predict whether these authorities would be applicable to any of our current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Safety Act</w:t>
      </w:r>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Safety Act enacted by the U.S. Congress in 2002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sales of BioThrax are subject to the protections of the Safety Act, our product candidates may not qualify for the protections of the Safety Act or the government contractor defense.</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Readiness and Emergency Preparedness Act</w:t>
      </w:r>
    </w:p>
    <w:p>
      <w:pPr>
        <w:spacing w:after="0" w:line="139"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Public Readiness and Emergency Preparedness Act enacted by the U.S. Congress in 2005 provides immunity for manufacturers from all claims under state or federal law for “loss” arising out of the administration or use of a “covered countermeasure.” “Covered countermeasures” include security countermeasures and “qualified pandemic or epidemic products,” including products intended to diagnose or treat pandemic or epidemic disease, such as pandemic vaccines, as well as treatments intended to address conditions caused by such products. For these immunities to apply, the Secretary of HHS must issue a declaration in cases of public health emergency or “credible risk” of a future public health emergency. In the declaration, the Secretary may recommend the manufacture, administration or use of one or more countermeasures. Once the Secretary issues a declaration invoking the immunity provisions of the Act for the specified countermeasures, immunity applies with regard to administration or use of those countermeasures during the effective period of the declaration and for the diseases specified in the declaration. However, injured persons may still bring a suit for “willful misconduct” against the manufacturer under some circumstances. A declaration also triggers the establishment of a compensation program. If Congress funds the compensation program, persons injured by a qualified countermeasure must first seek compensation under the program before they may bring a suit alleging willful misconduct. We cannot predict whether our products or product candidates would fall within the provisions of this law, whether Congress would fund the relevant compensation program or if the necessary prerequisites for immunity would be triggered.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regulation</w:t>
      </w:r>
    </w:p>
    <w:p>
      <w:pPr>
        <w:spacing w:after="0" w:line="14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actual time required to obtain clearance to market a product in a particular foreign jurisdiction may vary substantially, based upon the type, complexity and novelty of the pharmaceutical product candidate and the specific requirements of that jurisdiction. The requirements governing the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color w:val="auto"/>
        </w:rPr>
        <w:t>conduct of clinical trials, marketing authorization, pricing and reimbursement vary from country to country.</w:t>
      </w:r>
    </w:p>
    <w:p>
      <w:pPr>
        <w:spacing w:after="0" w:line="11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In the European Union, our products are subject to extensive regulatory requirements. As in the United States, the marketing of medicinal products has for many years been subject to the granting of marketing authorizations by regulatory agencies. European Union member states require both regulatory clearance and a favorable ethics committee opinion prior to the commencement of a clinical trial, whatever its phase. Under European Union regulatory systems, we may submit marketing authorization applications either under a centralized or decentralized procedure.</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centralized procedure provides for the grant of a single marketing authorization that is valid for all European Union member states. The centralized procedure is currently mandatory for products developed by means of a biotechnological process, including recombinant DNA technology, the controlled expression of genes coding for biologically active proteins and monoclonal antibody methods, and new chemical entities for the treatment of acquired immune deficiency syndrome, cancer and neurodegenerative disorder or diabetes. Beginning in May 2008, the centralized procedure will be mandatory for products for the treatment of auto-immune diseases and other immune dysfunctions and viral diseases. The centralized process is optional for medicines that constitute a “significant therapeutic, scientific or technical innovation” or for which a centralized process is in the interest of patients.</w:t>
      </w:r>
    </w:p>
    <w:p>
      <w:pPr>
        <w:spacing w:after="0" w:line="304"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decentralized procedure provides for mutual recognition of national approval decisions. Under this procedure, the holder of a national marketing authorization may submit an application to the remaining member states. Within 90 days of receiving the applications and an assessment report, each member state must decide whether to recognize approval. If a member state does not recognize the marketing authorization, the disputed points are eventually referred to the European Commission, whose decision is binding on all member states.</w:t>
      </w:r>
    </w:p>
    <w:p>
      <w:pPr>
        <w:spacing w:after="0" w:line="102"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Unlike the United States, the European Union member states do not have separate rules or review procedures for biologics and vaccines. Regulators apply broadly consistent principles and standards when reviewing applications, although they accept that the nature of the efficacy data supporting a vaccine application is likely to differ from the data that would support applications for the majority of therapeutic products. However, there are special procedures for some types of vaccine products. For example, influenza vaccines are subject to accelerated review and approval each year, following the release by the World Health Organization of the annual influenza strains. European Union member states have the discretion to require that marketing authorization holders submit samples of live vaccines or other immunological products for examination and formal batch release by a government control laboratory prior to release onto the market.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Orphan drugs</w:t>
      </w:r>
    </w:p>
    <w:p>
      <w:pPr>
        <w:spacing w:after="0" w:line="141"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Under the Orphan Drug Act, special incentives exist for sponsors to develop products for rare diseases or conditions, which are defined to include those diseases or conditions that affect fewer than 200,000 people in the United States. A vaccine also can receive these incentives if it is expected to be administered to fewer than 200,000 persons per year. Sponsors may request that the FDA grant a drug orphan designation prior to approval. Biologics may qualify for designation as an orphan drug.</w:t>
      </w:r>
    </w:p>
    <w:p>
      <w:pPr>
        <w:spacing w:after="0" w:line="9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Products designated as orphan drugs are eligible for special grant funding for research and development, FDA assistance with the review of clinical trial protocols, potential tax credits for research, reduced filing fees for marketing applications and a special seven-year period of market exclusivity after marketing approval. Orphan drug exclusivity prevents FDA approval of applications by others for the same drug or biologic intended for use for the designated orphan disease or condition. The FDA may approve a</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29" w:name="page130"/>
    <w:bookmarkEnd w:id="129"/>
    <w:p>
      <w:pPr>
        <w:ind w:right="40"/>
        <w:spacing w:after="0" w:line="244" w:lineRule="auto"/>
        <w:rPr>
          <w:sz w:val="20"/>
          <w:szCs w:val="20"/>
          <w:color w:val="auto"/>
        </w:rPr>
      </w:pPr>
      <w:r>
        <w:rPr>
          <w:rFonts w:ascii="Arial" w:cs="Arial" w:eastAsia="Arial" w:hAnsi="Arial"/>
          <w:sz w:val="17"/>
          <w:szCs w:val="17"/>
          <w:color w:val="auto"/>
        </w:rPr>
        <w:t>subsequent application from another person if the FDA determines that the application is for a different product or different use, or if the FDA determines that the subsequent product is clinically superior or that the holder of the initial orphan drug approval cannot assure the availability of sufficient quantities of the drug or biologic to meet the public’s need. The FDA also may approve another application for the same drug or biologic that has orphan exclusivity but for a different use, in which case the competing drug or biologic could be prescribed by physicians outside its FDA approval for the orphan use notwithstanding the existence of orphan exclusivity. A grant of an orphan designation is not a guarantee that a product will be approved.</w:t>
      </w:r>
    </w:p>
    <w:p>
      <w:pPr>
        <w:spacing w:after="0" w:line="104"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European Union operates an equivalent system to encourage the development and marketing of medicinal products for rare diseases. Applications for orphan designations are submitted to the European Medicines Agency and reviewed by a Committee on Orphan Medicinal Products, comprising representatives of the member states, patient groups and other persons. The final decision is made by the European Commission.</w:t>
      </w:r>
    </w:p>
    <w:p>
      <w:pPr>
        <w:spacing w:after="0" w:line="9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 product can be designated as an orphan drug if it is intended for either a life-threatening or chronically debilitating condition affecting not more than 5 in 10,000 persons in the European Community when the application is made or a life-threatening, seriously debilitating or serious and chronic condition in the European Community for which, without incentives, it is unlikely that the marketing of the product in the Community would generate sufficient return to justify the necessary investment. In either case, the applicant must also demonstrate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After a marketing authorization has been granted in the European Community for an orphan product, no similar product may be approved for a period of ten years. At the end of the fifth year, however, any member state can initiate proceedings to restrict that period to six years if it believes the criteria for orphan designation no longer apply, for example, because the prevalence of disease has increased or the manufacturer is earning an unreasonable profit. In addition, competitive products can be approved during the marketing exclusivity period if they are not similar to the original product or are safer, more effective or otherwise clinically superior to it.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None of our products or product candidates have been designated as orphan drugs.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 and pricing controls</w:t>
      </w:r>
    </w:p>
    <w:p>
      <w:pPr>
        <w:spacing w:after="0" w:line="14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many of the markets where we or our potential collaborators would commercialize a product following regulatory approval, the prices of pharmaceutical products are subject to direct price controls by law and to reimbursement programs with varying price control mechanisms.</w:t>
      </w:r>
    </w:p>
    <w:p>
      <w:pPr>
        <w:spacing w:after="0" w:line="96"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the United States, there has been an increased focus on drug and biologic pricing in recent years. Although there are currently no direct government price controls over private sector purchases in the United States, federal legislation requires pharmaceutical manufacturers to pay prescribed rebates on specified drugs and biologics to enable them to be eligible for reimbursement under public health care programs such as Medicaid. Vaccines are generally exempt from these programs. Various states have adopted further mechanisms that seek to control drug and biologic prices, including by disfavoring higher priced products and by seeking supplemental rebates from manufacturers. Managed care has also become a potent force in the market place that increases downward pressure on the prices of pharmaceutical products. Federal legislation, enacted in December 2003, has altered the way in which physician-administered drugs and biologics covered by Medicare are reimbursed. Under the new</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30" w:name="page131"/>
    <w:bookmarkEnd w:id="130"/>
    <w:p>
      <w:pPr>
        <w:ind w:right="160"/>
        <w:spacing w:after="0" w:line="247" w:lineRule="auto"/>
        <w:rPr>
          <w:sz w:val="20"/>
          <w:szCs w:val="20"/>
          <w:color w:val="auto"/>
        </w:rPr>
      </w:pPr>
      <w:r>
        <w:rPr>
          <w:rFonts w:ascii="Arial" w:cs="Arial" w:eastAsia="Arial" w:hAnsi="Arial"/>
          <w:sz w:val="17"/>
          <w:szCs w:val="17"/>
          <w:color w:val="auto"/>
        </w:rPr>
        <w:t>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in January 2006. These benefits will be provided primarily through private entities, which we expect will attempt to negotiate price concessions from pharmaceutical manufacturers.</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Public and private health care payors control costs and influence drug and biologic pricing through a variety of mechanisms, including through negotiating discounts with the manufacturers and through the use of tiered formularies and other mechanisms that provide preferential access to particular products over others within a therapeutic class. Payors also set other criteria to govern the uses of a drug or biologic that will be deemed medically appropriate and therefore reimbursed or otherwise covered. In particular, many public and private health care payors limit reimbursement and coverage to the uses that are either approved by the FDA or that are supported by other appropriate evidence, such as published medical literature, and appear in a recognized compendium. Drug compendia are publications that summarize the available medical evidence for particular drug products and identify which uses are supported or not supported by the available evidence, whether or not such uses have been approved by the FDA.</w:t>
      </w:r>
    </w:p>
    <w:p>
      <w:pPr>
        <w:spacing w:after="0" w:line="104"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The CDC currently distributes pediatric grant funding on a discretionary basis under the Public Health Service Act. Federal and state governments purchase the majority of all pediatric vaccines produced in the United States, primarily through the Vaccine for Children Program implemented by the U.S. Congress in 1994. The Vaccine for Children Program is designed to help pay for vaccinations to disadvantaged children, including uninsured children, children on Medicaid and underinsured children who receive vaccinations at federally qualified health centers.</w:t>
      </w:r>
    </w:p>
    <w:p>
      <w:pPr>
        <w:spacing w:after="0" w:line="3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Different pricing and reimbursement schemes exist in other countries. 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Regulations regarding government contracting</w:t>
      </w:r>
    </w:p>
    <w:p>
      <w:pPr>
        <w:spacing w:after="0" w:line="141"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Our status as a government contractor in the United States and elsewhere means that we are also subject to various statutes and regulations, including the Federal Acquisition Regulation, which govern the procurement of goods and services by agencies of the United States and other countries. These governing statutes and regulations can impose stricter penalties than those normally applicable to commercial contracts, such as criminal and civil damages liability and suspension and debarment from future government contracting. In addition, pursuant to various statutes and regulations, our government contracts can be subject to unilateral termination or modification by the government for convenience in the United States and elsewhere, detailed auditing requirements, statutorily controlled pricing, sourcing and subcontracting restrictions and statutorily mandated processes for adjudicating contract disputes.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Vaccine Injury Compensation Program</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Because the cost of vaccine related litigation had reduced significantly the number of manufacturers willing to sell childhood vaccines, the U.S. Congress enacted the National Childhood Vaccine Injury Act in 1986. The Vaccine Injury Compensation Program established under the Vaccine Injury Act is a no-fault compensation program funded by an excise tax on each dose of a covered vaccine and is designed to streamline the process of seeking compensation for those injured by childhood vaccines. The Vaccine Injury Act requires all individuals injured by a vaccine to go through the compensation program before pursuing other remedies. Although claimants can reject decisions issued under the compensation program and pursue subsequent legal action through the courts, the Vaccine Injury Act determines the circumstances under which a manufacturer may be found liable in a civil action. The Vaccine Injury Act may not protect us if our products or product candidates cause injury.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Hazardous materials and select agents</w:t>
      </w:r>
    </w:p>
    <w:p>
      <w:pPr>
        <w:spacing w:after="0" w:line="14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Our development and manufacturing processes involve the use of hazardous materials, including chemicals, bacteria, viruses and radioactive materials, and produce waste products. Accordingly, we are subject to federal, state and local laws and regulations governing the use, manufacture, storage, handling and disposal of these materials. In addition to complying with environmental and occupational health and safety laws, we must comply with special regulations relating to biosafety administered by the CDC, HHS and the DoD.</w:t>
      </w:r>
    </w:p>
    <w:p>
      <w:pPr>
        <w:spacing w:after="0" w:line="102"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In particular, this legislation and related regulations require that we:</w:t>
      </w:r>
    </w:p>
    <w:p>
      <w:pPr>
        <w:spacing w:after="0" w:line="119" w:lineRule="exact"/>
        <w:rPr>
          <w:sz w:val="20"/>
          <w:szCs w:val="20"/>
          <w:color w:val="auto"/>
        </w:rPr>
      </w:pPr>
    </w:p>
    <w:p>
      <w:pPr>
        <w:ind w:left="220" w:hanging="210"/>
        <w:spacing w:after="0"/>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develop and implement biosafety, security and emergency response plans;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restrict access to select agents and toxins;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provide appropriate training to our employees for safety, security and emergency response;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comply with strict requirements governing transfer of select agents and toxins;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provide timely notice to the government of any theft, loss or release of a select agent or toxin; and</w:t>
      </w:r>
    </w:p>
    <w:p>
      <w:pPr>
        <w:spacing w:after="0" w:line="105" w:lineRule="exact"/>
        <w:rPr>
          <w:rFonts w:ascii="Arial" w:cs="Arial" w:eastAsia="Arial" w:hAnsi="Arial"/>
          <w:sz w:val="17"/>
          <w:szCs w:val="17"/>
          <w:color w:val="auto"/>
        </w:rPr>
      </w:pPr>
    </w:p>
    <w:p>
      <w:pPr>
        <w:ind w:left="220" w:right="140" w:hanging="210"/>
        <w:spacing w:after="0" w:line="258" w:lineRule="auto"/>
        <w:tabs>
          <w:tab w:leader="none" w:pos="2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maintain detailed records of information necessary to give a complete accounting of all activities related to select agents and toxins.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regulations</w:t>
      </w:r>
    </w:p>
    <w:p>
      <w:pPr>
        <w:spacing w:after="0" w:line="14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In the United States and elsewhere, the research, manufacturing, distribution, sale and promotion of drug and biological products are potentially subject to regulation by various federal, state and local authorities in addition to the FDA, including the Centers for Medicare and Medicaid Services, other divisions of HHS, such as the Office of Inspector General, the</w:t>
      </w:r>
    </w:p>
    <w:p>
      <w:pPr>
        <w:ind w:right="180"/>
        <w:spacing w:after="0" w:line="247" w:lineRule="auto"/>
        <w:rPr>
          <w:sz w:val="20"/>
          <w:szCs w:val="20"/>
          <w:color w:val="auto"/>
        </w:rPr>
      </w:pPr>
      <w:r>
        <w:rPr>
          <w:rFonts w:ascii="Arial" w:cs="Arial" w:eastAsia="Arial" w:hAnsi="Arial"/>
          <w:sz w:val="17"/>
          <w:szCs w:val="17"/>
          <w:color w:val="auto"/>
        </w:rPr>
        <w:t>U.S. Department of Justice and individual U.S. Attorney offices within the Department of Justice and state and local governments. For example, sales, marketing and scientific and educational grant programs must comply with the anti-kickback and fraud and abuse provisions of the Social Security Act, the False Claims Act, the privacy provisions of the Health Insurance Portability and Accountability Act and similar state laws. Pricing and rebate programs must comply with</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color w:val="auto"/>
        </w:rPr>
        <w:t>the Medicaid rebate requirements of the Omnibus Budget Reconciliation Act of 1990 and the Veterans Health Care Act of 1992.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All of these activities are also potentially subject to federal and state consumer protection and unfair competition laws.</w:t>
      </w:r>
    </w:p>
    <w:p>
      <w:pPr>
        <w:spacing w:after="0" w:line="11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Outside the United States, advertising and promotion of medicinal products, along with associated commercial practices, are often subject to significant government regulation. We are subject to the Export Administration Regulations implemented by the Bureau of Industry and Security governing the export of BioThrax and technology for the development and use of pathogens and toxins in the development and manufacture of BioThrax and our product candidates. In connection with our international sales activity, we are also subject to export regulations and other sanctions imposed by the Office of Foreign Assets Control of the Department of the Treasury, the antiboycott provisions of the Export Administration Act and the Internal Revenue Code and the Foreign Corrupt Practices Act.</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Litigation</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i w:val="1"/>
          <w:iCs w:val="1"/>
          <w:color w:val="auto"/>
        </w:rPr>
        <w:t xml:space="preserve">BioThrax product liability litigation. </w:t>
      </w:r>
      <w:r>
        <w:rPr>
          <w:rFonts w:ascii="Arial" w:cs="Arial" w:eastAsia="Arial" w:hAnsi="Arial"/>
          <w:sz w:val="17"/>
          <w:szCs w:val="17"/>
          <w:color w:val="auto"/>
        </w:rPr>
        <w:t>We currently are a defendant in three federal lawsuits filed on behalf of three individuals</w:t>
      </w:r>
      <w:r>
        <w:rPr>
          <w:rFonts w:ascii="Arial" w:cs="Arial" w:eastAsia="Arial" w:hAnsi="Arial"/>
          <w:sz w:val="17"/>
          <w:szCs w:val="17"/>
          <w:i w:val="1"/>
          <w:iCs w:val="1"/>
          <w:color w:val="auto"/>
        </w:rPr>
        <w:t xml:space="preserve"> </w:t>
      </w:r>
      <w:r>
        <w:rPr>
          <w:rFonts w:ascii="Arial" w:cs="Arial" w:eastAsia="Arial" w:hAnsi="Arial"/>
          <w:sz w:val="17"/>
          <w:szCs w:val="17"/>
          <w:color w:val="auto"/>
        </w:rPr>
        <w:t>vaccinated with BioThrax by the U.S. Army on October 14, 2005, January 9, 2006 and January 17, 2006 that claim damages resulting from personal injuries allegedly suffered because of the vaccination. The plaintiffs in each of these three lawsuits claim different injuries and seek varying amounts of damages. The first plaintiff alleges that the vaccine caused erosive rheumatoid arthritis and requests damages in excess of $1 million. The second plaintiff alleges that the vaccine caused Bell’s palsy and other related conditions and requests damages in excess of $75,000. The third plaintiff alleges that the vaccine caused a condition that originally was diagnosed as encephalitis related to a gastrointestinal infection and caused him to fall into a coma for many weeks and requests damages in excess of $10 million.</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have moved to dismiss these three lawsuits for lack of personal jurisdiction, or, in the alternative to transfer the lawsuits to federal court in Michigan. These lawsuits are in the preliminary stages of litigation, and we believe that we are entitled to indemnification under our contract with the DoD for legal fees and any damages that may result from these claims. In April 2006, the U.S. District Court for the Western District of Michigan entered summary judgment in our favor in four other lawsuits asserting similar claims brought by approximately 120 individuals. These four lawsuits had previously been consolidated in the Michigan District Court.</w:t>
      </w:r>
    </w:p>
    <w:p>
      <w:pPr>
        <w:spacing w:after="0" w:line="10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District Court’s ruling in the consolidated Michigan cases was based on two grounds. First, the District Court found that we are entitled to protection under a Michigan state statute that provides immunity for drug manufacturers if the drug was approved by the FDA and its labeling is in compliance with FDA approval, unless the plaintiffs establish that the manufacturer intentionally withheld or misrepresented information to the FDA and the drug would not have been approved, or the FDA would have withdrawn approval, if the information had been accurately submitted. Second, the District Court found that we are entitled to the immunity afforded by the government contractor defense, which, under specified circumstances, extends the sovereign immunity of the United States to government contractors who manufacture a product for the government. Specifically, the government contractor defense applies when the government approves reasonably precise specifications, the product conforms to those specifications and the supplier warns the government about known dangers arising from the use of the product. The District Court found that we established each of those factors. We intend to rely on similar defenses with respect to the substantive claims asserted in our three pending lawsuits. We expect to rely on contractual indemnification provisions with the DoD and statutory protections to limit our potential liability resulting from these three lawsuits.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33" w:name="page134"/>
    <w:bookmarkEnd w:id="133"/>
    <w:p>
      <w:pPr>
        <w:spacing w:after="0" w:line="244" w:lineRule="auto"/>
        <w:rPr>
          <w:sz w:val="20"/>
          <w:szCs w:val="20"/>
          <w:color w:val="auto"/>
        </w:rPr>
      </w:pPr>
      <w:r>
        <w:rPr>
          <w:rFonts w:ascii="Arial" w:cs="Arial" w:eastAsia="Arial" w:hAnsi="Arial"/>
          <w:sz w:val="17"/>
          <w:szCs w:val="17"/>
          <w:i w:val="1"/>
          <w:iCs w:val="1"/>
          <w:color w:val="auto"/>
        </w:rPr>
        <w:t xml:space="preserve">MilVax litigation. </w:t>
      </w:r>
      <w:r>
        <w:rPr>
          <w:rFonts w:ascii="Arial" w:cs="Arial" w:eastAsia="Arial" w:hAnsi="Arial"/>
          <w:sz w:val="17"/>
          <w:szCs w:val="17"/>
          <w:color w:val="auto"/>
        </w:rPr>
        <w:t>In 2003, six unidentified plaintiffs filed suit in the U.S. District Court for the District of Columbia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U.S. government seeking to enjoin the Anthrax Vaccine Immunization Program administered under MilVax under which all military personnel were required to be vaccinated with BioThrax. On October 27, 2004, the District Court enjoined the DoD from administering BioThrax to military personnel on a mandatory basis without their informed consent or a Presidential waiver. This ruling was based in part on the District Court’s finding that the FDA, as part of its review of all biological products approved prior to 1972, had not properly issued a final order determining that BioThrax is safe and effective and not misbranded. In December 2005, the FDA issued a final order determining that BioThrax is safe and effective and not misbranded. On February 9, 2006, the U.S. Court of Appeals for the District of Columbia, on appeal of the injunction by the government, ruled that the injunction had dissolved by its own terms as a result of the FDA’s final order. Although we are not a party to this lawsuit, if the District Court institutes another injunction or otherwise restricts the administration of BioThrax by the DoD, the amount of future purchases of BioThrax by the DoD could be limited. In October 2006, the DoD announced that it is resuming a mandatory vaccination program for BioThrax for designated military personnel and emergency-essential and comparable civilian personnel.</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are, and may in the future become, subject to other legal proceedings, claims and litigation arising in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course of our business in connection with the manufacture, distribution and use of our products and product candidates. For example, Emergent BioDefense Operations is a defendant, along with many other vaccine manufacturers, in a series of lawsuits that have been filed in various state and federal courts in the United States alleging that thimerosal, a mercury-containing preservative used in the manufacture of some vaccines, caused personal injuries, including brain damage, central nervous system damage and autism. No specific dollar amount of damages has been claimed. Emergent BioDefense Operations is currently a named defendant in 41 lawsuits pending in two jurisdictions: four in California and 37 in Illinois. The products at issue in these lawsuits are pediatric vaccines and immune globulins. Because we are not currently and have not historically been in the business of manufacturing or selling pediatric vaccines, we do not believe that we manufactured the pediatric vaccines at issue in the lawsuits. Under a contractual obligation to the State of Michigan, we manufactured one batch of vaccine suitable for pediatric use. However, the contract required the State to use the vaccine solely for Michigan public health purposes. One plaintiff in a thimerosal lawsuit alleges that he was injured by immune globulin containing thimerosal. We previously manufactured human immune globulin that contained thimerosal. We no longer manufacture any products that contain thimerosal. We believe that our defense costs for these thimerosal lawsuits will be covered by applicable product liability insurance and have submitted a request for coverage to our carriers for defense costs incurred to date.</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Personnel</w:t>
      </w:r>
    </w:p>
    <w:p>
      <w:pPr>
        <w:spacing w:after="0" w:line="14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As of October 20, 2006, we had 470 employees, including 123 employees engaged in product development, 243 employees engaged in manufacturing, six employees engaged in sales and marketing and 98 employees engaged in general and administrative activities. We believe that our future success will depend in part on our continued ability to attract, hire and retain qualified personnel. None of our employees is represented by a labor union or covered by collective bargaining agreements. We believe that our relations with our employees are good.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28"/>
          <w:szCs w:val="28"/>
          <w:b w:val="1"/>
          <w:bCs w:val="1"/>
          <w:color w:val="auto"/>
        </w:rPr>
        <w:t>Management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Our executive officers and directors and their respective ages and positions as of October 20, 2006 are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Name</w:t>
            </w:r>
          </w:p>
        </w:tc>
        <w:tc>
          <w:tcPr>
            <w:tcW w:w="2160" w:type="dxa"/>
            <w:vAlign w:val="bottom"/>
            <w:tcBorders>
              <w:top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Age</w:t>
            </w:r>
          </w:p>
        </w:tc>
        <w:tc>
          <w:tcPr>
            <w:tcW w:w="3800" w:type="dxa"/>
            <w:vAlign w:val="bottom"/>
            <w:tcBorders>
              <w:top w:val="single" w:sz="8" w:color="auto"/>
            </w:tcBorders>
          </w:tcPr>
          <w:p>
            <w:pPr>
              <w:ind w:left="1660"/>
              <w:spacing w:after="0"/>
              <w:rPr>
                <w:sz w:val="20"/>
                <w:szCs w:val="20"/>
                <w:color w:val="auto"/>
              </w:rPr>
            </w:pPr>
            <w:r>
              <w:rPr>
                <w:rFonts w:ascii="Arial" w:cs="Arial" w:eastAsia="Arial" w:hAnsi="Arial"/>
                <w:sz w:val="16"/>
                <w:szCs w:val="16"/>
                <w:b w:val="1"/>
                <w:bCs w:val="1"/>
                <w:color w:val="auto"/>
              </w:rPr>
              <w:t>Position</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94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3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Fuad El-Hibri</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48</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President, Chief Executive Officer and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Chairman of the Board of Directors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Edward J. Arcuri, Ph.D.</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55</w:t>
            </w:r>
          </w:p>
        </w:tc>
        <w:tc>
          <w:tcPr>
            <w:tcW w:w="3800" w:type="dxa"/>
            <w:vAlign w:val="bottom"/>
          </w:tcPr>
          <w:p>
            <w:pPr>
              <w:ind w:left="140"/>
              <w:spacing w:after="0"/>
              <w:rPr>
                <w:sz w:val="20"/>
                <w:szCs w:val="20"/>
                <w:color w:val="auto"/>
              </w:rPr>
            </w:pPr>
            <w:r>
              <w:rPr>
                <w:rFonts w:ascii="Arial" w:cs="Arial" w:eastAsia="Arial" w:hAnsi="Arial"/>
                <w:sz w:val="17"/>
                <w:szCs w:val="17"/>
                <w:color w:val="auto"/>
              </w:rPr>
              <w:t>Executive Vice President and Chief Operating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Robert G. Kramer, Sr.</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49</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Emergent BioDefense Operations Lansing</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Steven N. Chatfield, Ph.D.</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49</w:t>
            </w:r>
          </w:p>
        </w:tc>
        <w:tc>
          <w:tcPr>
            <w:tcW w:w="3800" w:type="dxa"/>
            <w:vAlign w:val="bottom"/>
          </w:tcPr>
          <w:p>
            <w:pPr>
              <w:ind w:left="140"/>
              <w:spacing w:after="0"/>
              <w:rPr>
                <w:sz w:val="20"/>
                <w:szCs w:val="20"/>
                <w:color w:val="auto"/>
              </w:rPr>
            </w:pPr>
            <w:r>
              <w:rPr>
                <w:rFonts w:ascii="Arial" w:cs="Arial" w:eastAsia="Arial" w:hAnsi="Arial"/>
                <w:sz w:val="17"/>
                <w:szCs w:val="17"/>
                <w:color w:val="auto"/>
              </w:rPr>
              <w:t>President, Emergent Product Development UK</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rPr>
                <w:sz w:val="20"/>
                <w:szCs w:val="20"/>
                <w:color w:val="auto"/>
              </w:rPr>
            </w:pPr>
            <w:r>
              <w:rPr>
                <w:rFonts w:ascii="Arial" w:cs="Arial" w:eastAsia="Arial" w:hAnsi="Arial"/>
                <w:sz w:val="17"/>
                <w:szCs w:val="17"/>
                <w:color w:val="auto"/>
              </w:rPr>
              <w:t>Limited, and Chief Scientific Officer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Daniel J. Abdun-Nabi</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52</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Senior Vice President Corporate Affairs,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Counsel and Secretary</w:t>
            </w:r>
          </w:p>
        </w:tc>
        <w:tc>
          <w:tcPr>
            <w:tcW w:w="0" w:type="dxa"/>
            <w:vAlign w:val="bottom"/>
          </w:tcPr>
          <w:p>
            <w:pPr>
              <w:spacing w:after="0"/>
              <w:rPr>
                <w:sz w:val="1"/>
                <w:szCs w:val="1"/>
                <w:color w:val="auto"/>
              </w:rPr>
            </w:pPr>
          </w:p>
        </w:tc>
      </w:tr>
      <w:tr>
        <w:trPr>
          <w:trHeight w:val="392"/>
        </w:trPr>
        <w:tc>
          <w:tcPr>
            <w:tcW w:w="3960" w:type="dxa"/>
            <w:vAlign w:val="bottom"/>
            <w:gridSpan w:val="2"/>
          </w:tcPr>
          <w:p>
            <w:pPr>
              <w:spacing w:after="0"/>
              <w:rPr>
                <w:sz w:val="20"/>
                <w:szCs w:val="20"/>
                <w:color w:val="auto"/>
              </w:rPr>
            </w:pPr>
            <w:r>
              <w:rPr>
                <w:rFonts w:ascii="Arial" w:cs="Arial" w:eastAsia="Arial" w:hAnsi="Arial"/>
                <w:sz w:val="17"/>
                <w:szCs w:val="17"/>
                <w:color w:val="auto"/>
              </w:rPr>
              <w:t>Kyle W. Keese</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44</w:t>
            </w:r>
          </w:p>
        </w:tc>
        <w:tc>
          <w:tcPr>
            <w:tcW w:w="3800" w:type="dxa"/>
            <w:vAlign w:val="bottom"/>
          </w:tcPr>
          <w:p>
            <w:pPr>
              <w:ind w:left="140"/>
              <w:spacing w:after="0"/>
              <w:rPr>
                <w:sz w:val="20"/>
                <w:szCs w:val="20"/>
                <w:color w:val="auto"/>
              </w:rPr>
            </w:pPr>
            <w:r>
              <w:rPr>
                <w:rFonts w:ascii="Arial" w:cs="Arial" w:eastAsia="Arial" w:hAnsi="Arial"/>
                <w:sz w:val="17"/>
                <w:szCs w:val="17"/>
                <w:color w:val="auto"/>
              </w:rPr>
              <w:t>Senior Vice President Marketing and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rPr>
                <w:sz w:val="20"/>
                <w:szCs w:val="20"/>
                <w:color w:val="auto"/>
              </w:rPr>
            </w:pPr>
            <w:r>
              <w:rPr>
                <w:rFonts w:ascii="Arial" w:cs="Arial" w:eastAsia="Arial" w:hAnsi="Arial"/>
                <w:sz w:val="17"/>
                <w:szCs w:val="17"/>
                <w:color w:val="auto"/>
              </w:rPr>
              <w:t>Communications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Thomas K. Zink, M.D.</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50</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Senior Vice President and Chief Medical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8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Officer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R. Don Elsey</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53</w:t>
            </w:r>
          </w:p>
        </w:tc>
        <w:tc>
          <w:tcPr>
            <w:tcW w:w="3800" w:type="dxa"/>
            <w:vAlign w:val="bottom"/>
          </w:tcPr>
          <w:p>
            <w:pPr>
              <w:ind w:left="140"/>
              <w:spacing w:after="0"/>
              <w:rPr>
                <w:sz w:val="20"/>
                <w:szCs w:val="20"/>
                <w:color w:val="auto"/>
              </w:rPr>
            </w:pPr>
            <w:r>
              <w:rPr>
                <w:rFonts w:ascii="Arial" w:cs="Arial" w:eastAsia="Arial" w:hAnsi="Arial"/>
                <w:sz w:val="17"/>
                <w:szCs w:val="17"/>
                <w:color w:val="auto"/>
              </w:rPr>
              <w:t>Vice President Finance, 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800" w:type="dxa"/>
            <w:vAlign w:val="bottom"/>
          </w:tcPr>
          <w:p>
            <w:pPr>
              <w:ind w:left="320"/>
              <w:spacing w:after="0"/>
              <w:rPr>
                <w:sz w:val="20"/>
                <w:szCs w:val="20"/>
                <w:color w:val="auto"/>
              </w:rPr>
            </w:pPr>
            <w:r>
              <w:rPr>
                <w:rFonts w:ascii="Arial" w:cs="Arial" w:eastAsia="Arial" w:hAnsi="Arial"/>
                <w:sz w:val="17"/>
                <w:szCs w:val="17"/>
                <w:color w:val="auto"/>
              </w:rPr>
              <w:t>and Treasurer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Joe M. Allbaugh</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55</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Zsolt Harsanyi, Ph.D.(1)(2)(3)</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62</w:t>
            </w:r>
          </w:p>
        </w:tc>
        <w:tc>
          <w:tcPr>
            <w:tcW w:w="38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Jerome M. Hauer</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54</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Shahzad Malik, M.D.(1)(2)</w:t>
            </w:r>
          </w:p>
        </w:tc>
        <w:tc>
          <w:tcPr>
            <w:tcW w:w="2160" w:type="dxa"/>
            <w:vAlign w:val="bottom"/>
          </w:tcPr>
          <w:p>
            <w:pPr>
              <w:jc w:val="right"/>
              <w:ind w:right="53"/>
              <w:spacing w:after="0"/>
              <w:rPr>
                <w:sz w:val="20"/>
                <w:szCs w:val="20"/>
                <w:color w:val="auto"/>
              </w:rPr>
            </w:pPr>
            <w:r>
              <w:rPr>
                <w:rFonts w:ascii="Arial" w:cs="Arial" w:eastAsia="Arial" w:hAnsi="Arial"/>
                <w:sz w:val="17"/>
                <w:szCs w:val="17"/>
                <w:color w:val="auto"/>
              </w:rPr>
              <w:t>39</w:t>
            </w:r>
          </w:p>
        </w:tc>
        <w:tc>
          <w:tcPr>
            <w:tcW w:w="3800" w:type="dxa"/>
            <w:vAlign w:val="bottom"/>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Ronald B. Richard(1)(2)(3)</w:t>
            </w:r>
          </w:p>
        </w:tc>
        <w:tc>
          <w:tcPr>
            <w:tcW w:w="21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50</w:t>
            </w:r>
          </w:p>
        </w:tc>
        <w:tc>
          <w:tcPr>
            <w:tcW w:w="3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Louis W. Sullivan, M.D.</w:t>
            </w:r>
          </w:p>
        </w:tc>
        <w:tc>
          <w:tcPr>
            <w:tcW w:w="21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72</w:t>
            </w:r>
          </w:p>
        </w:tc>
        <w:tc>
          <w:tcPr>
            <w:tcW w:w="38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20" w:hanging="301"/>
        <w:spacing w:after="0"/>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53" w:lineRule="exact"/>
        <w:rPr>
          <w:rFonts w:ascii="Arial" w:cs="Arial" w:eastAsia="Arial" w:hAnsi="Arial"/>
          <w:sz w:val="17"/>
          <w:szCs w:val="17"/>
          <w:color w:val="auto"/>
        </w:rPr>
      </w:pPr>
    </w:p>
    <w:p>
      <w:pPr>
        <w:ind w:left="320" w:hanging="301"/>
        <w:spacing w:after="0"/>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53" w:lineRule="exact"/>
        <w:rPr>
          <w:rFonts w:ascii="Arial" w:cs="Arial" w:eastAsia="Arial" w:hAnsi="Arial"/>
          <w:sz w:val="17"/>
          <w:szCs w:val="17"/>
          <w:color w:val="auto"/>
        </w:rPr>
      </w:pPr>
    </w:p>
    <w:p>
      <w:pPr>
        <w:ind w:left="320" w:hanging="301"/>
        <w:spacing w:after="0"/>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10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i w:val="1"/>
          <w:iCs w:val="1"/>
          <w:color w:val="auto"/>
        </w:rPr>
        <w:t xml:space="preserve">Fuad El-Hibri. </w:t>
      </w:r>
      <w:r>
        <w:rPr>
          <w:rFonts w:ascii="Arial" w:cs="Arial" w:eastAsia="Arial" w:hAnsi="Arial"/>
          <w:sz w:val="17"/>
          <w:szCs w:val="17"/>
          <w:color w:val="auto"/>
        </w:rPr>
        <w:t>Mr. El-Hibri has served as chief executive officer and as chairman of our board of directors since June 2004 and</w:t>
      </w:r>
      <w:r>
        <w:rPr>
          <w:rFonts w:ascii="Arial" w:cs="Arial" w:eastAsia="Arial" w:hAnsi="Arial"/>
          <w:sz w:val="17"/>
          <w:szCs w:val="17"/>
          <w:i w:val="1"/>
          <w:iCs w:val="1"/>
          <w:color w:val="auto"/>
        </w:rPr>
        <w:t xml:space="preserve"> </w:t>
      </w:r>
      <w:r>
        <w:rPr>
          <w:rFonts w:ascii="Arial" w:cs="Arial" w:eastAsia="Arial" w:hAnsi="Arial"/>
          <w:sz w:val="17"/>
          <w:szCs w:val="17"/>
          <w:color w:val="auto"/>
        </w:rPr>
        <w:t>as president since March 2006. Mr. El-Hibri served as chief executive officer and chairman of the board of directors of BioPort Corporation from May 1998 until June 2004, when, as a result of our corporate reorganization, BioPort became a wholly owned subsidiary of Emergent. We subsequently renamed BioPort as Emergent BioDefense Operations Lansing Inc. Mr. El -Hibri served as chairman of Digicel Holdings, Ltd., a privately held telecommunications firm, from August 2000 to October 2006. He served as president of Digicel from August 2000 to February 2005. Mr. El-Hibri has served as chairman of East West Resources Corporation, a venture capital and financial consulting firm, since June 1990. He served as president of East West Resources from September 1990 to January 2004. Mr. El-Hibri is a member of the board of trustees of American University and a member of the board of directors of the International Biomedical Research Alliance, an academic joint venture among the NIH, Oxford University and Cambridge University. He also serves as chairman and treasurer of El-Hibri Charitable Foundation. Mr. El-Hibri received a master’s degree in public and private management from Yale University and a B.A. in economics from Stanford University.</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i w:val="1"/>
          <w:iCs w:val="1"/>
          <w:color w:val="auto"/>
        </w:rPr>
        <w:t xml:space="preserve">Edward J. Arcuri, Ph.D. </w:t>
      </w:r>
      <w:r>
        <w:rPr>
          <w:rFonts w:ascii="Arial" w:cs="Arial" w:eastAsia="Arial" w:hAnsi="Arial"/>
          <w:sz w:val="17"/>
          <w:szCs w:val="17"/>
          <w:color w:val="auto"/>
        </w:rPr>
        <w:t>Dr. Arcuri has served as executive vice president and chief operating officer since January 2005.</w:t>
      </w:r>
    </w:p>
    <w:p>
      <w:pPr>
        <w:spacing w:after="0" w:line="1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Dr. Arcuri served as senior vice president of manufacturing operations from September 2003 to January 2005 and senior vice president of vaccine manufacturing from January 2002 to September 2003 for MedImmune, Inc., a biotechnology company. Dr. Arcuri served as senior vice president, operations from May 1999 to January 2002, vice president, manufacturing from July 1999 to May 2000 and chief operating officer from May 2001 to January 2002 at Aviron, Inc., a biotechnology company, which was acquired by MedImmune in January 2002. Prior to joining Aviron, Dr. Arcuri served in various management positions at North American Vaccine, Inc., Merck &amp; Co. and SmithKline Beecham Pharmaceuticals, formerly SmithKline &amp; French Laboratories. Dr. Arcuri received both a Ph.D. and an M.S. in biology from Rensselaer Polytechnic Institute and a B.S. in biology from the State University of New York at Albany.</w:t>
      </w:r>
    </w:p>
    <w:p>
      <w:pPr>
        <w:spacing w:after="0" w:line="8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i w:val="1"/>
          <w:iCs w:val="1"/>
          <w:color w:val="auto"/>
        </w:rPr>
        <w:t xml:space="preserve">Robert G. Kramer, Sr. </w:t>
      </w:r>
      <w:r>
        <w:rPr>
          <w:rFonts w:ascii="Arial" w:cs="Arial" w:eastAsia="Arial" w:hAnsi="Arial"/>
          <w:sz w:val="17"/>
          <w:szCs w:val="17"/>
          <w:color w:val="auto"/>
        </w:rPr>
        <w:t>Mr. Kramer has served as president and chief executive officer of Emergent BioDefense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Lansing Inc., formerly BioPort Corporation, since July 2004. Mr. Kramer served as chief financial officer of BioPort from February 1999 to August 2000, as chief operating officer of BioPort from September 2000 to June 2004 and as president of BioPort from October 2001 to June 2004. Prior to joining BioPort, Mr. Kramer served in various financial management positions at Pharmacia Corp., which was subsequently acquired by Pfizer Inc., and with subsidiaries of Northwest Industries. Mr. Kramer received an M.B.A. from Western Kentucky University and a B.S. in industrial management from Clemson University.</w:t>
      </w:r>
    </w:p>
    <w:p>
      <w:pPr>
        <w:spacing w:after="0" w:line="8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i w:val="1"/>
          <w:iCs w:val="1"/>
          <w:color w:val="auto"/>
        </w:rPr>
        <w:t xml:space="preserve">Steven N. Chatfield, Ph.D. </w:t>
      </w:r>
      <w:r>
        <w:rPr>
          <w:rFonts w:ascii="Arial" w:cs="Arial" w:eastAsia="Arial" w:hAnsi="Arial"/>
          <w:sz w:val="17"/>
          <w:szCs w:val="17"/>
          <w:color w:val="auto"/>
        </w:rPr>
        <w:t>Dr. Chatfield has served as chief scientific officer since January 2005 and as president of our wholly</w:t>
      </w:r>
      <w:r>
        <w:rPr>
          <w:rFonts w:ascii="Arial" w:cs="Arial" w:eastAsia="Arial" w:hAnsi="Arial"/>
          <w:sz w:val="17"/>
          <w:szCs w:val="17"/>
          <w:i w:val="1"/>
          <w:iCs w:val="1"/>
          <w:color w:val="auto"/>
        </w:rPr>
        <w:t xml:space="preserve"> </w:t>
      </w:r>
      <w:r>
        <w:rPr>
          <w:rFonts w:ascii="Arial" w:cs="Arial" w:eastAsia="Arial" w:hAnsi="Arial"/>
          <w:sz w:val="17"/>
          <w:szCs w:val="17"/>
          <w:color w:val="auto"/>
        </w:rPr>
        <w:t>owned subsidiary, Emergent Product Development UK Limited, since June 2005. Dr. Chatfield served as development director and chief scientific officer of Microscience Limited, a U.K. biotechnology company, from March 1999 to December 2004. We acquired Microscience in June 2005. Prior to joining Microscience, Dr. Chatfield held various positions in the field of vaccine research and development, including director of biotechnology at Medeva plc, director of research at Evans Medical and several positions at Wellcome Biotechnology and the Wellcome Foundation. Dr. Chatfield received a Ph.D. from the Council for National Academic Awards in association with the University of Birmingham in the United Kingdom.</w:t>
      </w:r>
    </w:p>
    <w:p>
      <w:pPr>
        <w:spacing w:after="0" w:line="85" w:lineRule="exact"/>
        <w:rPr>
          <w:sz w:val="20"/>
          <w:szCs w:val="20"/>
          <w:color w:val="auto"/>
        </w:rPr>
      </w:pPr>
    </w:p>
    <w:p>
      <w:pPr>
        <w:spacing w:after="0" w:line="247" w:lineRule="auto"/>
        <w:rPr>
          <w:sz w:val="20"/>
          <w:szCs w:val="20"/>
          <w:color w:val="auto"/>
        </w:rPr>
      </w:pPr>
      <w:r>
        <w:rPr>
          <w:rFonts w:ascii="Arial" w:cs="Arial" w:eastAsia="Arial" w:hAnsi="Arial"/>
          <w:sz w:val="17"/>
          <w:szCs w:val="17"/>
          <w:i w:val="1"/>
          <w:iCs w:val="1"/>
          <w:color w:val="auto"/>
        </w:rPr>
        <w:t xml:space="preserve">Daniel J. Abdun-Nabi. </w:t>
      </w:r>
      <w:r>
        <w:rPr>
          <w:rFonts w:ascii="Arial" w:cs="Arial" w:eastAsia="Arial" w:hAnsi="Arial"/>
          <w:sz w:val="17"/>
          <w:szCs w:val="17"/>
          <w:color w:val="auto"/>
        </w:rPr>
        <w:t>Mr. Abdun-Nabi has served as senior vice president corporate affairs, general counsel and secretary since</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2004. Mr. Abdun-Nabi served as vice president and general counsel from May 2004 to December 2004. Mr. Abdun-Nabi served as general counsel for IGEN International, Inc., a biotechnology company, and its successor BioVeris Corporation, from September 1999 to May 2004. Prior to joining IGEN, Mr. Abdun-Nabi served as senior vice president, legal affairs, general counsel and secretary of North American Vaccine, Inc. Mr. Abdun-Nabi received an L.L.M. in taxation from Georgetown University Law Center, a J.D. from the University of San Diego School of Law and a B.A. in political science from the University of Massachusetts, Amherst.</w:t>
      </w:r>
    </w:p>
    <w:p>
      <w:pPr>
        <w:spacing w:after="0" w:line="85"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i w:val="1"/>
          <w:iCs w:val="1"/>
          <w:color w:val="auto"/>
        </w:rPr>
        <w:t xml:space="preserve">Kyle W. Keese. </w:t>
      </w:r>
      <w:r>
        <w:rPr>
          <w:rFonts w:ascii="Arial" w:cs="Arial" w:eastAsia="Arial" w:hAnsi="Arial"/>
          <w:sz w:val="17"/>
          <w:szCs w:val="17"/>
          <w:color w:val="auto"/>
        </w:rPr>
        <w:t>Mr. Keese has served as senior vice president marketing and communications since March 2006. Mr. Keese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vice president of sales and marketing of Emergent from June 2004 to March 2006 and of BioPort Corporation from June 2003 to June 2004. Mr. Keese served as vice president, business development for Antex Biologics, Inc., a biotechnology company, from March 2001 to May 2003, when we acquired substantially all of the assets of Antex. Prior to joining Antex, Mr. Keese served in various business development, marketing and sales management positions at IGEN International and Abbott Laboratories and as an officer in the U.S. Navy. Mr. Keese received an M.B.A. from National University and a B.A. in mathematics and computer science from Tulane University.</w:t>
      </w:r>
    </w:p>
    <w:p>
      <w:pPr>
        <w:spacing w:after="0" w:line="8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i w:val="1"/>
          <w:iCs w:val="1"/>
          <w:color w:val="auto"/>
        </w:rPr>
        <w:t xml:space="preserve">Thomas K. Zink, M.D. </w:t>
      </w:r>
      <w:r>
        <w:rPr>
          <w:rFonts w:ascii="Arial" w:cs="Arial" w:eastAsia="Arial" w:hAnsi="Arial"/>
          <w:sz w:val="17"/>
          <w:szCs w:val="17"/>
          <w:color w:val="auto"/>
        </w:rPr>
        <w:t>Dr. Zink has served as senior vice president of medical affairs and chief medical officer since May 2006.</w:t>
      </w:r>
      <w:r>
        <w:rPr>
          <w:rFonts w:ascii="Arial" w:cs="Arial" w:eastAsia="Arial" w:hAnsi="Arial"/>
          <w:sz w:val="17"/>
          <w:szCs w:val="17"/>
          <w:i w:val="1"/>
          <w:iCs w:val="1"/>
          <w:color w:val="auto"/>
        </w:rPr>
        <w:t xml:space="preserve"> </w:t>
      </w:r>
      <w:r>
        <w:rPr>
          <w:rFonts w:ascii="Arial" w:cs="Arial" w:eastAsia="Arial" w:hAnsi="Arial"/>
          <w:sz w:val="17"/>
          <w:szCs w:val="17"/>
          <w:color w:val="auto"/>
        </w:rPr>
        <w:t>Dr. Zink served as the director of immunization practices and scientific affairs 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136" w:name="page137"/>
    <w:bookmarkEnd w:id="136"/>
    <w:p>
      <w:pPr>
        <w:ind w:right="80"/>
        <w:spacing w:after="0" w:line="248" w:lineRule="auto"/>
        <w:rPr>
          <w:sz w:val="20"/>
          <w:szCs w:val="20"/>
          <w:color w:val="auto"/>
        </w:rPr>
      </w:pPr>
      <w:r>
        <w:rPr>
          <w:rFonts w:ascii="Arial" w:cs="Arial" w:eastAsia="Arial" w:hAnsi="Arial"/>
          <w:sz w:val="17"/>
          <w:szCs w:val="17"/>
          <w:color w:val="auto"/>
        </w:rPr>
        <w:t>GlaxoSmithKline Vaccines, USA, a subsidiary of GlaxoSmithKline plc</w:t>
      </w:r>
      <w:r>
        <w:rPr>
          <w:rFonts w:ascii="Arial" w:cs="Arial" w:eastAsia="Arial" w:hAnsi="Arial"/>
          <w:sz w:val="17"/>
          <w:szCs w:val="17"/>
          <w:b w:val="1"/>
          <w:bCs w:val="1"/>
          <w:color w:val="auto"/>
        </w:rPr>
        <w:t>,</w:t>
      </w:r>
      <w:r>
        <w:rPr>
          <w:rFonts w:ascii="Arial" w:cs="Arial" w:eastAsia="Arial" w:hAnsi="Arial"/>
          <w:sz w:val="17"/>
          <w:szCs w:val="17"/>
          <w:color w:val="auto"/>
        </w:rPr>
        <w:t xml:space="preserve"> a pharmaceutical company, from September 1999 to November 2004. After leaving GlaxoSmithKline and prior to joining Emergent, Dr. Zink served as a pro bono consultant on issues of patient safety and consumer-driven healthcare. Prior to joining GlaxoSmithKline, Dr. Zink served as the medical director for Prudential HealthCare of Kansas City, Missouri Region and as the chief medical officer of the Medicare Peer Review Organization of the State of Missouri. Dr. Zink also spent over a decade as a practicing physician specializing in emergency medicine. Dr. Zink received his joint B.A./M.D. from the University of Missouri-Kansas City and holds a current medical license as a physician and surgeon in good standing.</w:t>
      </w:r>
    </w:p>
    <w:p>
      <w:pPr>
        <w:spacing w:after="0" w:line="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i w:val="1"/>
          <w:iCs w:val="1"/>
          <w:color w:val="auto"/>
        </w:rPr>
        <w:t xml:space="preserve">R. Don Elsey. </w:t>
      </w:r>
      <w:r>
        <w:rPr>
          <w:rFonts w:ascii="Arial" w:cs="Arial" w:eastAsia="Arial" w:hAnsi="Arial"/>
          <w:sz w:val="17"/>
          <w:szCs w:val="17"/>
          <w:color w:val="auto"/>
        </w:rPr>
        <w:t>Mr. Elsey has served as chief financial officer since March 2006 and as vice president finance and treasurer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2005. Mr. Elsey served as the director of finance and administration at IGEN International, Inc., a biotechnology company, and its successor BioVeris Corporation, from April 2000 to June 2005. Prior to joining IGEN, Mr. Elsey served as director of finance at Applera, a genomics and sequencing company, and in several finance positions at International Business Machines, Inc. Mr. Elsey received an M.B.A. in finance and a B.A. in economics from Michigan State University. Mr. Elsey is a certified management accountant.</w:t>
      </w:r>
    </w:p>
    <w:p>
      <w:pPr>
        <w:spacing w:after="0" w:line="2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i w:val="1"/>
          <w:iCs w:val="1"/>
          <w:color w:val="auto"/>
        </w:rPr>
        <w:t xml:space="preserve">Joe M. Allbaugh. </w:t>
      </w:r>
      <w:r>
        <w:rPr>
          <w:rFonts w:ascii="Arial" w:cs="Arial" w:eastAsia="Arial" w:hAnsi="Arial"/>
          <w:sz w:val="17"/>
          <w:szCs w:val="17"/>
          <w:color w:val="auto"/>
        </w:rPr>
        <w:t>Mr. Allbaugh has served as a director since June 2006. Mr. Allbaugh has served as president of Ecosphere</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Inc., a subsidiary of Ecosphere Technologies, a technology company serving the homeland security, disaster response and defense markets, since September 2006. Mr. Allbaugh has served as president and chief executive officer of The Allbaugh Company, LLC, a corporate strategy and consulting services firm, since March 2003. Mr. Allbaugh served as director of the Federal Emergency Management Agency from February 2001 to March 2003. Previously, Mr. Allbaugh served as deputy secretary of transportation of the Oklahoma Department of Transportation and manager of a number of state and federal political campaigns. Mr. Allbaugh serves on the boards of directors of Citadel Security Software Inc., a publicly held enterprise security software company, and UltraStrip Systems, Inc., a publicly held technology company in the defense, homeland security and global ship repair markets. Mr. Allbaugh also serves on the board of advisors of Compressus Inc., a privately held software company. Mr. Allbaugh received a B.A. in political science from the Oklahoma State University.</w:t>
      </w:r>
    </w:p>
    <w:p>
      <w:pPr>
        <w:spacing w:after="0" w:line="34"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i w:val="1"/>
          <w:iCs w:val="1"/>
          <w:color w:val="auto"/>
        </w:rPr>
        <w:t xml:space="preserve">Zsolt Harsanyi, Ph.D. </w:t>
      </w:r>
      <w:r>
        <w:rPr>
          <w:rFonts w:ascii="Arial" w:cs="Arial" w:eastAsia="Arial" w:hAnsi="Arial"/>
          <w:sz w:val="17"/>
          <w:szCs w:val="17"/>
          <w:color w:val="auto"/>
        </w:rPr>
        <w:t>Dr. Harsanyi has served as a director since August 2004. Dr. Harsanyi has served as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and chairman of the board of directors of Exponential Biotherapies Inc., a private biotechnology company, since December 2004. Dr. Harsanyi served as president of Porton International plc, a pharmaceutical and vaccine company, from January 1983 to December 2004. Dr. Harsanyi was a founder of Dynport Vaccine Company LLC in September 1996. Prior to joining Porton International, Dr. Harsanyi was vice-president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 College.</w:t>
      </w:r>
    </w:p>
    <w:p>
      <w:pPr>
        <w:spacing w:after="0" w:line="30" w:lineRule="exact"/>
        <w:rPr>
          <w:sz w:val="20"/>
          <w:szCs w:val="20"/>
          <w:color w:val="auto"/>
        </w:rPr>
      </w:pPr>
    </w:p>
    <w:p>
      <w:pPr>
        <w:spacing w:after="0" w:line="246" w:lineRule="auto"/>
        <w:rPr>
          <w:sz w:val="20"/>
          <w:szCs w:val="20"/>
          <w:color w:val="auto"/>
        </w:rPr>
      </w:pPr>
      <w:r>
        <w:rPr>
          <w:rFonts w:ascii="Arial" w:cs="Arial" w:eastAsia="Arial" w:hAnsi="Arial"/>
          <w:sz w:val="17"/>
          <w:szCs w:val="17"/>
          <w:i w:val="1"/>
          <w:iCs w:val="1"/>
          <w:color w:val="auto"/>
        </w:rPr>
        <w:t xml:space="preserve">Jerome M. Hauer. </w:t>
      </w:r>
      <w:r>
        <w:rPr>
          <w:rFonts w:ascii="Arial" w:cs="Arial" w:eastAsia="Arial" w:hAnsi="Arial"/>
          <w:sz w:val="17"/>
          <w:szCs w:val="17"/>
          <w:color w:val="auto"/>
        </w:rPr>
        <w:t>Mr. Hauer has served as a director since June 2005. Mr. Hauer has served as chief executive officer at The</w:t>
      </w:r>
      <w:r>
        <w:rPr>
          <w:rFonts w:ascii="Arial" w:cs="Arial" w:eastAsia="Arial" w:hAnsi="Arial"/>
          <w:sz w:val="17"/>
          <w:szCs w:val="17"/>
          <w:i w:val="1"/>
          <w:iCs w:val="1"/>
          <w:color w:val="auto"/>
        </w:rPr>
        <w:t xml:space="preserve"> </w:t>
      </w:r>
      <w:r>
        <w:rPr>
          <w:rFonts w:ascii="Arial" w:cs="Arial" w:eastAsia="Arial" w:hAnsi="Arial"/>
          <w:sz w:val="17"/>
          <w:szCs w:val="17"/>
          <w:color w:val="auto"/>
        </w:rPr>
        <w:t>Hauer Group, a consulting services firm, since March 2006. Mr. Hauer served as senior vice president and co-chair of the homeland security practice of Fleishman-Hillard Government Relations, a government relations service firm, from January 2005 to March 2006. Prior to joining Fleishman-Hillard, Mr. Hauer served as the director of Response to Disaster and Emergencies Institute and assistant professor at the George Washington University School of Public Health from November 2003 to December 2004. Mr. Hauer served as acting assistant secretary for public health emergency preparedness of HHS from June 2002 to November 2003 and as director of the office of public health preparedness of HHS from May 2002 to June 2002. He also served as managing director of the crisis and consequence management group at Kroll Associates, a risk consulting firm, from October 2000 to February 2002.</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2" w:right="1039" w:bottom="1440" w:gutter="0" w:footer="0" w:header="0"/>
        </w:sectPr>
      </w:pPr>
    </w:p>
    <w:bookmarkStart w:id="137" w:name="page138"/>
    <w:bookmarkEnd w:id="137"/>
    <w:p>
      <w:pPr>
        <w:ind w:right="20"/>
        <w:spacing w:after="0" w:line="243" w:lineRule="auto"/>
        <w:rPr>
          <w:sz w:val="20"/>
          <w:szCs w:val="20"/>
          <w:color w:val="auto"/>
        </w:rPr>
      </w:pPr>
      <w:r>
        <w:rPr>
          <w:rFonts w:ascii="Arial" w:cs="Arial" w:eastAsia="Arial" w:hAnsi="Arial"/>
          <w:sz w:val="17"/>
          <w:szCs w:val="17"/>
          <w:color w:val="auto"/>
        </w:rPr>
        <w:t>Mr. Hauer served as the first director of the New York City Mayor’s Office of Emergency Management under Mayor Rudolph Giuliani. He also served as the director of Emergency Medical Services and Emergency Management as well as director of the Department of Fire and Buildings for the State of Indiana under Governor Evan Bayh. Mr. Hauer serves on the board of directors of Hollis Eden Pharmaceuticals, Inc., a publicly held pharmaceutical company. Mr. Hauer previously served as a member of the Health Advisory Board of the Johns Hopkins School of Public Health and as a member of the National Academy of Science’s Institute of Medicine’s Committee to Evaluate the R&amp;D Needs for Improving Clinical Medical Response to Chemical or Biological Terrorism Incidents. Mr. Hauer received an M.H.S. in public health from Johns Hopkins University School of Hygiene and Public Health and a B.A. from New York University.</w:t>
      </w:r>
    </w:p>
    <w:p>
      <w:pPr>
        <w:spacing w:after="0" w:line="8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i w:val="1"/>
          <w:iCs w:val="1"/>
          <w:color w:val="auto"/>
        </w:rPr>
        <w:t xml:space="preserve">Shahzad Malik, M.D. </w:t>
      </w:r>
      <w:r>
        <w:rPr>
          <w:rFonts w:ascii="Arial" w:cs="Arial" w:eastAsia="Arial" w:hAnsi="Arial"/>
          <w:sz w:val="17"/>
          <w:szCs w:val="17"/>
          <w:color w:val="auto"/>
        </w:rPr>
        <w:t>Dr. Malik has served as a director since June 2005. Dr. Malik has served as a general partner of Advent</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Partners, a venture capital firm, since April 1999. Prior to joining Advent Venture Partners, Dr. Malik spent two years at McKinsey &amp; Company where he focused on healthcare and investment banking and six years as a practicing physician specializing in cardiology. Dr. Malik also serves on the board of directors for several private biotechnology companies. Dr. Malik received his M.D. from Cambridge University and an M.A. in physiological sciences from Oxford University.</w:t>
      </w:r>
    </w:p>
    <w:p>
      <w:pPr>
        <w:spacing w:after="0" w:line="78"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i w:val="1"/>
          <w:iCs w:val="1"/>
          <w:color w:val="auto"/>
        </w:rPr>
        <w:t xml:space="preserve">Ronald B. Richard. </w:t>
      </w:r>
      <w:r>
        <w:rPr>
          <w:rFonts w:ascii="Arial" w:cs="Arial" w:eastAsia="Arial" w:hAnsi="Arial"/>
          <w:sz w:val="17"/>
          <w:szCs w:val="17"/>
          <w:color w:val="auto"/>
        </w:rPr>
        <w:t>Mr. Richard has served as a director since January 2005. Mr. Richard has served as the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Emergent,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Industrial Co., a consumer electronics company.</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Mr. Richard is a former U.S. foreign service officer. He 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an honorary doctorate in humane letters from Notre Dame College.</w:t>
      </w:r>
    </w:p>
    <w:p>
      <w:pPr>
        <w:spacing w:after="0" w:line="86"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i w:val="1"/>
          <w:iCs w:val="1"/>
          <w:color w:val="auto"/>
        </w:rPr>
        <w:t xml:space="preserve">Louis W. Sullivan, M.D. </w:t>
      </w:r>
      <w:r>
        <w:rPr>
          <w:rFonts w:ascii="Arial" w:cs="Arial" w:eastAsia="Arial" w:hAnsi="Arial"/>
          <w:sz w:val="17"/>
          <w:szCs w:val="17"/>
          <w:color w:val="auto"/>
        </w:rPr>
        <w:t>Dr. Sullivan has served as a director since June 2006. Dr. Sullivan has served as president emeritus of</w:t>
      </w:r>
      <w:r>
        <w:rPr>
          <w:rFonts w:ascii="Arial" w:cs="Arial" w:eastAsia="Arial" w:hAnsi="Arial"/>
          <w:sz w:val="17"/>
          <w:szCs w:val="17"/>
          <w:i w:val="1"/>
          <w:iCs w:val="1"/>
          <w:color w:val="auto"/>
        </w:rPr>
        <w:t xml:space="preserve"> </w:t>
      </w:r>
      <w:r>
        <w:rPr>
          <w:rFonts w:ascii="Arial" w:cs="Arial" w:eastAsia="Arial" w:hAnsi="Arial"/>
          <w:sz w:val="17"/>
          <w:szCs w:val="17"/>
          <w:color w:val="auto"/>
        </w:rPr>
        <w:t>Morehouse School of Medicine since July 2002. Dr. Sullivan served as president of Morehouse School of Medicine from 1981 to 1989 and from 1993 to 2002. From 1989 to 1993, Dr. Sullivan was Secretary of HHS. Dr. Sullivan also serves on the boards of directors of United Therapeutics Corporation, BioSante Pharmaceuticals, Inhibitex, Inc. and Henry Schein, Inc., publicly traded biotechnology companies. He is a founder and chairman of Medical Education for South African Blacks, Inc., a trustee of Morehouse School of Medicine and Africare and a director of the National Center on Addiction and Substance Abuse at Columbia University. Dr. Sullivan recently retired from the boards of directors of Bristol-Myers Squibb Company, 3-M Corporation, Georgia Pacific Corporation, Cigna Corporation and Equifax, Inc. Dr. Sullivan received his M.D. from Boston University and a B.S. from Morehouse College.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38" w:name="page139"/>
    <w:bookmarkEnd w:id="138"/>
    <w:p>
      <w:pPr>
        <w:spacing w:after="0"/>
        <w:rPr>
          <w:sz w:val="20"/>
          <w:szCs w:val="20"/>
          <w:color w:val="auto"/>
        </w:rPr>
      </w:pPr>
      <w:r>
        <w:rPr>
          <w:rFonts w:ascii="Arial" w:cs="Arial" w:eastAsia="Arial" w:hAnsi="Arial"/>
          <w:sz w:val="21"/>
          <w:szCs w:val="21"/>
          <w:b w:val="1"/>
          <w:bCs w:val="1"/>
          <w:color w:val="auto"/>
        </w:rPr>
        <w:t>Board composition and election of directors</w:t>
      </w:r>
    </w:p>
    <w:p>
      <w:pPr>
        <w:spacing w:after="0" w:line="144"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Our board of directors is currently authorized to have and currently has seven members. Upon completion of this offering, our board of directors will be divided into three classes, each of whose members will serve for staggered three-year terms:</w:t>
      </w:r>
    </w:p>
    <w:p>
      <w:pPr>
        <w:spacing w:after="0" w:line="90" w:lineRule="exact"/>
        <w:rPr>
          <w:sz w:val="20"/>
          <w:szCs w:val="20"/>
          <w:color w:val="auto"/>
        </w:rPr>
      </w:pPr>
    </w:p>
    <w:p>
      <w:pPr>
        <w:ind w:left="220" w:hanging="210"/>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Mr. El-Hibri, Mr. Hauer and Mr. Richard will serve as class I directors, and their terms will expire at our 2007 annual meeting;</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Dr. Harsanyi and Dr. Sullivan will serve as class II directors, and their terms will expire at our 2008 annual meeting;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Mr. Allbaugh and Dr. Malik will serve as class III directors, and their terms will expire at our 2009 annual meeting.</w:t>
      </w:r>
    </w:p>
    <w:p>
      <w:pPr>
        <w:spacing w:after="0" w:line="119"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Upon the expiration of the term of a class of directors, directors in that class will be eligible to be elected for a new three-year term at the annual meeting of stockholders in the year in which their term expires.</w:t>
      </w:r>
    </w:p>
    <w:p>
      <w:pPr>
        <w:spacing w:after="0" w:line="9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Until the fifth anniversary of the completion of this offering, any change in the number of directors serving on our board and the appointment and removal of the chairman of our board will require the vote of at least 75% of the directors then in office. Our directors may be removed from office only for cause and only by the affirmative vote of holders of our capital stock representing at least 75% of the voting power of all outstanding stock entitled to vote. Mr. El-Hibri, through his ownership interests in our common stock and voting arrangements among our significant stockholders, will be able to control the election of directors following this offering. See “Description of capital stock — Anti-takeover effects of Delaware law and our certificate of incorporation and by-laws.”</w:t>
      </w:r>
    </w:p>
    <w:p>
      <w:pPr>
        <w:spacing w:after="0" w:line="102"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Under the rules of the New York Stock Exchange, a director will only qualify as “independent” if our board of directors affirmatively determines that he has no material relationship with us, either directly or as a partner, stockholder or officer of an organization that has a relationship with us. Our board of directors has established guidelines to assist it in determining whether a director has a material relationship with us. Under these guidelines, a director is not considered to have a material relationship with us if he is independent under Section 303A.02(b) of the NYSE Listed Company Manual, even if he:</w:t>
      </w:r>
    </w:p>
    <w:p>
      <w:pPr>
        <w:spacing w:after="0" w:line="102" w:lineRule="exact"/>
        <w:rPr>
          <w:sz w:val="20"/>
          <w:szCs w:val="20"/>
          <w:color w:val="auto"/>
        </w:rPr>
      </w:pPr>
    </w:p>
    <w:p>
      <w:pPr>
        <w:ind w:left="220" w:right="260" w:hanging="210"/>
        <w:spacing w:after="0" w:line="250" w:lineRule="auto"/>
        <w:tabs>
          <w:tab w:leader="none" w:pos="2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is an executive officer of another company which is indebted to us, or to which we are indebted, unless the total amount of either company’s indebtedness to the other is more than one percent of the total consolidated assets of the company he serves as an executive officer; or</w:t>
      </w:r>
    </w:p>
    <w:p>
      <w:pPr>
        <w:spacing w:after="0" w:line="96" w:lineRule="exact"/>
        <w:rPr>
          <w:rFonts w:ascii="Arial" w:cs="Arial" w:eastAsia="Arial" w:hAnsi="Arial"/>
          <w:sz w:val="17"/>
          <w:szCs w:val="17"/>
          <w:color w:val="auto"/>
        </w:rPr>
      </w:pPr>
    </w:p>
    <w:p>
      <w:pPr>
        <w:ind w:left="220" w:right="40" w:hanging="210"/>
        <w:spacing w:after="0" w:line="247" w:lineRule="auto"/>
        <w:tabs>
          <w:tab w:leader="none" w:pos="2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serves as an officer, director or trustee of a tax 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In addition, ownership of a significant amount of our stock, by itself, does not constitute a material relationship.</w:t>
      </w:r>
    </w:p>
    <w:p>
      <w:pPr>
        <w:spacing w:after="0" w:line="119"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For relationships not covered by the guidelines set forth above, the determination of whether a material relationship exists is made by the other members of the board of directors who are independent.</w:t>
      </w:r>
    </w:p>
    <w:p>
      <w:pPr>
        <w:spacing w:after="0" w:line="9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Applying the guidelines described above, our board of directors has affirmatively determined that the following directors are independent: Mr. Allbaugh, Dr. Harsanyi, Dr. Malik, Mr. Richard and Dr. Sullivan. We refer to these directors as our “independent directors.” There are no family relationships among any of our directors or executive officers.</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893" w:right="1099" w:bottom="1440" w:gutter="0" w:footer="0" w:header="0"/>
        </w:sectPr>
      </w:pPr>
    </w:p>
    <w:bookmarkStart w:id="139" w:name="page140"/>
    <w:bookmarkEnd w:id="139"/>
    <w:p>
      <w:pPr>
        <w:spacing w:after="0" w:line="250" w:lineRule="auto"/>
        <w:rPr>
          <w:sz w:val="20"/>
          <w:szCs w:val="20"/>
          <w:color w:val="auto"/>
        </w:rPr>
      </w:pPr>
      <w:r>
        <w:rPr>
          <w:rFonts w:ascii="Arial" w:cs="Arial" w:eastAsia="Arial" w:hAnsi="Arial"/>
          <w:sz w:val="17"/>
          <w:szCs w:val="17"/>
          <w:color w:val="auto"/>
        </w:rPr>
        <w:t>In October 2006, Mr. Hauer was hospitalized with a serious, unexpected medical condition from which he is beginning to recover. We cannot determine when, or if, Mr. Hauer will be able or willing to resume active participation as a member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committees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39" w:lineRule="exact"/>
        <w:rPr>
          <w:sz w:val="20"/>
          <w:szCs w:val="20"/>
          <w:color w:val="auto"/>
        </w:rPr>
      </w:pPr>
    </w:p>
    <w:p>
      <w:pPr>
        <w:jc w:val="both"/>
        <w:ind w:right="180"/>
        <w:spacing w:after="0" w:line="247" w:lineRule="auto"/>
        <w:rPr>
          <w:sz w:val="20"/>
          <w:szCs w:val="20"/>
          <w:color w:val="auto"/>
        </w:rPr>
      </w:pPr>
      <w:r>
        <w:rPr>
          <w:rFonts w:ascii="Arial" w:cs="Arial" w:eastAsia="Arial" w:hAnsi="Arial"/>
          <w:sz w:val="17"/>
          <w:szCs w:val="17"/>
          <w:color w:val="auto"/>
        </w:rPr>
        <w:t>The members of our audit committee are Dr. Harsanyi, Dr. Malik and Mr. Richard. Dr. Harsanyi chairs the committee. Our audit committee assists our board of directors in its oversight of our accounting and financial reporting processes and the integrity of our financial statements, our compliance with legal and regulatory requirements, the audits of our financial statements and the qualifications, independence and performance of our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this offering, our audit committee’s responsibilities will include:</w:t>
      </w:r>
    </w:p>
    <w:p>
      <w:pPr>
        <w:spacing w:after="0" w:line="119" w:lineRule="exact"/>
        <w:rPr>
          <w:sz w:val="20"/>
          <w:szCs w:val="20"/>
          <w:color w:val="auto"/>
        </w:rPr>
      </w:pPr>
    </w:p>
    <w:p>
      <w:pPr>
        <w:ind w:left="220" w:right="60" w:hanging="210"/>
        <w:spacing w:after="0" w:line="258" w:lineRule="auto"/>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77" w:lineRule="exact"/>
        <w:rPr>
          <w:rFonts w:ascii="Arial" w:cs="Arial" w:eastAsia="Arial" w:hAnsi="Arial"/>
          <w:sz w:val="17"/>
          <w:szCs w:val="17"/>
          <w:color w:val="auto"/>
        </w:rPr>
      </w:pPr>
    </w:p>
    <w:p>
      <w:pPr>
        <w:ind w:left="220" w:right="180" w:hanging="210"/>
        <w:spacing w:after="0" w:line="258" w:lineRule="auto"/>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overseeing the work of our independent registered public accounting firm, including through the receipt and consideration of reports from our independent registered public accounting firm;</w:t>
      </w:r>
    </w:p>
    <w:p>
      <w:pPr>
        <w:spacing w:after="0" w:line="77" w:lineRule="exact"/>
        <w:rPr>
          <w:rFonts w:ascii="Arial" w:cs="Arial" w:eastAsia="Arial" w:hAnsi="Arial"/>
          <w:sz w:val="17"/>
          <w:szCs w:val="17"/>
          <w:color w:val="auto"/>
        </w:rPr>
      </w:pPr>
    </w:p>
    <w:p>
      <w:pPr>
        <w:ind w:left="220" w:right="220" w:hanging="210"/>
        <w:spacing w:after="0" w:line="258" w:lineRule="auto"/>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registered public accounting firm our annual and quarterly financial statements and related disclosures;</w:t>
      </w:r>
    </w:p>
    <w:p>
      <w:pPr>
        <w:spacing w:after="0" w:line="77" w:lineRule="exact"/>
        <w:rPr>
          <w:rFonts w:ascii="Arial" w:cs="Arial" w:eastAsia="Arial" w:hAnsi="Arial"/>
          <w:sz w:val="17"/>
          <w:szCs w:val="17"/>
          <w:color w:val="auto"/>
        </w:rPr>
      </w:pPr>
    </w:p>
    <w:p>
      <w:pPr>
        <w:ind w:left="220" w:right="260" w:hanging="210"/>
        <w:spacing w:after="0" w:line="258" w:lineRule="auto"/>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coordinating our board of directors’ oversight of internal control over financial reporting, disclosure controls and procedures and code of business conduct and ethics;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establishing procedures for the receipt and retention of accounting related complaints and concerns;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meeting independently with our independent registered public accounting firm and management;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preparing the audit committee report required by Securities and Exchange Commission rules.</w:t>
      </w:r>
    </w:p>
    <w:p>
      <w:pPr>
        <w:spacing w:after="0" w:line="119"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All audit services to be provided to us and all non-audit services, other than de minimis non-audit services, to be provided to us by our independent registered public accounting firm must be approved in advance by our audit committee.</w:t>
      </w:r>
    </w:p>
    <w:p>
      <w:pPr>
        <w:spacing w:after="0" w:line="90"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color w:val="auto"/>
        </w:rPr>
        <w:t>Our board of directors has determined that Dr. Harsanyi and Dr. Malik qualify as “audit committee financial experts.” We believe that the composition of our audit committee meets the requirements for independence under current New York Stock Exchange and Securities and Exchange Commission rules and regulations.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39"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members of our compensation committee are Dr. Harsanyi, Dr. Malik and Mr. Richard. Mr. Richard chairs the committee. Our compensation committee assists the board of directors in the discharge of its responsibilities relating to the compensation of our executive officers and establishing and maintaining broad-based employee benefit plans and programs.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this offering, our compensation committee’s responsibilities will include:</w:t>
      </w:r>
    </w:p>
    <w:p>
      <w:pPr>
        <w:spacing w:after="0" w:line="119" w:lineRule="exact"/>
        <w:rPr>
          <w:sz w:val="20"/>
          <w:szCs w:val="20"/>
          <w:color w:val="auto"/>
        </w:rPr>
      </w:pPr>
    </w:p>
    <w:p>
      <w:pPr>
        <w:ind w:left="220" w:hanging="210"/>
        <w:spacing w:after="0"/>
        <w:tabs>
          <w:tab w:leader="none" w:pos="2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annually reviewing and approving corporate goals and objectives relevant to the compensation of our chief executive officer;</w:t>
      </w:r>
    </w:p>
    <w:p>
      <w:pPr>
        <w:spacing w:after="0" w:line="380" w:lineRule="exact"/>
        <w:rPr>
          <w:rFonts w:ascii="Arial" w:cs="Arial" w:eastAsia="Arial" w:hAnsi="Arial"/>
          <w:sz w:val="17"/>
          <w:szCs w:val="17"/>
          <w:color w:val="auto"/>
        </w:rPr>
      </w:pPr>
    </w:p>
    <w:p>
      <w:pPr>
        <w:ind w:left="4840"/>
        <w:spacing w:after="0"/>
        <w:rPr>
          <w:rFonts w:ascii="Arial" w:cs="Arial" w:eastAsia="Arial" w:hAnsi="Arial"/>
          <w:sz w:val="17"/>
          <w:szCs w:val="17"/>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40" w:name="page141"/>
    <w:bookmarkEnd w:id="140"/>
    <w:p>
      <w:pPr>
        <w:ind w:left="220" w:hanging="210"/>
        <w:spacing w:after="0"/>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determining the compensation of our chief executive officer;</w:t>
      </w:r>
    </w:p>
    <w:p>
      <w:pPr>
        <w:spacing w:after="0" w:line="118" w:lineRule="exact"/>
        <w:rPr>
          <w:rFonts w:ascii="Arial" w:cs="Arial" w:eastAsia="Arial" w:hAnsi="Arial"/>
          <w:sz w:val="17"/>
          <w:szCs w:val="17"/>
          <w:color w:val="auto"/>
        </w:rPr>
      </w:pPr>
    </w:p>
    <w:p>
      <w:pPr>
        <w:ind w:left="220" w:hanging="210"/>
        <w:spacing w:after="0" w:line="258" w:lineRule="auto"/>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the board of directors with respect to, the compensation of our other executive officers;</w:t>
      </w:r>
    </w:p>
    <w:p>
      <w:pPr>
        <w:spacing w:after="0" w:line="90" w:lineRule="exact"/>
        <w:rPr>
          <w:rFonts w:ascii="Arial" w:cs="Arial" w:eastAsia="Arial" w:hAnsi="Arial"/>
          <w:sz w:val="17"/>
          <w:szCs w:val="17"/>
          <w:color w:val="auto"/>
        </w:rPr>
      </w:pPr>
    </w:p>
    <w:p>
      <w:pPr>
        <w:ind w:left="220" w:hanging="210"/>
        <w:spacing w:after="0"/>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overseeing the evaluation of the performance of our senior executives;</w:t>
      </w:r>
    </w:p>
    <w:p>
      <w:pPr>
        <w:spacing w:after="0" w:line="118" w:lineRule="exact"/>
        <w:rPr>
          <w:rFonts w:ascii="Arial" w:cs="Arial" w:eastAsia="Arial" w:hAnsi="Arial"/>
          <w:sz w:val="17"/>
          <w:szCs w:val="17"/>
          <w:color w:val="auto"/>
        </w:rPr>
      </w:pPr>
    </w:p>
    <w:p>
      <w:pPr>
        <w:ind w:left="220" w:hanging="210"/>
        <w:spacing w:after="0"/>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overseeing and administering our broad-based compensation programs and our cash and equity incentive plans;</w:t>
      </w:r>
    </w:p>
    <w:p>
      <w:pPr>
        <w:spacing w:after="0" w:line="118" w:lineRule="exact"/>
        <w:rPr>
          <w:rFonts w:ascii="Arial" w:cs="Arial" w:eastAsia="Arial" w:hAnsi="Arial"/>
          <w:sz w:val="17"/>
          <w:szCs w:val="17"/>
          <w:color w:val="auto"/>
        </w:rPr>
      </w:pPr>
    </w:p>
    <w:p>
      <w:pPr>
        <w:ind w:left="220" w:hanging="210"/>
        <w:spacing w:after="0"/>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of directors with respect to director compensation;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preparing the compensation committee report required by Securities and Exchange Commission rules.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39"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members of our nominating and corporate governance committee are Dr. Harsanyi and Mr. Richard. Dr. Harsanyi chairs the committee.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Upon the completion of this offering, our nominating and corporate governance committee’s responsibilities will include:</w:t>
      </w:r>
    </w:p>
    <w:p>
      <w:pPr>
        <w:spacing w:after="0" w:line="119" w:lineRule="exact"/>
        <w:rPr>
          <w:sz w:val="20"/>
          <w:szCs w:val="20"/>
          <w:color w:val="auto"/>
        </w:rPr>
      </w:pPr>
    </w:p>
    <w:p>
      <w:pPr>
        <w:ind w:left="220" w:hanging="210"/>
        <w:spacing w:after="0"/>
        <w:tabs>
          <w:tab w:leader="none" w:pos="2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the board of directors;</w:t>
      </w:r>
    </w:p>
    <w:p>
      <w:pPr>
        <w:spacing w:after="0" w:line="118" w:lineRule="exact"/>
        <w:rPr>
          <w:rFonts w:ascii="Arial" w:cs="Arial" w:eastAsia="Arial" w:hAnsi="Arial"/>
          <w:sz w:val="17"/>
          <w:szCs w:val="17"/>
          <w:color w:val="auto"/>
        </w:rPr>
      </w:pPr>
    </w:p>
    <w:p>
      <w:pPr>
        <w:ind w:left="220" w:right="300" w:hanging="210"/>
        <w:spacing w:after="0" w:line="258" w:lineRule="auto"/>
        <w:tabs>
          <w:tab w:leader="none" w:pos="2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or to fill vacancies and to be appointed to each of the board’s committees;</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overseeing an annual review by the board of directors with respect to management succession planning;</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corporate governance principles and guidelines; and</w:t>
      </w:r>
    </w:p>
    <w:p>
      <w:pPr>
        <w:spacing w:after="0" w:line="118" w:lineRule="exact"/>
        <w:rPr>
          <w:rFonts w:ascii="Arial" w:cs="Arial" w:eastAsia="Arial" w:hAnsi="Arial"/>
          <w:sz w:val="17"/>
          <w:szCs w:val="17"/>
          <w:color w:val="auto"/>
        </w:rPr>
      </w:pPr>
    </w:p>
    <w:p>
      <w:pPr>
        <w:ind w:left="220" w:hanging="210"/>
        <w:spacing w:after="0"/>
        <w:tabs>
          <w:tab w:leader="none" w:pos="2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overseeing an annual evaluation of the board of directors.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144"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None of our executive officers serves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has ever been our employee.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Under our director compensation program, we pay each of our non-employee directors an annual retainer of $20,000 for service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a director. Each non-employee director also receives a fee for each board and committee meeting attended. The board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meeting fee is $1,500 for attendance in person and $500 for attendance by telephone. The audit committee meeting fee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$1,500 for attendance in person and $500 for attendance by telephone. The compensation committee meeting fee is $1,000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attendance in person and $300 for attendance by telephone. The nominating and corporate governance committee meeting fee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 $1,000 for attendance in person and $300 for attendance by telephone. Each member of our audit committee receives 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additional annual retainer of $5,000. Each member of our</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141" w:name="page142"/>
    <w:bookmarkEnd w:id="141"/>
    <w:p>
      <w:pPr>
        <w:jc w:val="both"/>
        <w:ind w:right="520"/>
        <w:spacing w:after="0" w:line="250" w:lineRule="auto"/>
        <w:rPr>
          <w:sz w:val="20"/>
          <w:szCs w:val="20"/>
          <w:color w:val="auto"/>
        </w:rPr>
      </w:pPr>
      <w:r>
        <w:rPr>
          <w:rFonts w:ascii="Arial" w:cs="Arial" w:eastAsia="Arial" w:hAnsi="Arial"/>
          <w:sz w:val="17"/>
          <w:szCs w:val="17"/>
          <w:color w:val="auto"/>
        </w:rPr>
        <w:t>compensation committee receives an additional annual retainer of $3,000. Each member of our nominating and corporate governance committee receives an annual retainer of $3,000. We reimburse our non-employee directors for out-of-pocket expenses incurred in connection with attending our board and committee meetings.</w:t>
      </w:r>
    </w:p>
    <w:p>
      <w:pPr>
        <w:spacing w:after="0" w:line="9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the director compensation program, we have granted a non-qualified option to purchase 43,156 shares of our class B common stock to each of our independent directors, unless the director’s appointment was pursuant to any transaction or other arrangement requiring such appointment, and to each of our non-employee directors who does not qualify as an independent director if our board of directors determined that the option grant was necessary to attract such non-employee director to join the board. These options vest over three years and expire ten years from the date of grant, subject to the director’s continued service as a director. Upon a change in control, as defined in each director stock option agreement, we will have the option to purchase and redeem all the options owned by the director, or held for the benefit of the director, for a purchase price equal to the difference between the option exercise price and the fair market value. In the event we exercise such repurchase option, any unvested options will be deemed fully vested on the day preceding the date of repurchase.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We have granted the following non-qualified stock options to our independent and non-employee directors:</w:t>
      </w:r>
    </w:p>
    <w:p>
      <w:pPr>
        <w:spacing w:after="0" w:line="119" w:lineRule="exact"/>
        <w:rPr>
          <w:sz w:val="20"/>
          <w:szCs w:val="20"/>
          <w:color w:val="auto"/>
        </w:rPr>
      </w:pPr>
    </w:p>
    <w:p>
      <w:pPr>
        <w:ind w:left="220" w:right="540" w:hanging="210"/>
        <w:spacing w:after="0" w:line="258" w:lineRule="auto"/>
        <w:tabs>
          <w:tab w:leader="none" w:pos="2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 December 1, 2004, we granted a stock option to purchase 43,156 shares at an exercise price of $2.74 per share to Dr. Harsanyi.</w:t>
      </w:r>
    </w:p>
    <w:p>
      <w:pPr>
        <w:spacing w:after="0" w:line="77" w:lineRule="exact"/>
        <w:rPr>
          <w:rFonts w:ascii="Arial" w:cs="Arial" w:eastAsia="Arial" w:hAnsi="Arial"/>
          <w:sz w:val="17"/>
          <w:szCs w:val="17"/>
          <w:color w:val="auto"/>
        </w:rPr>
      </w:pPr>
    </w:p>
    <w:p>
      <w:pPr>
        <w:ind w:left="220" w:right="620" w:hanging="210"/>
        <w:spacing w:after="0" w:line="258" w:lineRule="auto"/>
        <w:tabs>
          <w:tab w:leader="none" w:pos="2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 January 26, 2005, we granted a stock option to purchase 43,156 shares at an exercise price of $2.74 per share to Mr. Richard.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 June 15, 2005, we granted a stock option to purchase 43,156 shares at an exercise price of $3.50 per share to Mr. Hauer.</w:t>
      </w:r>
    </w:p>
    <w:p>
      <w:pPr>
        <w:spacing w:after="0" w:line="105" w:lineRule="exact"/>
        <w:rPr>
          <w:rFonts w:ascii="Arial" w:cs="Arial" w:eastAsia="Arial" w:hAnsi="Arial"/>
          <w:sz w:val="17"/>
          <w:szCs w:val="17"/>
          <w:color w:val="auto"/>
        </w:rPr>
      </w:pPr>
    </w:p>
    <w:p>
      <w:pPr>
        <w:ind w:left="220" w:right="780" w:hanging="210"/>
        <w:spacing w:after="0" w:line="258" w:lineRule="auto"/>
        <w:tabs>
          <w:tab w:leader="none" w:pos="2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 June 30, 2006, we granted a stock option to purchase 43,156 shares at an exercise price of $10.28 per share to Dr. Sullivan.</w:t>
      </w:r>
    </w:p>
    <w:p>
      <w:pPr>
        <w:spacing w:after="0" w:line="77" w:lineRule="exact"/>
        <w:rPr>
          <w:rFonts w:ascii="Arial" w:cs="Arial" w:eastAsia="Arial" w:hAnsi="Arial"/>
          <w:sz w:val="17"/>
          <w:szCs w:val="17"/>
          <w:color w:val="auto"/>
        </w:rPr>
      </w:pPr>
    </w:p>
    <w:p>
      <w:pPr>
        <w:ind w:left="220" w:right="780" w:hanging="210"/>
        <w:spacing w:after="0" w:line="258" w:lineRule="auto"/>
        <w:tabs>
          <w:tab w:leader="none" w:pos="2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 June 30, 2006, we granted a stock option to purchase 43,156 shares at an exercise price of $10.28 per share to Mr. Allbaugh.</w:t>
      </w:r>
    </w:p>
    <w:p>
      <w:pPr>
        <w:spacing w:after="0" w:line="90"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Following the completion of this offering, pursuant to automatic option grants to non-employee directors under our 2006 stock incentive plan, we will grant each of our non-employee directors a nonstatutory option to purchase:</w:t>
      </w:r>
    </w:p>
    <w:p>
      <w:pPr>
        <w:spacing w:after="0" w:line="90" w:lineRule="exact"/>
        <w:rPr>
          <w:sz w:val="20"/>
          <w:szCs w:val="20"/>
          <w:color w:val="auto"/>
        </w:rPr>
      </w:pPr>
    </w:p>
    <w:p>
      <w:pPr>
        <w:ind w:left="220" w:hanging="210"/>
        <w:spacing w:after="0"/>
        <w:tabs>
          <w:tab w:leader="none" w:pos="2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21,600 shares of common stock upon commencement of service on our board of directors;</w:t>
      </w:r>
    </w:p>
    <w:p>
      <w:pPr>
        <w:spacing w:after="0" w:line="105" w:lineRule="exact"/>
        <w:rPr>
          <w:rFonts w:ascii="Arial" w:cs="Arial" w:eastAsia="Arial" w:hAnsi="Arial"/>
          <w:sz w:val="17"/>
          <w:szCs w:val="17"/>
          <w:color w:val="auto"/>
        </w:rPr>
      </w:pPr>
    </w:p>
    <w:p>
      <w:pPr>
        <w:ind w:left="220" w:right="60" w:hanging="210"/>
        <w:spacing w:after="0" w:line="258" w:lineRule="auto"/>
        <w:tabs>
          <w:tab w:leader="none" w:pos="2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14,400 shares of common stock, on the date of each of our annual meetings of stockholders, provided that the director continues serving as a director after the annual meeting and has served on our board of directors for at least six months; and</w:t>
      </w:r>
    </w:p>
    <w:p>
      <w:pPr>
        <w:spacing w:after="0" w:line="77" w:lineRule="exact"/>
        <w:rPr>
          <w:rFonts w:ascii="Arial" w:cs="Arial" w:eastAsia="Arial" w:hAnsi="Arial"/>
          <w:sz w:val="17"/>
          <w:szCs w:val="17"/>
          <w:color w:val="auto"/>
        </w:rPr>
      </w:pPr>
    </w:p>
    <w:p>
      <w:pPr>
        <w:ind w:left="220" w:right="400" w:hanging="210"/>
        <w:spacing w:after="0" w:line="250" w:lineRule="auto"/>
        <w:tabs>
          <w:tab w:leader="none" w:pos="2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non-employee director is serving as the chair of one or more committees of our board of directors, an additional 7,200 shares of common stock, on the date of each of our annual meetings of stockholders, provided that the director continues serving as a director after the annual meeting and has served on our board of directors for at least six months.</w:t>
      </w:r>
    </w:p>
    <w:p>
      <w:pPr>
        <w:spacing w:after="0" w:line="96"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See “— Stock option and other compensation plans — 2006 stock incentive plan” for additional information regarding option grants to non-employee directors under our 2006 stock incentive plan.</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42" w:name="page143"/>
    <w:bookmarkEnd w:id="142"/>
    <w:p>
      <w:pPr>
        <w:spacing w:after="0"/>
        <w:rPr>
          <w:sz w:val="20"/>
          <w:szCs w:val="20"/>
          <w:color w:val="auto"/>
        </w:rPr>
      </w:pPr>
      <w:r>
        <w:rPr>
          <w:rFonts w:ascii="Arial" w:cs="Arial" w:eastAsia="Arial" w:hAnsi="Arial"/>
          <w:sz w:val="21"/>
          <w:szCs w:val="21"/>
          <w:b w:val="1"/>
          <w:bCs w:val="1"/>
          <w:color w:val="auto"/>
        </w:rPr>
        <w:t>Executive compensation</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following table sets forth a summary of the compensation paid or accrued during the year ended December 31, 2005 to our chief executive officer and to our four most highly compensated executive officers other than our chief executive officer who were serving as executive officers as of December 31, 2005. We refer to these individuals as our named executive officers.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Summary compensation table</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9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Long-term</w:t>
            </w:r>
          </w:p>
        </w:tc>
        <w:tc>
          <w:tcPr>
            <w:tcW w:w="4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Annual compensation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gridSpan w:val="4"/>
            <w:vMerge w:val="continue"/>
          </w:tcPr>
          <w:p>
            <w:pPr>
              <w:spacing w:after="0"/>
              <w:rPr>
                <w:sz w:val="13"/>
                <w:szCs w:val="13"/>
                <w:color w:val="auto"/>
              </w:rPr>
            </w:pPr>
          </w:p>
        </w:tc>
        <w:tc>
          <w:tcPr>
            <w:tcW w:w="1440" w:type="dxa"/>
            <w:vAlign w:val="bottom"/>
          </w:tcPr>
          <w:p>
            <w:pPr>
              <w:jc w:val="right"/>
              <w:spacing w:after="0" w:line="150"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97"/>
              </w:rPr>
              <w:t>Other annual</w:t>
            </w:r>
          </w:p>
        </w:tc>
        <w:tc>
          <w:tcPr>
            <w:tcW w:w="400" w:type="dxa"/>
            <w:vAlign w:val="bottom"/>
          </w:tcPr>
          <w:p>
            <w:pPr>
              <w:spacing w:after="0"/>
              <w:rPr>
                <w:sz w:val="12"/>
                <w:szCs w:val="12"/>
                <w:color w:val="auto"/>
              </w:rPr>
            </w:pPr>
          </w:p>
        </w:tc>
        <w:tc>
          <w:tcPr>
            <w:tcW w:w="14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underlying</w:t>
            </w:r>
          </w:p>
        </w:tc>
        <w:tc>
          <w:tcPr>
            <w:tcW w:w="460" w:type="dxa"/>
            <w:vAlign w:val="bottom"/>
          </w:tcPr>
          <w:p>
            <w:pPr>
              <w:spacing w:after="0"/>
              <w:rPr>
                <w:sz w:val="12"/>
                <w:szCs w:val="12"/>
                <w:color w:val="auto"/>
              </w:rPr>
            </w:pPr>
          </w:p>
        </w:tc>
        <w:tc>
          <w:tcPr>
            <w:tcW w:w="920" w:type="dxa"/>
            <w:vAlign w:val="bottom"/>
            <w:gridSpan w:val="2"/>
          </w:tcPr>
          <w:p>
            <w:pPr>
              <w:jc w:val="right"/>
              <w:ind w:right="200"/>
              <w:spacing w:after="0" w:line="13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84"/>
        </w:trPr>
        <w:tc>
          <w:tcPr>
            <w:tcW w:w="298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b w:val="1"/>
                <w:bCs w:val="1"/>
                <w:color w:val="auto"/>
              </w:rPr>
              <w:t>Salary</w:t>
            </w:r>
          </w:p>
        </w:tc>
        <w:tc>
          <w:tcPr>
            <w:tcW w:w="400" w:type="dxa"/>
            <w:vAlign w:val="bottom"/>
          </w:tcPr>
          <w:p>
            <w:pPr>
              <w:spacing w:after="0"/>
              <w:rPr>
                <w:sz w:val="16"/>
                <w:szCs w:val="16"/>
                <w:color w:val="auto"/>
              </w:rPr>
            </w:pPr>
          </w:p>
        </w:tc>
        <w:tc>
          <w:tcPr>
            <w:tcW w:w="940" w:type="dxa"/>
            <w:vAlign w:val="bottom"/>
          </w:tcPr>
          <w:p>
            <w:pPr>
              <w:jc w:val="right"/>
              <w:ind w:right="84"/>
              <w:spacing w:after="0"/>
              <w:rPr>
                <w:sz w:val="20"/>
                <w:szCs w:val="20"/>
                <w:color w:val="auto"/>
              </w:rPr>
            </w:pPr>
            <w:r>
              <w:rPr>
                <w:rFonts w:ascii="Arial" w:cs="Arial" w:eastAsia="Arial" w:hAnsi="Arial"/>
                <w:sz w:val="14"/>
                <w:szCs w:val="14"/>
                <w:b w:val="1"/>
                <w:bCs w:val="1"/>
                <w:color w:val="auto"/>
              </w:rPr>
              <w:t>Bonus</w:t>
            </w:r>
          </w:p>
        </w:tc>
        <w:tc>
          <w:tcPr>
            <w:tcW w:w="15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41"/>
        </w:trPr>
        <w:tc>
          <w:tcPr>
            <w:tcW w:w="29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9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Fuad El-Hibri</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 Chief Executive Officer and</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Chairman of the Board of Directors</w:t>
            </w:r>
          </w:p>
        </w:tc>
        <w:tc>
          <w:tcPr>
            <w:tcW w:w="34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3"/>
              <w:spacing w:after="0" w:line="181" w:lineRule="exact"/>
              <w:rPr>
                <w:sz w:val="20"/>
                <w:szCs w:val="20"/>
                <w:color w:val="auto"/>
              </w:rPr>
            </w:pPr>
            <w:r>
              <w:rPr>
                <w:rFonts w:ascii="Arial" w:cs="Arial" w:eastAsia="Arial" w:hAnsi="Arial"/>
                <w:sz w:val="16"/>
                <w:szCs w:val="16"/>
                <w:color w:val="auto"/>
              </w:rPr>
              <w:t>490,818</w:t>
            </w:r>
          </w:p>
        </w:tc>
        <w:tc>
          <w:tcPr>
            <w:tcW w:w="400" w:type="dxa"/>
            <w:vAlign w:val="bottom"/>
            <w:shd w:val="clear" w:color="auto" w:fill="CCEEFF"/>
          </w:tcPr>
          <w:p>
            <w:pPr>
              <w:jc w:val="right"/>
              <w:ind w:right="141"/>
              <w:spacing w:after="0" w:line="181"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84"/>
              <w:spacing w:after="0" w:line="181" w:lineRule="exact"/>
              <w:rPr>
                <w:sz w:val="20"/>
                <w:szCs w:val="20"/>
                <w:color w:val="auto"/>
              </w:rPr>
            </w:pPr>
            <w:r>
              <w:rPr>
                <w:rFonts w:ascii="Arial" w:cs="Arial" w:eastAsia="Arial" w:hAnsi="Arial"/>
                <w:sz w:val="16"/>
                <w:szCs w:val="16"/>
                <w:color w:val="auto"/>
              </w:rPr>
              <w:t>237,215</w:t>
            </w:r>
          </w:p>
        </w:tc>
        <w:tc>
          <w:tcPr>
            <w:tcW w:w="2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420"/>
              <w:spacing w:after="0" w:line="181" w:lineRule="exact"/>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215,782</w:t>
            </w:r>
          </w:p>
        </w:tc>
        <w:tc>
          <w:tcPr>
            <w:tcW w:w="460" w:type="dxa"/>
            <w:vAlign w:val="bottom"/>
            <w:shd w:val="clear" w:color="auto" w:fill="CCEEFF"/>
          </w:tcPr>
          <w:p>
            <w:pPr>
              <w:jc w:val="right"/>
              <w:ind w:right="86"/>
              <w:spacing w:after="0" w:line="181"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7,000(1)</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Arial" w:cs="Arial" w:eastAsia="Arial" w:hAnsi="Arial"/>
                <w:sz w:val="16"/>
                <w:szCs w:val="16"/>
                <w:color w:val="auto"/>
              </w:rPr>
              <w:t>Edward J. Arcuri, Ph.D.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200"/>
              <w:spacing w:after="0"/>
              <w:rPr>
                <w:sz w:val="20"/>
                <w:szCs w:val="20"/>
                <w:color w:val="auto"/>
              </w:rPr>
            </w:pPr>
            <w:r>
              <w:rPr>
                <w:rFonts w:ascii="Arial" w:cs="Arial" w:eastAsia="Arial" w:hAnsi="Arial"/>
                <w:sz w:val="16"/>
                <w:szCs w:val="16"/>
                <w:color w:val="auto"/>
              </w:rPr>
              <w:t>Executive Vice President and Chief</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0"/>
              <w:spacing w:after="0" w:line="181" w:lineRule="exact"/>
              <w:rPr>
                <w:sz w:val="20"/>
                <w:szCs w:val="20"/>
                <w:color w:val="auto"/>
              </w:rPr>
            </w:pPr>
            <w:r>
              <w:rPr>
                <w:rFonts w:ascii="Arial" w:cs="Arial" w:eastAsia="Arial" w:hAnsi="Arial"/>
                <w:sz w:val="16"/>
                <w:szCs w:val="16"/>
                <w:color w:val="auto"/>
              </w:rPr>
              <w:t>Operating Officer</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3"/>
              <w:spacing w:after="0" w:line="181" w:lineRule="exact"/>
              <w:rPr>
                <w:sz w:val="20"/>
                <w:szCs w:val="20"/>
                <w:color w:val="auto"/>
              </w:rPr>
            </w:pPr>
            <w:r>
              <w:rPr>
                <w:rFonts w:ascii="Arial" w:cs="Arial" w:eastAsia="Arial" w:hAnsi="Arial"/>
                <w:sz w:val="16"/>
                <w:szCs w:val="16"/>
                <w:color w:val="auto"/>
              </w:rPr>
              <w:t>280,192</w:t>
            </w:r>
          </w:p>
        </w:tc>
        <w:tc>
          <w:tcPr>
            <w:tcW w:w="400" w:type="dxa"/>
            <w:vAlign w:val="bottom"/>
          </w:tcPr>
          <w:p>
            <w:pPr>
              <w:spacing w:after="0"/>
              <w:rPr>
                <w:sz w:val="15"/>
                <w:szCs w:val="15"/>
                <w:color w:val="auto"/>
              </w:rPr>
            </w:pPr>
          </w:p>
        </w:tc>
        <w:tc>
          <w:tcPr>
            <w:tcW w:w="940" w:type="dxa"/>
            <w:vAlign w:val="bottom"/>
          </w:tcPr>
          <w:p>
            <w:pPr>
              <w:jc w:val="right"/>
              <w:ind w:right="84"/>
              <w:spacing w:after="0" w:line="181" w:lineRule="exact"/>
              <w:rPr>
                <w:sz w:val="20"/>
                <w:szCs w:val="20"/>
                <w:color w:val="auto"/>
              </w:rPr>
            </w:pPr>
            <w:r>
              <w:rPr>
                <w:rFonts w:ascii="Arial" w:cs="Arial" w:eastAsia="Arial" w:hAnsi="Arial"/>
                <w:sz w:val="16"/>
                <w:szCs w:val="16"/>
                <w:color w:val="auto"/>
              </w:rPr>
              <w:t>94,517</w:t>
            </w:r>
          </w:p>
        </w:tc>
        <w:tc>
          <w:tcPr>
            <w:tcW w:w="280" w:type="dxa"/>
            <w:vAlign w:val="bottom"/>
          </w:tcPr>
          <w:p>
            <w:pPr>
              <w:spacing w:after="0"/>
              <w:rPr>
                <w:sz w:val="15"/>
                <w:szCs w:val="15"/>
                <w:color w:val="auto"/>
              </w:rPr>
            </w:pPr>
          </w:p>
        </w:tc>
        <w:tc>
          <w:tcPr>
            <w:tcW w:w="1280" w:type="dxa"/>
            <w:vAlign w:val="bottom"/>
            <w:gridSpan w:val="2"/>
          </w:tcPr>
          <w:p>
            <w:pPr>
              <w:jc w:val="right"/>
              <w:ind w:right="420"/>
              <w:spacing w:after="0" w:line="181"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81" w:lineRule="exact"/>
              <w:rPr>
                <w:sz w:val="20"/>
                <w:szCs w:val="20"/>
                <w:color w:val="auto"/>
              </w:rPr>
            </w:pPr>
            <w:r>
              <w:rPr>
                <w:rFonts w:ascii="Arial" w:cs="Arial" w:eastAsia="Arial" w:hAnsi="Arial"/>
                <w:sz w:val="16"/>
                <w:szCs w:val="16"/>
                <w:color w:val="auto"/>
              </w:rPr>
              <w:t>115,083</w:t>
            </w:r>
          </w:p>
        </w:tc>
        <w:tc>
          <w:tcPr>
            <w:tcW w:w="460" w:type="dxa"/>
            <w:vAlign w:val="bottom"/>
          </w:tcPr>
          <w:p>
            <w:pPr>
              <w:spacing w:after="0"/>
              <w:rPr>
                <w:sz w:val="15"/>
                <w:szCs w:val="15"/>
                <w:color w:val="auto"/>
              </w:rPr>
            </w:pPr>
          </w:p>
        </w:tc>
        <w:tc>
          <w:tcPr>
            <w:tcW w:w="9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Robert G. Kramer, Sr.</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President and Chief Executive Officer,</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Emergent BioDefense Operations</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Lansing Inc.</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3"/>
              <w:spacing w:after="0" w:line="181" w:lineRule="exact"/>
              <w:rPr>
                <w:sz w:val="20"/>
                <w:szCs w:val="20"/>
                <w:color w:val="auto"/>
              </w:rPr>
            </w:pPr>
            <w:r>
              <w:rPr>
                <w:rFonts w:ascii="Arial" w:cs="Arial" w:eastAsia="Arial" w:hAnsi="Arial"/>
                <w:sz w:val="16"/>
                <w:szCs w:val="16"/>
                <w:color w:val="auto"/>
              </w:rPr>
              <w:t>371,192</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4"/>
              <w:spacing w:after="0" w:line="181" w:lineRule="exact"/>
              <w:rPr>
                <w:sz w:val="20"/>
                <w:szCs w:val="20"/>
                <w:color w:val="auto"/>
              </w:rPr>
            </w:pPr>
            <w:r>
              <w:rPr>
                <w:rFonts w:ascii="Arial" w:cs="Arial" w:eastAsia="Arial" w:hAnsi="Arial"/>
                <w:sz w:val="16"/>
                <w:szCs w:val="16"/>
                <w:color w:val="auto"/>
              </w:rPr>
              <w:t>140,816</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20"/>
              <w:spacing w:after="0" w:line="181" w:lineRule="exact"/>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115,083</w:t>
            </w:r>
          </w:p>
        </w:tc>
        <w:tc>
          <w:tcPr>
            <w:tcW w:w="4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7,000(1)</w:t>
            </w:r>
          </w:p>
        </w:tc>
        <w:tc>
          <w:tcPr>
            <w:tcW w:w="0" w:type="dxa"/>
            <w:vAlign w:val="bottom"/>
          </w:tcPr>
          <w:p>
            <w:pPr>
              <w:spacing w:after="0"/>
              <w:rPr>
                <w:sz w:val="1"/>
                <w:szCs w:val="1"/>
                <w:color w:val="auto"/>
              </w:rPr>
            </w:pPr>
          </w:p>
        </w:tc>
      </w:tr>
      <w:tr>
        <w:trPr>
          <w:trHeight w:val="185"/>
        </w:trPr>
        <w:tc>
          <w:tcPr>
            <w:tcW w:w="2980" w:type="dxa"/>
            <w:vAlign w:val="bottom"/>
          </w:tcPr>
          <w:p>
            <w:pPr>
              <w:spacing w:after="0"/>
              <w:rPr>
                <w:sz w:val="20"/>
                <w:szCs w:val="20"/>
                <w:color w:val="auto"/>
              </w:rPr>
            </w:pPr>
            <w:r>
              <w:rPr>
                <w:rFonts w:ascii="Arial" w:cs="Arial" w:eastAsia="Arial" w:hAnsi="Arial"/>
                <w:sz w:val="16"/>
                <w:szCs w:val="16"/>
                <w:color w:val="auto"/>
              </w:rPr>
              <w:t>Steven N. Chatfield, Ph.D.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200"/>
              <w:spacing w:after="0"/>
              <w:rPr>
                <w:sz w:val="20"/>
                <w:szCs w:val="20"/>
                <w:color w:val="auto"/>
              </w:rPr>
            </w:pPr>
            <w:r>
              <w:rPr>
                <w:rFonts w:ascii="Arial" w:cs="Arial" w:eastAsia="Arial" w:hAnsi="Arial"/>
                <w:sz w:val="16"/>
                <w:szCs w:val="16"/>
                <w:color w:val="auto"/>
              </w:rPr>
              <w:t>President, Emergent Product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200"/>
              <w:spacing w:after="0"/>
              <w:rPr>
                <w:sz w:val="20"/>
                <w:szCs w:val="20"/>
                <w:color w:val="auto"/>
              </w:rPr>
            </w:pPr>
            <w:r>
              <w:rPr>
                <w:rFonts w:ascii="Arial" w:cs="Arial" w:eastAsia="Arial" w:hAnsi="Arial"/>
                <w:sz w:val="16"/>
                <w:szCs w:val="16"/>
                <w:color w:val="auto"/>
              </w:rPr>
              <w:t>Development UK Limited and Chief</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200"/>
              <w:spacing w:after="0" w:line="181" w:lineRule="exact"/>
              <w:rPr>
                <w:sz w:val="20"/>
                <w:szCs w:val="20"/>
                <w:color w:val="auto"/>
              </w:rPr>
            </w:pPr>
            <w:r>
              <w:rPr>
                <w:rFonts w:ascii="Arial" w:cs="Arial" w:eastAsia="Arial" w:hAnsi="Arial"/>
                <w:sz w:val="16"/>
                <w:szCs w:val="16"/>
                <w:color w:val="auto"/>
              </w:rPr>
              <w:t>Scientific Officer</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23"/>
              <w:spacing w:after="0" w:line="181" w:lineRule="exact"/>
              <w:rPr>
                <w:sz w:val="20"/>
                <w:szCs w:val="20"/>
                <w:color w:val="auto"/>
              </w:rPr>
            </w:pPr>
            <w:r>
              <w:rPr>
                <w:rFonts w:ascii="Arial" w:cs="Arial" w:eastAsia="Arial" w:hAnsi="Arial"/>
                <w:sz w:val="16"/>
                <w:szCs w:val="16"/>
                <w:color w:val="auto"/>
              </w:rPr>
              <w:t>225,162</w:t>
            </w:r>
          </w:p>
        </w:tc>
        <w:tc>
          <w:tcPr>
            <w:tcW w:w="400" w:type="dxa"/>
            <w:vAlign w:val="bottom"/>
          </w:tcPr>
          <w:p>
            <w:pPr>
              <w:spacing w:after="0"/>
              <w:rPr>
                <w:sz w:val="15"/>
                <w:szCs w:val="15"/>
                <w:color w:val="auto"/>
              </w:rPr>
            </w:pPr>
          </w:p>
        </w:tc>
        <w:tc>
          <w:tcPr>
            <w:tcW w:w="940" w:type="dxa"/>
            <w:vAlign w:val="bottom"/>
          </w:tcPr>
          <w:p>
            <w:pPr>
              <w:jc w:val="right"/>
              <w:ind w:right="84"/>
              <w:spacing w:after="0" w:line="181" w:lineRule="exact"/>
              <w:rPr>
                <w:sz w:val="20"/>
                <w:szCs w:val="20"/>
                <w:color w:val="auto"/>
              </w:rPr>
            </w:pPr>
            <w:r>
              <w:rPr>
                <w:rFonts w:ascii="Arial" w:cs="Arial" w:eastAsia="Arial" w:hAnsi="Arial"/>
                <w:sz w:val="16"/>
                <w:szCs w:val="16"/>
                <w:color w:val="auto"/>
              </w:rPr>
              <w:t>82,250</w:t>
            </w:r>
          </w:p>
        </w:tc>
        <w:tc>
          <w:tcPr>
            <w:tcW w:w="280" w:type="dxa"/>
            <w:vAlign w:val="bottom"/>
          </w:tcPr>
          <w:p>
            <w:pPr>
              <w:spacing w:after="0"/>
              <w:rPr>
                <w:sz w:val="15"/>
                <w:szCs w:val="15"/>
                <w:color w:val="auto"/>
              </w:rPr>
            </w:pPr>
          </w:p>
        </w:tc>
        <w:tc>
          <w:tcPr>
            <w:tcW w:w="128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38,752(2)</w:t>
            </w:r>
          </w:p>
        </w:tc>
        <w:tc>
          <w:tcPr>
            <w:tcW w:w="1440" w:type="dxa"/>
            <w:vAlign w:val="bottom"/>
          </w:tcPr>
          <w:p>
            <w:pPr>
              <w:jc w:val="right"/>
              <w:spacing w:after="0" w:line="181" w:lineRule="exact"/>
              <w:rPr>
                <w:sz w:val="20"/>
                <w:szCs w:val="20"/>
                <w:color w:val="auto"/>
              </w:rPr>
            </w:pPr>
            <w:r>
              <w:rPr>
                <w:rFonts w:ascii="Arial" w:cs="Arial" w:eastAsia="Arial" w:hAnsi="Arial"/>
                <w:sz w:val="16"/>
                <w:szCs w:val="16"/>
                <w:color w:val="auto"/>
              </w:rPr>
              <w:t>57,542</w:t>
            </w:r>
          </w:p>
        </w:tc>
        <w:tc>
          <w:tcPr>
            <w:tcW w:w="460" w:type="dxa"/>
            <w:vAlign w:val="bottom"/>
          </w:tcPr>
          <w:p>
            <w:pPr>
              <w:spacing w:after="0"/>
              <w:rPr>
                <w:sz w:val="15"/>
                <w:szCs w:val="15"/>
                <w:color w:val="auto"/>
              </w:rPr>
            </w:pPr>
          </w:p>
        </w:tc>
        <w:tc>
          <w:tcPr>
            <w:tcW w:w="920" w:type="dxa"/>
            <w:vAlign w:val="bottom"/>
            <w:gridSpan w:val="2"/>
          </w:tcPr>
          <w:p>
            <w:pPr>
              <w:jc w:val="right"/>
              <w:ind w:right="20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980" w:type="dxa"/>
            <w:vAlign w:val="bottom"/>
            <w:shd w:val="clear" w:color="auto" w:fill="CCEEFF"/>
          </w:tcPr>
          <w:p>
            <w:pPr>
              <w:spacing w:after="0"/>
              <w:rPr>
                <w:sz w:val="20"/>
                <w:szCs w:val="20"/>
                <w:color w:val="auto"/>
              </w:rPr>
            </w:pPr>
            <w:r>
              <w:rPr>
                <w:rFonts w:ascii="Arial" w:cs="Arial" w:eastAsia="Arial" w:hAnsi="Arial"/>
                <w:sz w:val="16"/>
                <w:szCs w:val="16"/>
                <w:color w:val="auto"/>
              </w:rPr>
              <w:t>Daniel J. Abdun-Nabi</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Senior Vice President Corporate</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w w:val="99"/>
              </w:rPr>
              <w:t>Affairs, General Counsel and Secretary</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3"/>
              <w:spacing w:after="0" w:line="181" w:lineRule="exact"/>
              <w:rPr>
                <w:sz w:val="20"/>
                <w:szCs w:val="20"/>
                <w:color w:val="auto"/>
              </w:rPr>
            </w:pPr>
            <w:r>
              <w:rPr>
                <w:rFonts w:ascii="Arial" w:cs="Arial" w:eastAsia="Arial" w:hAnsi="Arial"/>
                <w:sz w:val="16"/>
                <w:szCs w:val="16"/>
                <w:color w:val="auto"/>
              </w:rPr>
              <w:t>272,631</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84"/>
              <w:spacing w:after="0" w:line="181" w:lineRule="exact"/>
              <w:rPr>
                <w:sz w:val="20"/>
                <w:szCs w:val="20"/>
                <w:color w:val="auto"/>
              </w:rPr>
            </w:pPr>
            <w:r>
              <w:rPr>
                <w:rFonts w:ascii="Arial" w:cs="Arial" w:eastAsia="Arial" w:hAnsi="Arial"/>
                <w:sz w:val="16"/>
                <w:szCs w:val="16"/>
                <w:color w:val="auto"/>
              </w:rPr>
              <w:t>110,400</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20"/>
              <w:spacing w:after="0" w:line="181" w:lineRule="exact"/>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line="181" w:lineRule="exact"/>
              <w:rPr>
                <w:sz w:val="20"/>
                <w:szCs w:val="20"/>
                <w:color w:val="auto"/>
              </w:rPr>
            </w:pPr>
            <w:r>
              <w:rPr>
                <w:rFonts w:ascii="Arial" w:cs="Arial" w:eastAsia="Arial" w:hAnsi="Arial"/>
                <w:sz w:val="16"/>
                <w:szCs w:val="16"/>
                <w:color w:val="auto"/>
              </w:rPr>
              <w:t>7,000(1)</w:t>
            </w: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320" w:hanging="310"/>
        <w:spacing w:after="0"/>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Represents the value of our contributions on behalf of the named executive officer to our 401(k) savings plan.</w:t>
      </w:r>
    </w:p>
    <w:p>
      <w:pPr>
        <w:spacing w:after="0" w:line="53" w:lineRule="exact"/>
        <w:rPr>
          <w:rFonts w:ascii="Arial" w:cs="Arial" w:eastAsia="Arial" w:hAnsi="Arial"/>
          <w:sz w:val="17"/>
          <w:szCs w:val="17"/>
          <w:color w:val="auto"/>
        </w:rPr>
      </w:pPr>
    </w:p>
    <w:p>
      <w:pPr>
        <w:ind w:left="320" w:hanging="310"/>
        <w:spacing w:after="0"/>
        <w:tabs>
          <w:tab w:leader="none" w:pos="3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Represents a relocation payment of $15,000 and a living allowance of $23,752.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143" w:name="page144"/>
    <w:bookmarkEnd w:id="143"/>
    <w:p>
      <w:pPr>
        <w:spacing w:after="0"/>
        <w:rPr>
          <w:sz w:val="20"/>
          <w:szCs w:val="20"/>
          <w:color w:val="auto"/>
        </w:rPr>
      </w:pPr>
      <w:r>
        <w:rPr>
          <w:rFonts w:ascii="Arial" w:cs="Arial" w:eastAsia="Arial" w:hAnsi="Arial"/>
          <w:sz w:val="21"/>
          <w:szCs w:val="21"/>
          <w:b w:val="1"/>
          <w:bCs w:val="1"/>
          <w:color w:val="auto"/>
        </w:rPr>
        <w:t>Stock option grants</w:t>
      </w:r>
    </w:p>
    <w:p>
      <w:pPr>
        <w:spacing w:after="0" w:line="144"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The following table sets forth information regarding grants of stock options to purchase shares of our common stock to our named executive officers during the year ended December 31, 2005. Immediately prior to the completion of this offering, each outstanding option to purchase shares of our class B common stock automatically will become an option to purchase an equal number of shares of our common stock.</w:t>
      </w:r>
    </w:p>
    <w:p>
      <w:pPr>
        <w:spacing w:after="0" w:line="9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Potential realizable values are calculated using the assumed initial public offering price of $15.00 per share, which is the midpoint of the price range set forth on the cover page of this prospectus, and assuming that the market price appreciates from this price at the indicated rate for the entire term of each option and that each option is exercised and sold on the last day of its term at the assumed appreciated price. The assumed 5% and 10% rates of stock price appreciation are required by the rules of the Securities and Exchange Commission and do not represent our estimate or projection of the future price of our common stock. Actual gains, if any, on stock option exercises depend on the future performance of our common stock and the date on which the options are exercised.</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Option grants in last fiscal year</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19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Potential realizable</w:t>
            </w:r>
          </w:p>
        </w:tc>
      </w:tr>
      <w:tr>
        <w:trPr>
          <w:trHeight w:val="157"/>
        </w:trPr>
        <w:tc>
          <w:tcPr>
            <w:tcW w:w="1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value at assumed</w:t>
            </w:r>
          </w:p>
        </w:tc>
      </w:tr>
      <w:tr>
        <w:trPr>
          <w:trHeight w:val="157"/>
        </w:trPr>
        <w:tc>
          <w:tcPr>
            <w:tcW w:w="1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60" w:type="dxa"/>
            <w:vAlign w:val="bottom"/>
          </w:tcPr>
          <w:p>
            <w:pPr>
              <w:jc w:val="right"/>
              <w:ind w:right="446"/>
              <w:spacing w:after="0" w:line="157" w:lineRule="exact"/>
              <w:rPr>
                <w:sz w:val="20"/>
                <w:szCs w:val="20"/>
                <w:color w:val="auto"/>
              </w:rPr>
            </w:pPr>
            <w:r>
              <w:rPr>
                <w:rFonts w:ascii="Arial" w:cs="Arial" w:eastAsia="Arial" w:hAnsi="Arial"/>
                <w:sz w:val="14"/>
                <w:szCs w:val="14"/>
                <w:b w:val="1"/>
                <w:bCs w:val="1"/>
                <w:color w:val="auto"/>
              </w:rPr>
              <w:t>Percentage of</w:t>
            </w: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annual rates of</w:t>
            </w:r>
          </w:p>
        </w:tc>
      </w:tr>
      <w:tr>
        <w:trPr>
          <w:trHeight w:val="157"/>
        </w:trPr>
        <w:tc>
          <w:tcPr>
            <w:tcW w:w="1960" w:type="dxa"/>
            <w:vAlign w:val="bottom"/>
          </w:tcPr>
          <w:p>
            <w:pPr>
              <w:spacing w:after="0"/>
              <w:rPr>
                <w:sz w:val="13"/>
                <w:szCs w:val="13"/>
                <w:color w:val="auto"/>
              </w:rPr>
            </w:pPr>
          </w:p>
        </w:tc>
        <w:tc>
          <w:tcPr>
            <w:tcW w:w="1500" w:type="dxa"/>
            <w:vAlign w:val="bottom"/>
          </w:tcPr>
          <w:p>
            <w:pPr>
              <w:jc w:val="right"/>
              <w:ind w:right="245"/>
              <w:spacing w:after="0" w:line="157" w:lineRule="exact"/>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right"/>
              <w:ind w:right="446"/>
              <w:spacing w:after="0" w:line="157" w:lineRule="exact"/>
              <w:rPr>
                <w:sz w:val="20"/>
                <w:szCs w:val="20"/>
                <w:color w:val="auto"/>
              </w:rPr>
            </w:pPr>
            <w:r>
              <w:rPr>
                <w:rFonts w:ascii="Arial" w:cs="Arial" w:eastAsia="Arial" w:hAnsi="Arial"/>
                <w:sz w:val="14"/>
                <w:szCs w:val="14"/>
                <w:b w:val="1"/>
                <w:bCs w:val="1"/>
                <w:color w:val="auto"/>
              </w:rPr>
              <w:t>total options</w:t>
            </w: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stock price</w:t>
            </w:r>
          </w:p>
        </w:tc>
      </w:tr>
      <w:tr>
        <w:trPr>
          <w:trHeight w:val="157"/>
        </w:trPr>
        <w:tc>
          <w:tcPr>
            <w:tcW w:w="1960" w:type="dxa"/>
            <w:vAlign w:val="bottom"/>
          </w:tcPr>
          <w:p>
            <w:pPr>
              <w:spacing w:after="0"/>
              <w:rPr>
                <w:sz w:val="13"/>
                <w:szCs w:val="13"/>
                <w:color w:val="auto"/>
              </w:rPr>
            </w:pPr>
          </w:p>
        </w:tc>
        <w:tc>
          <w:tcPr>
            <w:tcW w:w="1500" w:type="dxa"/>
            <w:vAlign w:val="bottom"/>
          </w:tcPr>
          <w:p>
            <w:pPr>
              <w:jc w:val="right"/>
              <w:ind w:right="245"/>
              <w:spacing w:after="0" w:line="157" w:lineRule="exact"/>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446"/>
              <w:spacing w:after="0" w:line="157" w:lineRule="exact"/>
              <w:rPr>
                <w:sz w:val="20"/>
                <w:szCs w:val="20"/>
                <w:color w:val="auto"/>
              </w:rPr>
            </w:pPr>
            <w:r>
              <w:rPr>
                <w:rFonts w:ascii="Arial" w:cs="Arial" w:eastAsia="Arial" w:hAnsi="Arial"/>
                <w:sz w:val="14"/>
                <w:szCs w:val="14"/>
                <w:b w:val="1"/>
                <w:bCs w:val="1"/>
                <w:color w:val="auto"/>
              </w:rPr>
              <w:t>granted to</w:t>
            </w:r>
          </w:p>
        </w:tc>
        <w:tc>
          <w:tcPr>
            <w:tcW w:w="1060" w:type="dxa"/>
            <w:vAlign w:val="bottom"/>
          </w:tcPr>
          <w:p>
            <w:pPr>
              <w:jc w:val="right"/>
              <w:ind w:right="285"/>
              <w:spacing w:after="0" w:line="157" w:lineRule="exact"/>
              <w:rPr>
                <w:sz w:val="20"/>
                <w:szCs w:val="20"/>
                <w:color w:val="auto"/>
              </w:rPr>
            </w:pPr>
            <w:r>
              <w:rPr>
                <w:rFonts w:ascii="Arial" w:cs="Arial" w:eastAsia="Arial" w:hAnsi="Arial"/>
                <w:sz w:val="14"/>
                <w:szCs w:val="14"/>
                <w:b w:val="1"/>
                <w:bCs w:val="1"/>
                <w:color w:val="auto"/>
              </w:rPr>
              <w:t>Exercise</w:t>
            </w: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appreciation for</w:t>
            </w:r>
          </w:p>
        </w:tc>
      </w:tr>
      <w:tr>
        <w:trPr>
          <w:trHeight w:val="169"/>
        </w:trPr>
        <w:tc>
          <w:tcPr>
            <w:tcW w:w="1960" w:type="dxa"/>
            <w:vAlign w:val="bottom"/>
          </w:tcPr>
          <w:p>
            <w:pPr>
              <w:spacing w:after="0"/>
              <w:rPr>
                <w:sz w:val="14"/>
                <w:szCs w:val="14"/>
                <w:color w:val="auto"/>
              </w:rPr>
            </w:pPr>
          </w:p>
        </w:tc>
        <w:tc>
          <w:tcPr>
            <w:tcW w:w="1500" w:type="dxa"/>
            <w:vAlign w:val="bottom"/>
          </w:tcPr>
          <w:p>
            <w:pPr>
              <w:jc w:val="right"/>
              <w:ind w:right="245"/>
              <w:spacing w:after="0"/>
              <w:rPr>
                <w:sz w:val="20"/>
                <w:szCs w:val="20"/>
                <w:color w:val="auto"/>
              </w:rPr>
            </w:pPr>
            <w:r>
              <w:rPr>
                <w:rFonts w:ascii="Arial" w:cs="Arial" w:eastAsia="Arial" w:hAnsi="Arial"/>
                <w:sz w:val="14"/>
                <w:szCs w:val="14"/>
                <w:b w:val="1"/>
                <w:bCs w:val="1"/>
                <w:color w:val="auto"/>
              </w:rPr>
              <w:t>underlying</w:t>
            </w:r>
          </w:p>
        </w:tc>
        <w:tc>
          <w:tcPr>
            <w:tcW w:w="1560" w:type="dxa"/>
            <w:vAlign w:val="bottom"/>
          </w:tcPr>
          <w:p>
            <w:pPr>
              <w:jc w:val="right"/>
              <w:ind w:right="446"/>
              <w:spacing w:after="0"/>
              <w:rPr>
                <w:sz w:val="20"/>
                <w:szCs w:val="20"/>
                <w:color w:val="auto"/>
              </w:rPr>
            </w:pPr>
            <w:r>
              <w:rPr>
                <w:rFonts w:ascii="Arial" w:cs="Arial" w:eastAsia="Arial" w:hAnsi="Arial"/>
                <w:sz w:val="14"/>
                <w:szCs w:val="14"/>
                <w:b w:val="1"/>
                <w:bCs w:val="1"/>
                <w:color w:val="auto"/>
              </w:rPr>
              <w:t>employees in</w:t>
            </w:r>
          </w:p>
        </w:tc>
        <w:tc>
          <w:tcPr>
            <w:tcW w:w="1060" w:type="dxa"/>
            <w:vAlign w:val="bottom"/>
          </w:tcPr>
          <w:p>
            <w:pPr>
              <w:jc w:val="right"/>
              <w:ind w:right="285"/>
              <w:spacing w:after="0"/>
              <w:rPr>
                <w:sz w:val="20"/>
                <w:szCs w:val="20"/>
                <w:color w:val="auto"/>
              </w:rPr>
            </w:pPr>
            <w:r>
              <w:rPr>
                <w:rFonts w:ascii="Arial" w:cs="Arial" w:eastAsia="Arial" w:hAnsi="Arial"/>
                <w:sz w:val="14"/>
                <w:szCs w:val="14"/>
                <w:b w:val="1"/>
                <w:bCs w:val="1"/>
                <w:color w:val="auto"/>
              </w:rPr>
              <w:t>price per</w:t>
            </w: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Expiration</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option term(1)</w:t>
            </w:r>
          </w:p>
        </w:tc>
      </w:tr>
      <w:tr>
        <w:trPr>
          <w:trHeight w:val="163"/>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options granted</w:t>
            </w:r>
          </w:p>
        </w:tc>
        <w:tc>
          <w:tcPr>
            <w:tcW w:w="156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share</w:t>
            </w:r>
          </w:p>
        </w:tc>
        <w:tc>
          <w:tcPr>
            <w:tcW w:w="124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date</w:t>
            </w: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 ($)</w:t>
            </w: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 ($)</w:t>
            </w:r>
          </w:p>
        </w:tc>
      </w:tr>
      <w:tr>
        <w:trPr>
          <w:trHeight w:val="32"/>
        </w:trPr>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Fuad El-Hibri</w:t>
            </w:r>
          </w:p>
        </w:tc>
        <w:tc>
          <w:tcPr>
            <w:tcW w:w="15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215,782(2)</w:t>
            </w:r>
          </w:p>
        </w:tc>
        <w:tc>
          <w:tcPr>
            <w:tcW w:w="15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30.0%   $</w:t>
            </w:r>
          </w:p>
        </w:tc>
        <w:tc>
          <w:tcPr>
            <w:tcW w:w="106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rPr>
              <w:t>3.50</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5/25/10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3,375,742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4,457,549</w:t>
            </w:r>
          </w:p>
        </w:tc>
      </w:tr>
      <w:tr>
        <w:trPr>
          <w:trHeight w:val="183"/>
        </w:trPr>
        <w:tc>
          <w:tcPr>
            <w:tcW w:w="1960" w:type="dxa"/>
            <w:vAlign w:val="bottom"/>
          </w:tcPr>
          <w:p>
            <w:pPr>
              <w:spacing w:after="0"/>
              <w:rPr>
                <w:sz w:val="20"/>
                <w:szCs w:val="20"/>
                <w:color w:val="auto"/>
              </w:rPr>
            </w:pPr>
            <w:r>
              <w:rPr>
                <w:rFonts w:ascii="Arial" w:cs="Arial" w:eastAsia="Arial" w:hAnsi="Arial"/>
                <w:sz w:val="16"/>
                <w:szCs w:val="16"/>
                <w:color w:val="auto"/>
              </w:rPr>
              <w:t>Edward J. Arcuri, Ph.D.</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115,083(3)</w:t>
            </w:r>
          </w:p>
        </w:tc>
        <w:tc>
          <w:tcPr>
            <w:tcW w:w="1560" w:type="dxa"/>
            <w:vAlign w:val="bottom"/>
          </w:tcPr>
          <w:p>
            <w:pPr>
              <w:jc w:val="right"/>
              <w:ind w:right="446"/>
              <w:spacing w:after="0"/>
              <w:rPr>
                <w:sz w:val="20"/>
                <w:szCs w:val="20"/>
                <w:color w:val="auto"/>
              </w:rPr>
            </w:pPr>
            <w:r>
              <w:rPr>
                <w:rFonts w:ascii="Arial" w:cs="Arial" w:eastAsia="Arial" w:hAnsi="Arial"/>
                <w:sz w:val="16"/>
                <w:szCs w:val="16"/>
                <w:color w:val="auto"/>
              </w:rPr>
              <w:t>16.0</w:t>
            </w: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2.74</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2/9/10</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1,887,847</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2,464,807</w:t>
            </w:r>
          </w:p>
        </w:tc>
      </w:tr>
      <w:tr>
        <w:trPr>
          <w:trHeight w:val="18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Robert G. Kramer, Sr.</w:t>
            </w:r>
          </w:p>
        </w:tc>
        <w:tc>
          <w:tcPr>
            <w:tcW w:w="15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115,083(2)</w:t>
            </w:r>
          </w:p>
        </w:tc>
        <w:tc>
          <w:tcPr>
            <w:tcW w:w="156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16.0</w:t>
            </w:r>
          </w:p>
        </w:tc>
        <w:tc>
          <w:tcPr>
            <w:tcW w:w="106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rPr>
              <w:t>3.50</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5/25/10</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1,800,384</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2,377,344</w:t>
            </w:r>
          </w:p>
        </w:tc>
      </w:tr>
      <w:tr>
        <w:trPr>
          <w:trHeight w:val="183"/>
        </w:trPr>
        <w:tc>
          <w:tcPr>
            <w:tcW w:w="1960" w:type="dxa"/>
            <w:vAlign w:val="bottom"/>
          </w:tcPr>
          <w:p>
            <w:pPr>
              <w:spacing w:after="0"/>
              <w:rPr>
                <w:sz w:val="20"/>
                <w:szCs w:val="20"/>
                <w:color w:val="auto"/>
              </w:rPr>
            </w:pPr>
            <w:r>
              <w:rPr>
                <w:rFonts w:ascii="Arial" w:cs="Arial" w:eastAsia="Arial" w:hAnsi="Arial"/>
                <w:sz w:val="16"/>
                <w:szCs w:val="16"/>
                <w:color w:val="auto"/>
              </w:rPr>
              <w:t>Steven N. Chatfield, Ph.D.</w:t>
            </w:r>
          </w:p>
        </w:tc>
        <w:tc>
          <w:tcPr>
            <w:tcW w:w="1500" w:type="dxa"/>
            <w:vAlign w:val="bottom"/>
          </w:tcPr>
          <w:p>
            <w:pPr>
              <w:jc w:val="right"/>
              <w:ind w:right="45"/>
              <w:spacing w:after="0"/>
              <w:rPr>
                <w:sz w:val="20"/>
                <w:szCs w:val="20"/>
                <w:color w:val="auto"/>
              </w:rPr>
            </w:pPr>
            <w:r>
              <w:rPr>
                <w:rFonts w:ascii="Arial" w:cs="Arial" w:eastAsia="Arial" w:hAnsi="Arial"/>
                <w:sz w:val="16"/>
                <w:szCs w:val="16"/>
                <w:color w:val="auto"/>
              </w:rPr>
              <w:t>57,542(3)</w:t>
            </w:r>
          </w:p>
        </w:tc>
        <w:tc>
          <w:tcPr>
            <w:tcW w:w="1560" w:type="dxa"/>
            <w:vAlign w:val="bottom"/>
          </w:tcPr>
          <w:p>
            <w:pPr>
              <w:jc w:val="right"/>
              <w:ind w:right="446"/>
              <w:spacing w:after="0"/>
              <w:rPr>
                <w:sz w:val="20"/>
                <w:szCs w:val="20"/>
                <w:color w:val="auto"/>
              </w:rPr>
            </w:pPr>
            <w:r>
              <w:rPr>
                <w:rFonts w:ascii="Arial" w:cs="Arial" w:eastAsia="Arial" w:hAnsi="Arial"/>
                <w:sz w:val="16"/>
                <w:szCs w:val="16"/>
                <w:color w:val="auto"/>
              </w:rPr>
              <w:t>8.0</w:t>
            </w:r>
          </w:p>
        </w:tc>
        <w:tc>
          <w:tcPr>
            <w:tcW w:w="1060" w:type="dxa"/>
            <w:vAlign w:val="bottom"/>
          </w:tcPr>
          <w:p>
            <w:pPr>
              <w:jc w:val="right"/>
              <w:ind w:right="285"/>
              <w:spacing w:after="0"/>
              <w:rPr>
                <w:sz w:val="20"/>
                <w:szCs w:val="20"/>
                <w:color w:val="auto"/>
              </w:rPr>
            </w:pPr>
            <w:r>
              <w:rPr>
                <w:rFonts w:ascii="Arial" w:cs="Arial" w:eastAsia="Arial" w:hAnsi="Arial"/>
                <w:sz w:val="16"/>
                <w:szCs w:val="16"/>
                <w:color w:val="auto"/>
              </w:rPr>
              <w:t>2.74</w:t>
            </w:r>
          </w:p>
        </w:tc>
        <w:tc>
          <w:tcPr>
            <w:tcW w:w="1240" w:type="dxa"/>
            <w:vAlign w:val="bottom"/>
          </w:tcPr>
          <w:p>
            <w:pPr>
              <w:jc w:val="right"/>
              <w:ind w:right="124"/>
              <w:spacing w:after="0"/>
              <w:rPr>
                <w:sz w:val="20"/>
                <w:szCs w:val="20"/>
                <w:color w:val="auto"/>
              </w:rPr>
            </w:pPr>
            <w:r>
              <w:rPr>
                <w:rFonts w:ascii="Arial" w:cs="Arial" w:eastAsia="Arial" w:hAnsi="Arial"/>
                <w:sz w:val="16"/>
                <w:szCs w:val="16"/>
                <w:color w:val="auto"/>
              </w:rPr>
              <w:t>2/9/10</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943,932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1,232,414</w:t>
            </w:r>
          </w:p>
        </w:tc>
      </w:tr>
      <w:tr>
        <w:trPr>
          <w:trHeight w:val="183"/>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Daniel J. Abdun-Nabi</w:t>
            </w:r>
          </w:p>
        </w:tc>
        <w:tc>
          <w:tcPr>
            <w:tcW w:w="150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20" w:right="340" w:hanging="310"/>
        <w:spacing w:after="0" w:line="250" w:lineRule="auto"/>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dollar amounts under these columns are the result of calculations at rates set by the Securities and Exchange Commission and, therefore, are not intended to forecast possible future appreciation, if any, in the price of the underlying common stock.</w:t>
      </w:r>
    </w:p>
    <w:p>
      <w:pPr>
        <w:spacing w:after="0" w:line="30" w:lineRule="exact"/>
        <w:rPr>
          <w:rFonts w:ascii="Arial" w:cs="Arial" w:eastAsia="Arial" w:hAnsi="Arial"/>
          <w:sz w:val="17"/>
          <w:szCs w:val="17"/>
          <w:color w:val="auto"/>
        </w:rPr>
      </w:pPr>
    </w:p>
    <w:p>
      <w:pPr>
        <w:ind w:left="320" w:right="180" w:hanging="310"/>
        <w:spacing w:after="0" w:line="258" w:lineRule="auto"/>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These options vest in three annual installments, with 40% of the original number of shares having vested on December 31, 2005 and 30% of the original number of shares vesting on each of December 31, 2006 and December 31, 2007.</w:t>
      </w:r>
    </w:p>
    <w:p>
      <w:pPr>
        <w:spacing w:after="0" w:line="24" w:lineRule="exact"/>
        <w:rPr>
          <w:rFonts w:ascii="Arial" w:cs="Arial" w:eastAsia="Arial" w:hAnsi="Arial"/>
          <w:sz w:val="17"/>
          <w:szCs w:val="17"/>
          <w:color w:val="auto"/>
        </w:rPr>
      </w:pPr>
    </w:p>
    <w:p>
      <w:pPr>
        <w:ind w:left="320" w:hanging="310"/>
        <w:spacing w:after="0"/>
        <w:tabs>
          <w:tab w:leader="none" w:pos="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These options vest in three equal annual installments beginning on December 31, 2005.</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 exercises and year-end option values</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following table sets forth information regarding the number of shares of our common stock issued upon option exercises by our named executive officers during the year ended December 31, 2005 and the value realized by our named executive officers. In addition, the table sets forth information regarding the number and value of unexercised options held by our named executive officers at December 31, 2005. There was no public trading market for our common stock as of December 31, 2005. Accordingly, as permitted by the rules of the Securities and Exchange Commission, we have calculated the value of unexercised in-the-money options at December 31, 2005 assuming that the fair market value of our</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144" w:name="page145"/>
    <w:bookmarkEnd w:id="144"/>
    <w:p>
      <w:pPr>
        <w:ind w:right="140"/>
        <w:spacing w:after="0" w:line="258" w:lineRule="auto"/>
        <w:rPr>
          <w:sz w:val="20"/>
          <w:szCs w:val="20"/>
          <w:color w:val="auto"/>
        </w:rPr>
      </w:pPr>
      <w:r>
        <w:rPr>
          <w:rFonts w:ascii="Arial" w:cs="Arial" w:eastAsia="Arial" w:hAnsi="Arial"/>
          <w:sz w:val="17"/>
          <w:szCs w:val="17"/>
          <w:color w:val="auto"/>
        </w:rPr>
        <w:t>common stock as of December 31, 2005 was equal to the assumed initial public offering price of $15.00 per share, which is the midpoint of the price range set forth on the cover page of this prospectus, less the aggregate exercise price.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Aggregated option exercises in last fiscal year and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fiscal year-end option values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157"/>
        </w:trPr>
        <w:tc>
          <w:tcPr>
            <w:tcW w:w="2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w w:val="99"/>
              </w:rPr>
              <w:t>underlying unexercised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Value of unexercised</w:t>
            </w:r>
          </w:p>
        </w:tc>
      </w:tr>
      <w:tr>
        <w:trPr>
          <w:trHeight w:val="157"/>
        </w:trPr>
        <w:tc>
          <w:tcPr>
            <w:tcW w:w="2060" w:type="dxa"/>
            <w:vAlign w:val="bottom"/>
          </w:tcPr>
          <w:p>
            <w:pPr>
              <w:spacing w:after="0"/>
              <w:rPr>
                <w:sz w:val="13"/>
                <w:szCs w:val="13"/>
                <w:color w:val="auto"/>
              </w:rPr>
            </w:pPr>
          </w:p>
        </w:tc>
        <w:tc>
          <w:tcPr>
            <w:tcW w:w="1500" w:type="dxa"/>
            <w:vAlign w:val="bottom"/>
          </w:tcPr>
          <w:p>
            <w:pPr>
              <w:jc w:val="right"/>
              <w:ind w:right="25"/>
              <w:spacing w:after="0" w:line="157" w:lineRule="exact"/>
              <w:rPr>
                <w:sz w:val="20"/>
                <w:szCs w:val="20"/>
                <w:color w:val="auto"/>
              </w:rPr>
            </w:pPr>
            <w:r>
              <w:rPr>
                <w:rFonts w:ascii="Arial" w:cs="Arial" w:eastAsia="Arial" w:hAnsi="Arial"/>
                <w:sz w:val="14"/>
                <w:szCs w:val="14"/>
                <w:b w:val="1"/>
                <w:bCs w:val="1"/>
                <w:color w:val="auto"/>
              </w:rPr>
              <w:t>Number of shares</w:t>
            </w:r>
          </w:p>
        </w:tc>
        <w:tc>
          <w:tcPr>
            <w:tcW w:w="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options at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60" w:type="dxa"/>
            <w:vAlign w:val="bottom"/>
            <w:gridSpan w:val="2"/>
          </w:tcPr>
          <w:p>
            <w:pPr>
              <w:jc w:val="right"/>
              <w:spacing w:after="0" w:line="157" w:lineRule="exact"/>
              <w:rPr>
                <w:sz w:val="20"/>
                <w:szCs w:val="20"/>
                <w:color w:val="auto"/>
              </w:rPr>
            </w:pPr>
            <w:r>
              <w:rPr>
                <w:rFonts w:ascii="Arial" w:cs="Arial" w:eastAsia="Arial" w:hAnsi="Arial"/>
                <w:sz w:val="14"/>
                <w:szCs w:val="14"/>
                <w:b w:val="1"/>
                <w:bCs w:val="1"/>
                <w:color w:val="auto"/>
              </w:rPr>
              <w:t>in-the-money options at</w:t>
            </w:r>
          </w:p>
        </w:tc>
      </w:tr>
      <w:tr>
        <w:trPr>
          <w:trHeight w:val="169"/>
        </w:trPr>
        <w:tc>
          <w:tcPr>
            <w:tcW w:w="2060" w:type="dxa"/>
            <w:vAlign w:val="bottom"/>
          </w:tcPr>
          <w:p>
            <w:pPr>
              <w:spacing w:after="0"/>
              <w:rPr>
                <w:sz w:val="14"/>
                <w:szCs w:val="14"/>
                <w:color w:val="auto"/>
              </w:rPr>
            </w:pPr>
          </w:p>
        </w:tc>
        <w:tc>
          <w:tcPr>
            <w:tcW w:w="1500" w:type="dxa"/>
            <w:vAlign w:val="bottom"/>
          </w:tcPr>
          <w:p>
            <w:pPr>
              <w:jc w:val="right"/>
              <w:ind w:right="25"/>
              <w:spacing w:after="0"/>
              <w:rPr>
                <w:sz w:val="20"/>
                <w:szCs w:val="20"/>
                <w:color w:val="auto"/>
              </w:rPr>
            </w:pPr>
            <w:r>
              <w:rPr>
                <w:rFonts w:ascii="Arial" w:cs="Arial" w:eastAsia="Arial" w:hAnsi="Arial"/>
                <w:sz w:val="14"/>
                <w:szCs w:val="14"/>
                <w:b w:val="1"/>
                <w:bCs w:val="1"/>
                <w:color w:val="auto"/>
              </w:rPr>
              <w:t>acquired on</w:t>
            </w:r>
          </w:p>
        </w:tc>
        <w:tc>
          <w:tcPr>
            <w:tcW w:w="680" w:type="dxa"/>
            <w:vAlign w:val="bottom"/>
          </w:tcPr>
          <w:p>
            <w:pPr>
              <w:jc w:val="right"/>
              <w:ind w:right="4"/>
              <w:spacing w:after="0"/>
              <w:rPr>
                <w:sz w:val="20"/>
                <w:szCs w:val="20"/>
                <w:color w:val="auto"/>
              </w:rPr>
            </w:pPr>
            <w:r>
              <w:rPr>
                <w:rFonts w:ascii="Arial" w:cs="Arial" w:eastAsia="Arial" w:hAnsi="Arial"/>
                <w:sz w:val="14"/>
                <w:szCs w:val="14"/>
                <w:b w:val="1"/>
                <w:bCs w:val="1"/>
                <w:color w:val="auto"/>
              </w:rPr>
              <w:t>Value</w:t>
            </w:r>
          </w:p>
        </w:tc>
        <w:tc>
          <w:tcPr>
            <w:tcW w:w="1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2005</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2005</w:t>
            </w:r>
          </w:p>
        </w:tc>
      </w:tr>
      <w:tr>
        <w:trPr>
          <w:trHeight w:val="163"/>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exercise</w:t>
            </w:r>
          </w:p>
        </w:tc>
        <w:tc>
          <w:tcPr>
            <w:tcW w:w="6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realized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Exercisable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Unexercisable</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Unexercisable</w:t>
            </w:r>
          </w:p>
        </w:tc>
      </w:tr>
      <w:tr>
        <w:trPr>
          <w:trHeight w:val="45"/>
        </w:trPr>
        <w:tc>
          <w:tcPr>
            <w:tcW w:w="20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Fuad El-Hibri</w:t>
            </w:r>
          </w:p>
        </w:tc>
        <w:tc>
          <w:tcPr>
            <w:tcW w:w="15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86,312</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129,470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992,588</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1,488,905</w:t>
            </w:r>
          </w:p>
        </w:tc>
      </w:tr>
      <w:tr>
        <w:trPr>
          <w:trHeight w:val="183"/>
        </w:trPr>
        <w:tc>
          <w:tcPr>
            <w:tcW w:w="2060" w:type="dxa"/>
            <w:vAlign w:val="bottom"/>
          </w:tcPr>
          <w:p>
            <w:pPr>
              <w:spacing w:after="0"/>
              <w:rPr>
                <w:sz w:val="20"/>
                <w:szCs w:val="20"/>
                <w:color w:val="auto"/>
              </w:rPr>
            </w:pPr>
            <w:r>
              <w:rPr>
                <w:rFonts w:ascii="Arial" w:cs="Arial" w:eastAsia="Arial" w:hAnsi="Arial"/>
                <w:sz w:val="16"/>
                <w:szCs w:val="16"/>
                <w:color w:val="auto"/>
              </w:rPr>
              <w:t>Edward J. Arcuri, Ph.D.</w:t>
            </w:r>
          </w:p>
        </w:tc>
        <w:tc>
          <w:tcPr>
            <w:tcW w:w="150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38,361</w:t>
            </w:r>
          </w:p>
        </w:tc>
        <w:tc>
          <w:tcPr>
            <w:tcW w:w="1580" w:type="dxa"/>
            <w:vAlign w:val="bottom"/>
          </w:tcPr>
          <w:p>
            <w:pPr>
              <w:jc w:val="right"/>
              <w:spacing w:after="0"/>
              <w:rPr>
                <w:sz w:val="20"/>
                <w:szCs w:val="20"/>
                <w:color w:val="auto"/>
              </w:rPr>
            </w:pPr>
            <w:r>
              <w:rPr>
                <w:rFonts w:ascii="Arial" w:cs="Arial" w:eastAsia="Arial" w:hAnsi="Arial"/>
                <w:sz w:val="16"/>
                <w:szCs w:val="16"/>
                <w:color w:val="auto"/>
              </w:rPr>
              <w:t>76,722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470,306</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940,612</w:t>
            </w: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Robert G. Kramer, Sr.</w:t>
            </w:r>
          </w:p>
        </w:tc>
        <w:tc>
          <w:tcPr>
            <w:tcW w:w="15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513,561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7,495,547</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794,075</w:t>
            </w:r>
          </w:p>
        </w:tc>
      </w:tr>
      <w:tr>
        <w:trPr>
          <w:trHeight w:val="183"/>
        </w:trPr>
        <w:tc>
          <w:tcPr>
            <w:tcW w:w="2060" w:type="dxa"/>
            <w:vAlign w:val="bottom"/>
          </w:tcPr>
          <w:p>
            <w:pPr>
              <w:spacing w:after="0"/>
              <w:rPr>
                <w:sz w:val="20"/>
                <w:szCs w:val="20"/>
                <w:color w:val="auto"/>
              </w:rPr>
            </w:pPr>
            <w:r>
              <w:rPr>
                <w:rFonts w:ascii="Arial" w:cs="Arial" w:eastAsia="Arial" w:hAnsi="Arial"/>
                <w:sz w:val="16"/>
                <w:szCs w:val="16"/>
                <w:color w:val="auto"/>
              </w:rPr>
              <w:t>Steven N. Chatfield, Ph.D.</w:t>
            </w:r>
          </w:p>
        </w:tc>
        <w:tc>
          <w:tcPr>
            <w:tcW w:w="150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19,181</w:t>
            </w:r>
          </w:p>
        </w:tc>
        <w:tc>
          <w:tcPr>
            <w:tcW w:w="1580" w:type="dxa"/>
            <w:vAlign w:val="bottom"/>
          </w:tcPr>
          <w:p>
            <w:pPr>
              <w:jc w:val="right"/>
              <w:spacing w:after="0"/>
              <w:rPr>
                <w:sz w:val="20"/>
                <w:szCs w:val="20"/>
                <w:color w:val="auto"/>
              </w:rPr>
            </w:pPr>
            <w:r>
              <w:rPr>
                <w:rFonts w:ascii="Arial" w:cs="Arial" w:eastAsia="Arial" w:hAnsi="Arial"/>
                <w:sz w:val="16"/>
                <w:szCs w:val="16"/>
                <w:color w:val="auto"/>
              </w:rPr>
              <w:t>38,361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235,159</w:t>
            </w:r>
          </w:p>
        </w:tc>
        <w:tc>
          <w:tcPr>
            <w:tcW w:w="2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470,306</w:t>
            </w:r>
          </w:p>
        </w:tc>
      </w:tr>
      <w:tr>
        <w:trPr>
          <w:trHeight w:val="183"/>
        </w:trPr>
        <w:tc>
          <w:tcPr>
            <w:tcW w:w="2060" w:type="dxa"/>
            <w:vAlign w:val="bottom"/>
            <w:shd w:val="clear" w:color="auto" w:fill="CCEEFF"/>
          </w:tcPr>
          <w:p>
            <w:pPr>
              <w:spacing w:after="0"/>
              <w:rPr>
                <w:sz w:val="20"/>
                <w:szCs w:val="20"/>
                <w:color w:val="auto"/>
              </w:rPr>
            </w:pPr>
            <w:r>
              <w:rPr>
                <w:rFonts w:ascii="Arial" w:cs="Arial" w:eastAsia="Arial" w:hAnsi="Arial"/>
                <w:sz w:val="16"/>
                <w:szCs w:val="16"/>
                <w:color w:val="auto"/>
              </w:rPr>
              <w:t>Daniel J. Abdun-Nabi</w:t>
            </w:r>
          </w:p>
        </w:tc>
        <w:tc>
          <w:tcPr>
            <w:tcW w:w="15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74,516</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31,936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913,566</w:t>
            </w: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391,535</w:t>
            </w: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agreement with Steven Chatfield, Ph.D.</w:t>
      </w:r>
    </w:p>
    <w:p>
      <w:pPr>
        <w:spacing w:after="0" w:line="14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September 2006, our wholly owned subsidiary, Emergent Product Development UK Limited, formerly Emergent Europe Limited, entered into an employment contract with Dr. Chatfield to serve as president of Emergent Product Development UK. Under this agreement, Dr. Chatfield is entitled to an annual base salary of £149,914, which may be reviewed annually in the discretion of Emergent Product Development UK. Dr. Chatfield is also eligible to participate in any bonus plan established by Emergent Product Development UK from time to time. Under the agreement, Emergent Product Development UK agreed to contribute 10% of Dr. Chatfield’s salary, which amount will be capped at Inland Revenue Limits, in equal monthly installments to a qualified pension plan, subject to Dr. Chatfield making monthly contributions to the qualified pension plan in an amount equal to 2.5% of his salary. Either party may terminate the agreement upon not less than six months’ prior written notice. Emergent Product Development UK may terminate Dr. Chatfield’s employment without prior notice for conduct amounting to gross misconduct or any other equivalent conduct or performance issues. Emergent Product Development UK may terminate</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Dr. Chatfield’s employment for cause, as defined in the agreement, upon providing the statutory minimum period of notice required under English law. Subject to any contrary provision of applicable law, Dr. Chatfield’s employment will end automatically without the need for notice of termination at the end of the month in which Dr. Chatfield reaches the age of 65.</w:t>
      </w:r>
    </w:p>
    <w:p>
      <w:pPr>
        <w:spacing w:after="0" w:line="9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Under the agreement, Dr. Chatfield is entitled to protections substantially similar to those in our severance plan and termination protection program, except Dr. Chatfield is not entitled to a gross-up payment with respect to applicable taxes in the circumstances provided in the severance plan and termination protection program. See “— Severance plan and termination protection program” for additional information about our severance plan and termination protection program. If Emergent Product Development UK terminates Dr. Chatfield’s employment without cause, as defined in the agreement, then Dr. Chatfield is entitled to 75% of his annual base salary and continued eligibility for employee benefits for a period of nine months following the date of termination. Dr. Chatfield is entitled to 100% of his annual base salary and continued eligibility for employee benefits for a period of 12 months following the date of termination of his employment under the circumstances described in the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color w:val="auto"/>
        </w:rPr>
        <w:t>severance plan and termination protection program in connection with a change of control, as defined in the agreement.</w:t>
      </w:r>
    </w:p>
    <w:p>
      <w:pPr>
        <w:spacing w:after="0" w:line="11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Under the terms of a prior employment contract with us, which has been superseded in all other respects, Dr. Chatfield remains subject to the following noncompetition obligations. Dr. Chatfield is prohibited from competing with us during the term of his employment and for a period thereafter of not less than six months and not more than 12 months as may be required by us, provided that we notify Dr. Chatfield in writing not less than three months prior to expiration of employment or any severance pay period, or in the event of termination by us for cause, at the time of termination, and that we continue to pay Dr. Chatfield 50% of his base salary in effect at termination during the additional period. Dr. Chatfield is also prohibited, during his term of employment and for a period of six months after termination of employment, from inducing or soliciting our employees, including any employees who left our employ within the previous six months, to leave our employ or inducing or soliciting customers, clients or business partners to reduce their relationship or breach their agreements with us. Dr. Chatfield is also bound by the terms of Emergent Product Development UK’s standard non-disclosure, invention and assignment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Dr. Chatfield currently serves as our chief scientific officer pursuant to a letter agreement dated July 11, 2006.</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Severance plan and termination protection program</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May 2006, our board of directors approved a severance plan and termination protection program effective April 1, 2006 for the benefit of employees with the title of chief executive officer, president, executive vice president, senior vice president or vice president who have been designated to participate in the severance plan by our board of directors or, with the authorization of our board of directors, by our chief executive officer. Our chief executive officer may designate the greater of 7% of the total number of our employees or 35 employees to be participants in the severance plan at any particular time, on the basis of name, title, function or compensation level. Our chief executive officer will at all times be a participant under the severance plan and shall have no less favorable rights under the severance plan than any other participant. Each of our executive officers based in the United States is currently a participant in the severance plan.</w:t>
      </w:r>
    </w:p>
    <w:p>
      <w:pPr>
        <w:spacing w:after="0" w:line="10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severance plan is effective through December 31, 2009. Commencing on December 31, 2009, and on December 31 of each year thereafter, the severance plan will automatically extend for additional one-year periods unless we provide 90 days’ prior written notice that the term will not be extended.</w:t>
      </w:r>
    </w:p>
    <w:p>
      <w:pPr>
        <w:spacing w:after="0" w:line="96"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If during the term of the severance plan, we terminate a participant’s employment without cause, as defined in the severance plan, then the participant will be entitled to:</w:t>
      </w:r>
    </w:p>
    <w:p>
      <w:pPr>
        <w:spacing w:after="0" w:line="90" w:lineRule="exact"/>
        <w:rPr>
          <w:sz w:val="20"/>
          <w:szCs w:val="20"/>
          <w:color w:val="auto"/>
        </w:rPr>
      </w:pPr>
    </w:p>
    <w:p>
      <w:pPr>
        <w:ind w:left="220" w:hanging="210"/>
        <w:spacing w:after="0"/>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unpaid base salary and accrued paid time-off through the date of termination;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pro rata target annual bonus in respect of the year of termination;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bonus earned but unpaid as of the date of termination for any previously completed year;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reimbursement for any unreimbursed expenses incurred by the participant prior to the date of termination;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 amount equal to a specified percentage of the participant’s annual base salary;</w:t>
      </w:r>
    </w:p>
    <w:p>
      <w:pPr>
        <w:spacing w:after="0" w:line="105" w:lineRule="exact"/>
        <w:rPr>
          <w:rFonts w:ascii="Arial" w:cs="Arial" w:eastAsia="Arial" w:hAnsi="Arial"/>
          <w:sz w:val="17"/>
          <w:szCs w:val="17"/>
          <w:color w:val="auto"/>
        </w:rPr>
      </w:pPr>
    </w:p>
    <w:p>
      <w:pPr>
        <w:ind w:left="220" w:right="420" w:hanging="210"/>
        <w:spacing w:after="0" w:line="258" w:lineRule="auto"/>
        <w:tabs>
          <w:tab w:leader="none" w:pos="2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employee and fringe benefits and perquisites, if any, to which the participant may be entitled as of the date of termination under our relevant plans, policies and programs; and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46" w:name="page147"/>
    <w:bookmarkEnd w:id="146"/>
    <w:p>
      <w:pPr>
        <w:ind w:left="220" w:right="120" w:hanging="210"/>
        <w:spacing w:after="0" w:line="250" w:lineRule="auto"/>
        <w:tabs>
          <w:tab w:leader="none" w:pos="2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96"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following table sets forth the percentage of base salary and the stated period for continued employee benefits that each of our executive officers who participates in the plan is entitled if we terminate the executive officer’s employment without cause.</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8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Stated period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140" w:type="dxa"/>
            <w:vAlign w:val="bottom"/>
          </w:tcPr>
          <w:p>
            <w:pPr>
              <w:jc w:val="right"/>
              <w:ind w:right="658"/>
              <w:spacing w:after="0" w:line="157" w:lineRule="exact"/>
              <w:rPr>
                <w:sz w:val="20"/>
                <w:szCs w:val="20"/>
                <w:color w:val="auto"/>
              </w:rPr>
            </w:pPr>
            <w:r>
              <w:rPr>
                <w:rFonts w:ascii="Arial" w:cs="Arial" w:eastAsia="Arial" w:hAnsi="Arial"/>
                <w:sz w:val="14"/>
                <w:szCs w:val="14"/>
                <w:b w:val="1"/>
                <w:bCs w:val="1"/>
                <w:color w:val="auto"/>
              </w:rPr>
              <w:t>Percentage of</w:t>
            </w:r>
          </w:p>
        </w:tc>
        <w:tc>
          <w:tcPr>
            <w:tcW w:w="14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for continued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140" w:type="dxa"/>
            <w:vAlign w:val="bottom"/>
          </w:tcPr>
          <w:p>
            <w:pPr>
              <w:jc w:val="right"/>
              <w:ind w:right="658"/>
              <w:spacing w:after="0" w:line="157" w:lineRule="exact"/>
              <w:rPr>
                <w:sz w:val="20"/>
                <w:szCs w:val="20"/>
                <w:color w:val="auto"/>
              </w:rPr>
            </w:pPr>
            <w:r>
              <w:rPr>
                <w:rFonts w:ascii="Arial" w:cs="Arial" w:eastAsia="Arial" w:hAnsi="Arial"/>
                <w:sz w:val="14"/>
                <w:szCs w:val="14"/>
                <w:b w:val="1"/>
                <w:bCs w:val="1"/>
                <w:color w:val="auto"/>
              </w:rPr>
              <w:t>annual base</w:t>
            </w:r>
          </w:p>
        </w:tc>
        <w:tc>
          <w:tcPr>
            <w:tcW w:w="14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employee</w:t>
            </w:r>
          </w:p>
        </w:tc>
        <w:tc>
          <w:tcPr>
            <w:tcW w:w="0" w:type="dxa"/>
            <w:vAlign w:val="bottom"/>
          </w:tcPr>
          <w:p>
            <w:pPr>
              <w:spacing w:after="0"/>
              <w:rPr>
                <w:sz w:val="1"/>
                <w:szCs w:val="1"/>
                <w:color w:val="auto"/>
              </w:rPr>
            </w:pPr>
          </w:p>
        </w:tc>
      </w:tr>
      <w:tr>
        <w:trPr>
          <w:trHeight w:val="182"/>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140" w:type="dxa"/>
            <w:vAlign w:val="bottom"/>
          </w:tcPr>
          <w:p>
            <w:pPr>
              <w:jc w:val="right"/>
              <w:ind w:right="658"/>
              <w:spacing w:after="0"/>
              <w:rPr>
                <w:sz w:val="20"/>
                <w:szCs w:val="20"/>
                <w:color w:val="auto"/>
              </w:rPr>
            </w:pPr>
            <w:r>
              <w:rPr>
                <w:rFonts w:ascii="Arial" w:cs="Arial" w:eastAsia="Arial" w:hAnsi="Arial"/>
                <w:sz w:val="14"/>
                <w:szCs w:val="14"/>
                <w:b w:val="1"/>
                <w:bCs w:val="1"/>
                <w:color w:val="auto"/>
              </w:rPr>
              <w:t>salary</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280" w:type="dxa"/>
            <w:vAlign w:val="bottom"/>
            <w:tcBorders>
              <w:top w:val="single" w:sz="8" w:color="auto"/>
            </w:tcBorders>
          </w:tcPr>
          <w:p>
            <w:pPr>
              <w:spacing w:after="0"/>
              <w:rPr>
                <w:sz w:val="3"/>
                <w:szCs w:val="3"/>
                <w:color w:val="auto"/>
              </w:rPr>
            </w:pPr>
          </w:p>
        </w:tc>
        <w:tc>
          <w:tcPr>
            <w:tcW w:w="41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Fuad El-Hibri</w:t>
            </w:r>
          </w:p>
        </w:tc>
        <w:tc>
          <w:tcPr>
            <w:tcW w:w="41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150%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Robert G. Kramer, Sr.</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Edward J. Arcuri, Ph.D.</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Daniel J. Abdun-Nabi</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Kyle W. Keese</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Thomas K. Zink, M.D.</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75</w:t>
            </w:r>
          </w:p>
        </w:tc>
        <w:tc>
          <w:tcPr>
            <w:tcW w:w="1480" w:type="dxa"/>
            <w:vAlign w:val="bottom"/>
          </w:tcPr>
          <w:p>
            <w:pPr>
              <w:jc w:val="right"/>
              <w:spacing w:after="0"/>
              <w:rPr>
                <w:sz w:val="20"/>
                <w:szCs w:val="20"/>
                <w:color w:val="auto"/>
              </w:rPr>
            </w:pPr>
            <w:r>
              <w:rPr>
                <w:rFonts w:ascii="Arial" w:cs="Arial" w:eastAsia="Arial" w:hAnsi="Arial"/>
                <w:sz w:val="17"/>
                <w:szCs w:val="17"/>
                <w:color w:val="auto"/>
              </w:rPr>
              <w:t>9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R. Don Elsey</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75</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months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We may pay any amount under the severance plan, in our sole and absolute discretion, either in a single lump sum amount within 30 days following termination or in equal monthly installments over the same stated period during which we have agreed to provide continued employee benefits to the terminated employee.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As a condition to payment of any amounts under the severance plan, the participant is required:</w:t>
      </w:r>
    </w:p>
    <w:p>
      <w:pPr>
        <w:spacing w:after="0" w:line="119" w:lineRule="exact"/>
        <w:rPr>
          <w:sz w:val="20"/>
          <w:szCs w:val="20"/>
          <w:color w:val="auto"/>
        </w:rPr>
      </w:pPr>
    </w:p>
    <w:p>
      <w:pPr>
        <w:ind w:left="220" w:right="80" w:hanging="210"/>
        <w:spacing w:after="0" w:line="258" w:lineRule="auto"/>
        <w:tabs>
          <w:tab w:leader="none" w:pos="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for the same stated period during which we have agreed to provide continued employee benefits to the terminated employee, not to:</w:t>
      </w:r>
    </w:p>
    <w:p>
      <w:pPr>
        <w:spacing w:after="0" w:line="90" w:lineRule="exact"/>
        <w:rPr>
          <w:rFonts w:ascii="Arial" w:cs="Arial" w:eastAsia="Arial" w:hAnsi="Arial"/>
          <w:sz w:val="17"/>
          <w:szCs w:val="17"/>
          <w:color w:val="auto"/>
        </w:rPr>
      </w:pPr>
    </w:p>
    <w:p>
      <w:pPr>
        <w:ind w:left="500" w:right="140" w:hanging="189"/>
        <w:spacing w:after="0" w:line="258" w:lineRule="auto"/>
        <w:tabs>
          <w:tab w:leader="none" w:pos="5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induce, counsel, advise, solicit or encourage our employees to leave our employ or to accept employment with any other person or entity,</w:t>
      </w:r>
    </w:p>
    <w:p>
      <w:pPr>
        <w:spacing w:after="0" w:line="77" w:lineRule="exact"/>
        <w:rPr>
          <w:rFonts w:ascii="Arial" w:cs="Arial" w:eastAsia="Arial" w:hAnsi="Arial"/>
          <w:sz w:val="17"/>
          <w:szCs w:val="17"/>
          <w:color w:val="auto"/>
        </w:rPr>
      </w:pPr>
    </w:p>
    <w:p>
      <w:pPr>
        <w:ind w:left="500" w:right="200" w:hanging="189"/>
        <w:spacing w:after="0" w:line="258" w:lineRule="auto"/>
        <w:tabs>
          <w:tab w:leader="none" w:pos="5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induce, counsel, advise, solicit or encourage any person who we employed within six months prior to that time to accept employment with any person or entity besides us or hire or engage that person as an independent contractor,</w:t>
      </w:r>
    </w:p>
    <w:p>
      <w:pPr>
        <w:spacing w:after="0" w:line="77" w:lineRule="exact"/>
        <w:rPr>
          <w:rFonts w:ascii="Arial" w:cs="Arial" w:eastAsia="Arial" w:hAnsi="Arial"/>
          <w:sz w:val="17"/>
          <w:szCs w:val="17"/>
          <w:color w:val="auto"/>
        </w:rPr>
      </w:pPr>
    </w:p>
    <w:p>
      <w:pPr>
        <w:ind w:left="500" w:right="80" w:hanging="189"/>
        <w:spacing w:after="0" w:line="250" w:lineRule="auto"/>
        <w:tabs>
          <w:tab w:leader="none" w:pos="5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83" w:lineRule="exact"/>
        <w:rPr>
          <w:rFonts w:ascii="Arial" w:cs="Arial" w:eastAsia="Arial" w:hAnsi="Arial"/>
          <w:sz w:val="17"/>
          <w:szCs w:val="17"/>
          <w:color w:val="auto"/>
        </w:rPr>
      </w:pPr>
    </w:p>
    <w:p>
      <w:pPr>
        <w:ind w:left="500" w:right="20" w:hanging="189"/>
        <w:spacing w:after="0" w:line="258" w:lineRule="auto"/>
        <w:tabs>
          <w:tab w:leader="none" w:pos="500" w:val="left"/>
        </w:tabs>
        <w:numPr>
          <w:ilvl w:val="1"/>
          <w:numId w:val="98"/>
        </w:numPr>
        <w:rPr>
          <w:rFonts w:ascii="Arial" w:cs="Arial" w:eastAsia="Arial" w:hAnsi="Arial"/>
          <w:sz w:val="17"/>
          <w:szCs w:val="17"/>
          <w:color w:val="auto"/>
        </w:rPr>
      </w:pPr>
      <w:r>
        <w:rPr>
          <w:rFonts w:ascii="Arial" w:cs="Arial" w:eastAsia="Arial" w:hAnsi="Arial"/>
          <w:sz w:val="17"/>
          <w:szCs w:val="17"/>
          <w:color w:val="auto"/>
        </w:rPr>
        <w:t>engage in or have a financial interest in any business competing with us within any state, region or locality in which we are then doing business or marketing products;</w:t>
      </w:r>
    </w:p>
    <w:p>
      <w:pPr>
        <w:spacing w:after="0" w:line="90" w:lineRule="exact"/>
        <w:rPr>
          <w:rFonts w:ascii="Arial" w:cs="Arial" w:eastAsia="Arial" w:hAnsi="Arial"/>
          <w:sz w:val="17"/>
          <w:szCs w:val="17"/>
          <w:color w:val="auto"/>
        </w:rPr>
      </w:pPr>
    </w:p>
    <w:p>
      <w:pPr>
        <w:ind w:left="220" w:right="360" w:hanging="210"/>
        <w:spacing w:after="0" w:line="250" w:lineRule="auto"/>
        <w:tabs>
          <w:tab w:leader="none" w:pos="2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7" w:right="1039" w:bottom="1440" w:gutter="0" w:footer="0" w:header="0"/>
        </w:sectPr>
      </w:pPr>
    </w:p>
    <w:bookmarkStart w:id="147" w:name="page148"/>
    <w:bookmarkEnd w:id="147"/>
    <w:p>
      <w:pPr>
        <w:ind w:left="220" w:right="580" w:hanging="210"/>
        <w:spacing w:after="0" w:line="258" w:lineRule="auto"/>
        <w:tabs>
          <w:tab w:leader="none" w:pos="2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sign and deliver a suitable waiver and release under which the participant will release and discharge us from and on account of any and all claims that relate to or arise out of our employment relationship.</w:t>
      </w:r>
    </w:p>
    <w:p>
      <w:pPr>
        <w:spacing w:after="0" w:line="90" w:lineRule="exact"/>
        <w:rPr>
          <w:sz w:val="20"/>
          <w:szCs w:val="20"/>
          <w:color w:val="auto"/>
        </w:rPr>
      </w:pPr>
    </w:p>
    <w:p>
      <w:pPr>
        <w:ind w:right="480"/>
        <w:spacing w:after="0" w:line="258" w:lineRule="auto"/>
        <w:rPr>
          <w:sz w:val="20"/>
          <w:szCs w:val="20"/>
          <w:color w:val="auto"/>
        </w:rPr>
      </w:pPr>
      <w:r>
        <w:rPr>
          <w:rFonts w:ascii="Arial" w:cs="Arial" w:eastAsia="Arial" w:hAnsi="Arial"/>
          <w:sz w:val="17"/>
          <w:szCs w:val="17"/>
          <w:color w:val="auto"/>
        </w:rPr>
        <w:t>In connection with our implementation of the severance plan, in August 2006, we agreed to the following modifications and clarifications to Mr. El-Hibri’s contractual obligations and duties:</w:t>
      </w:r>
    </w:p>
    <w:p>
      <w:pPr>
        <w:spacing w:after="0" w:line="90" w:lineRule="exact"/>
        <w:rPr>
          <w:sz w:val="20"/>
          <w:szCs w:val="20"/>
          <w:color w:val="auto"/>
        </w:rPr>
      </w:pPr>
    </w:p>
    <w:p>
      <w:pPr>
        <w:ind w:left="220" w:hanging="210"/>
        <w:spacing w:after="0" w:line="244" w:lineRule="auto"/>
        <w:tabs>
          <w:tab w:leader="none" w:pos="2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Mr. El-Hibri’s service as chairman of Digicel Holdings, which service terminated in October 2006, and his service as chairman of East West Resources, general manager of Intervac, L.L.C. and Intervac Management, L.L.C., a member of the board of trustees of American University, a member of the board of directors of the International Biomedical Research Alliance and director and treasurer of El-Hibri Charitable Foundation and his management of his personal investments at levels of time and attention comparable to those that Mr. El-Hibri provided to such entities within the preceding twelve months, do not violate his contractual obligations to us or interfere with his ability to perform his duties to us;</w:t>
      </w:r>
    </w:p>
    <w:p>
      <w:pPr>
        <w:spacing w:after="0" w:line="103" w:lineRule="exact"/>
        <w:rPr>
          <w:rFonts w:ascii="Arial" w:cs="Arial" w:eastAsia="Arial" w:hAnsi="Arial"/>
          <w:sz w:val="17"/>
          <w:szCs w:val="17"/>
          <w:color w:val="auto"/>
        </w:rPr>
      </w:pPr>
    </w:p>
    <w:p>
      <w:pPr>
        <w:ind w:left="220" w:right="180" w:hanging="210"/>
        <w:spacing w:after="0" w:line="247" w:lineRule="auto"/>
        <w:tabs>
          <w:tab w:leader="none" w:pos="2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it is not a violation of Mr. El-Hibri’s contractual obligations to us if he pursues a business transaction or opportunity where such transaction or opportunity was first presented to Mr. El-Hibri in his capacity as an officer or director of the entities listed above or where such transaction or opportunity was first presented to us and our board of directors declined to pursue such transaction or opportunity; and</w:t>
      </w:r>
    </w:p>
    <w:p>
      <w:pPr>
        <w:spacing w:after="0" w:line="85" w:lineRule="exact"/>
        <w:rPr>
          <w:rFonts w:ascii="Arial" w:cs="Arial" w:eastAsia="Arial" w:hAnsi="Arial"/>
          <w:sz w:val="17"/>
          <w:szCs w:val="17"/>
          <w:color w:val="auto"/>
        </w:rPr>
      </w:pPr>
    </w:p>
    <w:p>
      <w:pPr>
        <w:ind w:left="220" w:right="300" w:hanging="210"/>
        <w:spacing w:after="0" w:line="247" w:lineRule="auto"/>
        <w:tabs>
          <w:tab w:leader="none" w:pos="2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with respect to three employees who, at Mr. El-Hibri’s invitation, left their employment with East West Resources to accept employment with us, it is not a violation of Mr. El-Hibri’s non-solicitation agreement to induce, counsel, advise, solicit or encourage, or attempt to induce, counsel, advise, solicit or encourage those employees to return to employment with East West Resources.</w:t>
      </w:r>
    </w:p>
    <w:p>
      <w:pPr>
        <w:spacing w:after="0" w:line="99"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color w:val="auto"/>
        </w:rPr>
        <w:t>If during the term of the severance plan, we terminate a participant’s employment with cause, then the participant will not be entitled to receive any compensation, benefits or rights under the severance plan, and any stock options or other equity participation benefits vested on or prior to the date of the termination, but not yet exercised, will immediately terminate.</w:t>
      </w:r>
    </w:p>
    <w:p>
      <w:pPr>
        <w:spacing w:after="0" w:line="9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If during the term of the severance plan, we terminate a participant’s employment without cause or a participant resigns for good reason, as defined in the severance plan, in each case within 18 months following a change of control, as defined in the severance plan, or we terminate a participant’s employment prior to a change of control, which subsequently occurs, at the request of a party involved in the change of control, or otherwise in connection with or in anticipation of a change of control, then the participant will be entitled to:</w:t>
      </w:r>
    </w:p>
    <w:p>
      <w:pPr>
        <w:spacing w:after="0" w:line="102" w:lineRule="exact"/>
        <w:rPr>
          <w:sz w:val="20"/>
          <w:szCs w:val="20"/>
          <w:color w:val="auto"/>
        </w:rPr>
      </w:pPr>
    </w:p>
    <w:p>
      <w:pPr>
        <w:ind w:left="220" w:hanging="210"/>
        <w:spacing w:after="0"/>
        <w:tabs>
          <w:tab w:leader="none" w:pos="2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 lump sum amount, payable within 30 days following the date of termination, equal to the sum of:</w:t>
      </w:r>
    </w:p>
    <w:p>
      <w:pPr>
        <w:spacing w:after="0" w:line="118" w:lineRule="exact"/>
        <w:rPr>
          <w:rFonts w:ascii="Arial" w:cs="Arial" w:eastAsia="Arial" w:hAnsi="Arial"/>
          <w:sz w:val="17"/>
          <w:szCs w:val="17"/>
          <w:color w:val="auto"/>
        </w:rPr>
      </w:pPr>
    </w:p>
    <w:p>
      <w:pPr>
        <w:ind w:left="500" w:hanging="189"/>
        <w:spacing w:after="0"/>
        <w:tabs>
          <w:tab w:leader="none" w:pos="5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unpaid base salary and accrued paid time-off through the date of termination,</w:t>
      </w:r>
    </w:p>
    <w:p>
      <w:pPr>
        <w:spacing w:after="0" w:line="105" w:lineRule="exact"/>
        <w:rPr>
          <w:rFonts w:ascii="Arial" w:cs="Arial" w:eastAsia="Arial" w:hAnsi="Arial"/>
          <w:sz w:val="17"/>
          <w:szCs w:val="17"/>
          <w:color w:val="auto"/>
        </w:rPr>
      </w:pPr>
    </w:p>
    <w:p>
      <w:pPr>
        <w:ind w:left="500" w:hanging="189"/>
        <w:spacing w:after="0"/>
        <w:tabs>
          <w:tab w:leader="none" w:pos="5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 pro rata target annual bonus in respect of the year of termination,</w:t>
      </w:r>
    </w:p>
    <w:p>
      <w:pPr>
        <w:spacing w:after="0" w:line="105" w:lineRule="exact"/>
        <w:rPr>
          <w:rFonts w:ascii="Arial" w:cs="Arial" w:eastAsia="Arial" w:hAnsi="Arial"/>
          <w:sz w:val="17"/>
          <w:szCs w:val="17"/>
          <w:color w:val="auto"/>
        </w:rPr>
      </w:pPr>
    </w:p>
    <w:p>
      <w:pPr>
        <w:ind w:left="500" w:hanging="189"/>
        <w:spacing w:after="0"/>
        <w:tabs>
          <w:tab w:leader="none" w:pos="5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bonus earned but unpaid as of the date of termination for any previously completed year,</w:t>
      </w:r>
    </w:p>
    <w:p>
      <w:pPr>
        <w:spacing w:after="0" w:line="105" w:lineRule="exact"/>
        <w:rPr>
          <w:rFonts w:ascii="Arial" w:cs="Arial" w:eastAsia="Arial" w:hAnsi="Arial"/>
          <w:sz w:val="17"/>
          <w:szCs w:val="17"/>
          <w:color w:val="auto"/>
        </w:rPr>
      </w:pPr>
    </w:p>
    <w:p>
      <w:pPr>
        <w:ind w:left="500" w:hanging="189"/>
        <w:spacing w:after="0"/>
        <w:tabs>
          <w:tab w:leader="none" w:pos="5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unreimbursed expenses incurred by the participant prior to the date of termination, and</w:t>
      </w:r>
    </w:p>
    <w:p>
      <w:pPr>
        <w:spacing w:after="0" w:line="105" w:lineRule="exact"/>
        <w:rPr>
          <w:rFonts w:ascii="Arial" w:cs="Arial" w:eastAsia="Arial" w:hAnsi="Arial"/>
          <w:sz w:val="17"/>
          <w:szCs w:val="17"/>
          <w:color w:val="auto"/>
        </w:rPr>
      </w:pPr>
    </w:p>
    <w:p>
      <w:pPr>
        <w:ind w:left="500" w:right="40" w:hanging="189"/>
        <w:spacing w:after="0" w:line="250" w:lineRule="auto"/>
        <w:tabs>
          <w:tab w:leader="none" w:pos="5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 amount equal to a specified percentage of the sum of the participant’s base salary and the greater of the annual bonus that was paid to the participant in respect of the most recently completed year or the maximum annual bonus that could have been paid to the participant under an established bonus plan for the most recently completed year;</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7" w:right="1059" w:bottom="1440" w:gutter="0" w:footer="0" w:header="0"/>
        </w:sectPr>
      </w:pPr>
    </w:p>
    <w:bookmarkStart w:id="148" w:name="page149"/>
    <w:bookmarkEnd w:id="148"/>
    <w:p>
      <w:pPr>
        <w:ind w:left="220" w:right="220" w:hanging="210"/>
        <w:spacing w:after="0" w:line="258" w:lineRule="auto"/>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employee and fringe benefits and perquisites, if any, to which the participant may be entitled as of the date of termination of employment under our relevant plans, policies and programs;</w:t>
      </w:r>
    </w:p>
    <w:p>
      <w:pPr>
        <w:spacing w:after="0" w:line="24" w:lineRule="exact"/>
        <w:rPr>
          <w:rFonts w:ascii="Arial" w:cs="Arial" w:eastAsia="Arial" w:hAnsi="Arial"/>
          <w:sz w:val="17"/>
          <w:szCs w:val="17"/>
          <w:color w:val="auto"/>
        </w:rPr>
      </w:pPr>
    </w:p>
    <w:p>
      <w:pPr>
        <w:ind w:left="220" w:right="60" w:hanging="210"/>
        <w:spacing w:after="0" w:line="244" w:lineRule="auto"/>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unvested stock options held by the participant that are outstanding on the date of termination will become fully vested as of that date, and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38" w:lineRule="exact"/>
        <w:rPr>
          <w:rFonts w:ascii="Arial" w:cs="Arial" w:eastAsia="Arial" w:hAnsi="Arial"/>
          <w:sz w:val="17"/>
          <w:szCs w:val="17"/>
          <w:color w:val="auto"/>
        </w:rPr>
      </w:pPr>
    </w:p>
    <w:p>
      <w:pPr>
        <w:ind w:left="220" w:right="120" w:hanging="210"/>
        <w:spacing w:after="0" w:line="250" w:lineRule="auto"/>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continued eligibility for the participant and his or her eligible dependents to receive employee benefits, for a stated period following the participant’s date of termination, except when the provision of employee benefits would result in a duplication of benefits provided by any subsequent employer;</w:t>
      </w:r>
    </w:p>
    <w:p>
      <w:pPr>
        <w:spacing w:after="0" w:line="30" w:lineRule="exact"/>
        <w:rPr>
          <w:rFonts w:ascii="Arial" w:cs="Arial" w:eastAsia="Arial" w:hAnsi="Arial"/>
          <w:sz w:val="17"/>
          <w:szCs w:val="17"/>
          <w:color w:val="auto"/>
        </w:rPr>
      </w:pPr>
    </w:p>
    <w:p>
      <w:pPr>
        <w:ind w:left="220" w:hanging="210"/>
        <w:spacing w:after="0"/>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gross-up payment with respect to applicable taxes on any payment to the participant;</w:t>
      </w:r>
    </w:p>
    <w:p>
      <w:pPr>
        <w:spacing w:after="0" w:line="53" w:lineRule="exact"/>
        <w:rPr>
          <w:rFonts w:ascii="Arial" w:cs="Arial" w:eastAsia="Arial" w:hAnsi="Arial"/>
          <w:sz w:val="17"/>
          <w:szCs w:val="17"/>
          <w:color w:val="auto"/>
        </w:rPr>
      </w:pPr>
    </w:p>
    <w:p>
      <w:pPr>
        <w:ind w:left="220" w:right="40" w:hanging="210"/>
        <w:spacing w:after="0" w:line="250" w:lineRule="auto"/>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30" w:lineRule="exact"/>
        <w:rPr>
          <w:rFonts w:ascii="Arial" w:cs="Arial" w:eastAsia="Arial" w:hAnsi="Arial"/>
          <w:sz w:val="17"/>
          <w:szCs w:val="17"/>
          <w:color w:val="auto"/>
        </w:rPr>
      </w:pPr>
    </w:p>
    <w:p>
      <w:pPr>
        <w:ind w:left="220" w:right="300" w:hanging="210"/>
        <w:spacing w:after="0" w:line="247" w:lineRule="auto"/>
        <w:tabs>
          <w:tab w:leader="none" w:pos="2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severance plan, for which the participant will have no obligation to reimburse us if the participant prevails in the proceeding with respect to at least one material issue or the proceeding is settled.</w:t>
      </w:r>
    </w:p>
    <w:p>
      <w:pPr>
        <w:spacing w:after="0" w:line="46"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The following table sets forth the percentage of base salary and the stated period for continued employee benefits that each of our executive officers who participates in the plan is entitled under the circumstances described above in connection with a change of control.</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80" w:type="dxa"/>
            <w:vAlign w:val="bottom"/>
            <w:tcBorders>
              <w:top w:val="single" w:sz="8" w:color="auto"/>
            </w:tcBorders>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Stated period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140" w:type="dxa"/>
            <w:vAlign w:val="bottom"/>
          </w:tcPr>
          <w:p>
            <w:pPr>
              <w:jc w:val="right"/>
              <w:ind w:right="658"/>
              <w:spacing w:after="0" w:line="157" w:lineRule="exact"/>
              <w:rPr>
                <w:sz w:val="20"/>
                <w:szCs w:val="20"/>
                <w:color w:val="auto"/>
              </w:rPr>
            </w:pPr>
            <w:r>
              <w:rPr>
                <w:rFonts w:ascii="Arial" w:cs="Arial" w:eastAsia="Arial" w:hAnsi="Arial"/>
                <w:sz w:val="14"/>
                <w:szCs w:val="14"/>
                <w:b w:val="1"/>
                <w:bCs w:val="1"/>
                <w:color w:val="auto"/>
              </w:rPr>
              <w:t>Percentage of</w:t>
            </w:r>
          </w:p>
        </w:tc>
        <w:tc>
          <w:tcPr>
            <w:tcW w:w="14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for continued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4140" w:type="dxa"/>
            <w:vAlign w:val="bottom"/>
          </w:tcPr>
          <w:p>
            <w:pPr>
              <w:jc w:val="right"/>
              <w:ind w:right="658"/>
              <w:spacing w:after="0" w:line="157" w:lineRule="exact"/>
              <w:rPr>
                <w:sz w:val="20"/>
                <w:szCs w:val="20"/>
                <w:color w:val="auto"/>
              </w:rPr>
            </w:pPr>
            <w:r>
              <w:rPr>
                <w:rFonts w:ascii="Arial" w:cs="Arial" w:eastAsia="Arial" w:hAnsi="Arial"/>
                <w:sz w:val="14"/>
                <w:szCs w:val="14"/>
                <w:b w:val="1"/>
                <w:bCs w:val="1"/>
                <w:color w:val="auto"/>
              </w:rPr>
              <w:t>annual base</w:t>
            </w:r>
          </w:p>
        </w:tc>
        <w:tc>
          <w:tcPr>
            <w:tcW w:w="14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employee</w:t>
            </w:r>
          </w:p>
        </w:tc>
        <w:tc>
          <w:tcPr>
            <w:tcW w:w="0" w:type="dxa"/>
            <w:vAlign w:val="bottom"/>
          </w:tcPr>
          <w:p>
            <w:pPr>
              <w:spacing w:after="0"/>
              <w:rPr>
                <w:sz w:val="1"/>
                <w:szCs w:val="1"/>
                <w:color w:val="auto"/>
              </w:rPr>
            </w:pPr>
          </w:p>
        </w:tc>
      </w:tr>
      <w:tr>
        <w:trPr>
          <w:trHeight w:val="182"/>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140" w:type="dxa"/>
            <w:vAlign w:val="bottom"/>
          </w:tcPr>
          <w:p>
            <w:pPr>
              <w:jc w:val="right"/>
              <w:ind w:right="658"/>
              <w:spacing w:after="0"/>
              <w:rPr>
                <w:sz w:val="20"/>
                <w:szCs w:val="20"/>
                <w:color w:val="auto"/>
              </w:rPr>
            </w:pPr>
            <w:r>
              <w:rPr>
                <w:rFonts w:ascii="Arial" w:cs="Arial" w:eastAsia="Arial" w:hAnsi="Arial"/>
                <w:sz w:val="14"/>
                <w:szCs w:val="14"/>
                <w:b w:val="1"/>
                <w:bCs w:val="1"/>
                <w:color w:val="auto"/>
              </w:rPr>
              <w:t>salary</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280" w:type="dxa"/>
            <w:vAlign w:val="bottom"/>
            <w:tcBorders>
              <w:top w:val="single" w:sz="8" w:color="auto"/>
            </w:tcBorders>
          </w:tcPr>
          <w:p>
            <w:pPr>
              <w:spacing w:after="0"/>
              <w:rPr>
                <w:sz w:val="3"/>
                <w:szCs w:val="3"/>
                <w:color w:val="auto"/>
              </w:rPr>
            </w:pPr>
          </w:p>
        </w:tc>
        <w:tc>
          <w:tcPr>
            <w:tcW w:w="41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Fuad El-Hibri</w:t>
            </w:r>
          </w:p>
        </w:tc>
        <w:tc>
          <w:tcPr>
            <w:tcW w:w="414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250%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Robert G. Kramer, Sr.</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200</w:t>
            </w:r>
          </w:p>
        </w:tc>
        <w:tc>
          <w:tcPr>
            <w:tcW w:w="1480" w:type="dxa"/>
            <w:vAlign w:val="bottom"/>
          </w:tcPr>
          <w:p>
            <w:pPr>
              <w:jc w:val="right"/>
              <w:spacing w:after="0"/>
              <w:rPr>
                <w:sz w:val="20"/>
                <w:szCs w:val="20"/>
                <w:color w:val="auto"/>
              </w:rPr>
            </w:pPr>
            <w:r>
              <w:rPr>
                <w:rFonts w:ascii="Arial" w:cs="Arial" w:eastAsia="Arial" w:hAnsi="Arial"/>
                <w:sz w:val="17"/>
                <w:szCs w:val="17"/>
                <w:color w:val="auto"/>
              </w:rPr>
              <w:t>24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Edward J. Arcuri, Ph.D.</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200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Daniel J. Abdun-Nabi</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150</w:t>
            </w:r>
          </w:p>
        </w:tc>
        <w:tc>
          <w:tcPr>
            <w:tcW w:w="1480" w:type="dxa"/>
            <w:vAlign w:val="bottom"/>
          </w:tcPr>
          <w:p>
            <w:pPr>
              <w:jc w:val="right"/>
              <w:spacing w:after="0"/>
              <w:rPr>
                <w:sz w:val="20"/>
                <w:szCs w:val="20"/>
                <w:color w:val="auto"/>
              </w:rPr>
            </w:pPr>
            <w:r>
              <w:rPr>
                <w:rFonts w:ascii="Arial" w:cs="Arial" w:eastAsia="Arial" w:hAnsi="Arial"/>
                <w:sz w:val="17"/>
                <w:szCs w:val="17"/>
                <w:color w:val="auto"/>
              </w:rPr>
              <w:t>18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Kyle W. Keese</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100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7"/>
                <w:szCs w:val="17"/>
                <w:color w:val="auto"/>
              </w:rPr>
              <w:t>Thomas K. Zink, M.D.</w:t>
            </w:r>
          </w:p>
        </w:tc>
        <w:tc>
          <w:tcPr>
            <w:tcW w:w="4140" w:type="dxa"/>
            <w:vAlign w:val="bottom"/>
          </w:tcPr>
          <w:p>
            <w:pPr>
              <w:jc w:val="right"/>
              <w:ind w:right="658"/>
              <w:spacing w:after="0"/>
              <w:rPr>
                <w:sz w:val="20"/>
                <w:szCs w:val="20"/>
                <w:color w:val="auto"/>
              </w:rPr>
            </w:pPr>
            <w:r>
              <w:rPr>
                <w:rFonts w:ascii="Arial" w:cs="Arial" w:eastAsia="Arial" w:hAnsi="Arial"/>
                <w:sz w:val="17"/>
                <w:szCs w:val="17"/>
                <w:color w:val="auto"/>
              </w:rPr>
              <w:t>75</w:t>
            </w:r>
          </w:p>
        </w:tc>
        <w:tc>
          <w:tcPr>
            <w:tcW w:w="1480" w:type="dxa"/>
            <w:vAlign w:val="bottom"/>
          </w:tcPr>
          <w:p>
            <w:pPr>
              <w:jc w:val="right"/>
              <w:spacing w:after="0"/>
              <w:rPr>
                <w:sz w:val="20"/>
                <w:szCs w:val="20"/>
                <w:color w:val="auto"/>
              </w:rPr>
            </w:pPr>
            <w:r>
              <w:rPr>
                <w:rFonts w:ascii="Arial" w:cs="Arial" w:eastAsia="Arial" w:hAnsi="Arial"/>
                <w:sz w:val="17"/>
                <w:szCs w:val="17"/>
                <w:color w:val="auto"/>
              </w:rPr>
              <w:t>9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R. Don Elsey</w:t>
            </w:r>
          </w:p>
        </w:tc>
        <w:tc>
          <w:tcPr>
            <w:tcW w:w="4140" w:type="dxa"/>
            <w:vAlign w:val="bottom"/>
            <w:shd w:val="clear" w:color="auto" w:fill="CCEEFF"/>
          </w:tcPr>
          <w:p>
            <w:pPr>
              <w:jc w:val="right"/>
              <w:ind w:right="658"/>
              <w:spacing w:after="0"/>
              <w:rPr>
                <w:sz w:val="20"/>
                <w:szCs w:val="20"/>
                <w:color w:val="auto"/>
              </w:rPr>
            </w:pPr>
            <w:r>
              <w:rPr>
                <w:rFonts w:ascii="Arial" w:cs="Arial" w:eastAsia="Arial" w:hAnsi="Arial"/>
                <w:sz w:val="17"/>
                <w:szCs w:val="17"/>
                <w:color w:val="auto"/>
              </w:rPr>
              <w:t>75</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months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jc w:val="both"/>
        <w:ind w:right="360"/>
        <w:spacing w:after="0" w:line="250" w:lineRule="auto"/>
        <w:rPr>
          <w:sz w:val="20"/>
          <w:szCs w:val="20"/>
          <w:color w:val="auto"/>
        </w:rPr>
      </w:pPr>
      <w:r>
        <w:rPr>
          <w:rFonts w:ascii="Arial" w:cs="Arial" w:eastAsia="Arial" w:hAnsi="Arial"/>
          <w:sz w:val="17"/>
          <w:szCs w:val="17"/>
          <w:color w:val="auto"/>
        </w:rPr>
        <w:t>Our chief executive officer may designate up to two participants for whom any reason for resigning within the 30-day period following the first anniversary of a change of control shall also constitute good reason. Mr. El-Hibri has been designated as a participant to receive this benefit.</w:t>
      </w:r>
    </w:p>
    <w:p>
      <w:pPr>
        <w:spacing w:after="0" w:line="44"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All payments under the severance plan will be reduced by any applicable taxes required by applicable law to be paid or withheld by us. All payments and benefits provided under the severance plan are intended to either comply with or be exempt from Section 409A of the Internal Revenue Code. If at the time a participant’s employment is terminated, the participant is a specified employee within the meaning of</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149" w:name="page150"/>
    <w:bookmarkEnd w:id="149"/>
    <w:p>
      <w:pPr>
        <w:ind w:right="20"/>
        <w:spacing w:after="0" w:line="247" w:lineRule="auto"/>
        <w:rPr>
          <w:sz w:val="20"/>
          <w:szCs w:val="20"/>
          <w:color w:val="auto"/>
        </w:rPr>
      </w:pPr>
      <w:r>
        <w:rPr>
          <w:rFonts w:ascii="Arial" w:cs="Arial" w:eastAsia="Arial" w:hAnsi="Arial"/>
          <w:sz w:val="17"/>
          <w:szCs w:val="17"/>
          <w:color w:val="auto"/>
        </w:rPr>
        <w:t>Section 409A(a)(2)(B)(ii), then any payments to the participant that constitute non-qualified deferred compensation within the meaning of Section 409A will be delayed by a period of six months. All such payments that would have been made to the participant during the six-month period will be made in a lump sum in the seventh month following the date of termination, and all remaining payments will commence in the seventh month following the date of termination.</w:t>
      </w:r>
    </w:p>
    <w:p>
      <w:pPr>
        <w:spacing w:after="0" w:line="99" w:lineRule="exact"/>
        <w:rPr>
          <w:sz w:val="20"/>
          <w:szCs w:val="20"/>
          <w:color w:val="auto"/>
        </w:rPr>
      </w:pPr>
    </w:p>
    <w:p>
      <w:pPr>
        <w:jc w:val="both"/>
        <w:ind w:right="220"/>
        <w:spacing w:after="0" w:line="250" w:lineRule="auto"/>
        <w:rPr>
          <w:sz w:val="20"/>
          <w:szCs w:val="20"/>
          <w:color w:val="auto"/>
        </w:rPr>
      </w:pPr>
      <w:r>
        <w:rPr>
          <w:rFonts w:ascii="Arial" w:cs="Arial" w:eastAsia="Arial" w:hAnsi="Arial"/>
          <w:sz w:val="17"/>
          <w:szCs w:val="17"/>
          <w:color w:val="auto"/>
        </w:rPr>
        <w:t>Our board of directors or any committee thereof designated by our board of directors is authorized to administer the plan and has authority to adopt, amend and repeal the administrative rules, guidelines and practices relating to the severance plan as it deems advisable.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 of liability and indemnification</w:t>
      </w:r>
    </w:p>
    <w:p>
      <w:pPr>
        <w:spacing w:after="0" w:line="14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Our certificate of incorporation that will be in effect upon the completion of this offering limits the personal liability of directors for breach of fiduciary duty to the maximum extent permitted by the General Corporation Law of Delaware.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99" w:lineRule="exact"/>
        <w:rPr>
          <w:sz w:val="20"/>
          <w:szCs w:val="20"/>
          <w:color w:val="auto"/>
        </w:rPr>
      </w:pPr>
    </w:p>
    <w:p>
      <w:pPr>
        <w:ind w:left="220" w:hanging="210"/>
        <w:spacing w:after="0"/>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any breach of their duty of loyalty to us or our stockholders;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acts or omissions not in good faith or which involve intentional misconduct or a knowing violation of law;</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voting or assenting to unlawful payments of dividends or other distributions; or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w:t>
      </w:r>
    </w:p>
    <w:p>
      <w:pPr>
        <w:spacing w:after="0" w:line="11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General Corporation Law of Delaware is amended to provide for further limitations on the personal liability of directors of corporations, then the personal liability of our directors will be further limited to the greatest extent permitted by the General Corporation Law of Delaware.</w:t>
      </w:r>
    </w:p>
    <w:p>
      <w:pPr>
        <w:spacing w:after="0" w:line="102" w:lineRule="exact"/>
        <w:rPr>
          <w:sz w:val="20"/>
          <w:szCs w:val="20"/>
          <w:color w:val="auto"/>
        </w:rPr>
      </w:pPr>
    </w:p>
    <w:p>
      <w:pPr>
        <w:ind w:right="480"/>
        <w:spacing w:after="0" w:line="250" w:lineRule="auto"/>
        <w:rPr>
          <w:sz w:val="20"/>
          <w:szCs w:val="20"/>
          <w:color w:val="auto"/>
        </w:rPr>
      </w:pPr>
      <w:r>
        <w:rPr>
          <w:rFonts w:ascii="Arial" w:cs="Arial" w:eastAsia="Arial" w:hAnsi="Arial"/>
          <w:sz w:val="17"/>
          <w:szCs w:val="17"/>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9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We have entered into agreements to indemnify our directors and executive officers. These agreements, among other things, provide that we will indemnify the director or executive officer to the fullest extent permitted by law for claims arising in his or her capacity as our director, officer, manager, employee, agent or representative and advance expenses, including attorneys’ fees, to these individuals in connection with legal proceedings, subject to limited exceptions. The indemnification agreements also establish the procedures that will apply in the event a director or officer makes a claim for indemnification.</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option and other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option plan</w:t>
      </w:r>
    </w:p>
    <w:p>
      <w:pPr>
        <w:spacing w:after="0" w:line="13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Our employee stock option plan was adopted by our board of directors and approved by our stockholders on June 30, 2004 and amended and restated on January 26, 2005. We refer to this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50" w:name="page151"/>
    <w:bookmarkEnd w:id="150"/>
    <w:p>
      <w:pPr>
        <w:ind w:right="40"/>
        <w:spacing w:after="0" w:line="242" w:lineRule="auto"/>
        <w:rPr>
          <w:sz w:val="20"/>
          <w:szCs w:val="20"/>
          <w:color w:val="auto"/>
        </w:rPr>
      </w:pPr>
      <w:r>
        <w:rPr>
          <w:rFonts w:ascii="Arial" w:cs="Arial" w:eastAsia="Arial" w:hAnsi="Arial"/>
          <w:sz w:val="17"/>
          <w:szCs w:val="17"/>
          <w:color w:val="auto"/>
        </w:rPr>
        <w:t>employee stock option plan, as amended and restated, as our employee stock option plan. Our employee stock option plan became effective on the date that our board of directors adopted the plan. We assumed all options outstanding under the BioPort Corporation employee stock option plan as of June 30, 2004 and granted option holders replacement stock options to purchase an equal number of shares of our class B common stock under our employee stock option plan. Under our employee stock option plan, the exercise period for options under the BioPort Corporation employee stock option plan that would have otherwise expired on June 30, 2004 was extended to June 30, 2007. For incentive stock options, the extension of the exercise period caused the options to be considered non-qualified stock options after June 30, 2004. Under our employee stock option plan, 3,596,375 shares of our class B common stock are reserved for issuance. Our board of directors has authorized our compensation committee to administer our employee stock option plan. Immediately prior to the completion of this offering, each outstanding option to purchase shares of our class B common stock automatically will become an option to purchase an equal number of shares of our common stock, with no other changes to the option.</w:t>
      </w:r>
    </w:p>
    <w:p>
      <w:pPr>
        <w:spacing w:after="0" w:line="11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If a merger or other reorganization event occurs, options granted under our employee stock option plan may be substituted or assumed. In the event of our merger, consolidation or combination with or into another corporation, other than a merger, consolidation or combination in which we are the surviving corporation and which does not result in any reclassification or other change in the number of outstanding shares of our common stock, each option holder will have the right after the merger, consolidation or combination and during the term of the option to receive upon exercise of the option, for each share of common stock as to which the option could be exercised, the kind and amount of shares of the surviving or new corporation, cash, securities, evidence of indebtedness, other property or any combination which would have been received upon the merger, consolidation or combination by the holder of a share of common stock immediately prior to the merger, consolidation or combination. Upon the occurrence of a change in control, as defined in our employee stock option plan, we have the option to purchase and redeem from any option holder all the options owned by the option holder for a purchase price equal to the difference between the option exercise price and the fair market value of the common stock. In the event that we exercise our right to repurchase the options, any unvested options will be deemed fully vested on the day preceding the date we exercise our repurchase option. We may exercise this option at any time during the six-month period following the date of change in control or such longer period of time as is reasonable.</w:t>
      </w:r>
    </w:p>
    <w:p>
      <w:pPr>
        <w:spacing w:after="0" w:line="30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Under our employee stock option plan, no award may be granted under the plan after June 30, 2009, unless the plan is terminated sooner. Our board of directors may amend, suspend or discontinue the employee stock option plan at any time, except that stockholder approval will be required for any revision that would increase the number of shares reserved for issuance under the plan, or otherwise as required to comply with applicable law or stock market requirements. No amendment may materially impair any rights or materially increase any obligations of an option holder under an outstanding option without the consent of the option holder.</w:t>
      </w:r>
    </w:p>
    <w:p>
      <w:pPr>
        <w:spacing w:after="0" w:line="10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As of October 20, 2006, options to purchase 3,109,932 shares of our class B common stock at a weighted average exercise price of $2.54 were outstanding under our employee stock option plan, options to purchase 229,275 shares of class B common stock have been exercised and options to purchase 411,505 shares of class B common stock have been forfeited. After the effective date of our 2006 stock incentive plan, which is described below, we will grant no additional options under our employee stock option plan.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i w:val="1"/>
          <w:iCs w:val="1"/>
          <w:color w:val="auto"/>
        </w:rPr>
        <w:t>2006 stock incentive plan</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Our 2006 stock incentive plan was adopted by our board of directors on October 25, 2006 and approved by our stockholders on October 27, 2006. The 2006 stock incentive plan will become effective immediately prior to the completion of this offering. The 2006 stock incentive plan provides for the grant of incentive stock options, non-statutory stock options, stock appreciation rights, restricted stock, restricted stock units and other stock unit awards. Our 2006 stock incentive plan provides that 503,500 shares of common stock, plus the number of shares of common stock reserved for issuance under our existing employee stock option plan that remain available for grant immediately prior to the completion of this offering, will be reserved for issuance under the 2006 stock incentive plan immediately following this offering.</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our 2006 stock incentive plan contains an “evergreen provision” that allows for increases in the number of shares available for issuance under our 2006 stock incentive plan on the first day of the first and third quarter of each year from 2007 though 2009. Each semi-annual increase in the number of shares will be equal to the lowest of a specified number of shares, a specified percentage of the aggregate number of shares outstanding and an amount determined by our board of directors. The following table sets forth the maximum specified number of shares and maximum specified percentage of outstanding shares for each semi-annual increase in the number of shares.</w:t>
      </w:r>
    </w:p>
    <w:p>
      <w:pPr>
        <w:spacing w:after="0" w:line="341"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4720" w:type="dxa"/>
            <w:vAlign w:val="bottom"/>
            <w:shd w:val="clear" w:color="auto" w:fill="000000"/>
          </w:tcPr>
          <w:p>
            <w:pPr>
              <w:spacing w:after="0"/>
              <w:rPr>
                <w:sz w:val="3"/>
                <w:szCs w:val="3"/>
                <w:color w:val="auto"/>
              </w:rPr>
            </w:pPr>
          </w:p>
        </w:tc>
        <w:tc>
          <w:tcPr>
            <w:tcW w:w="3940" w:type="dxa"/>
            <w:vAlign w:val="bottom"/>
            <w:shd w:val="clear" w:color="auto" w:fill="000000"/>
          </w:tcPr>
          <w:p>
            <w:pPr>
              <w:spacing w:after="0"/>
              <w:rPr>
                <w:sz w:val="3"/>
                <w:szCs w:val="3"/>
                <w:color w:val="auto"/>
              </w:rPr>
            </w:pPr>
          </w:p>
        </w:tc>
        <w:tc>
          <w:tcPr>
            <w:tcW w:w="108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240" w:type="dxa"/>
            <w:vAlign w:val="bottom"/>
            <w:gridSpan w:val="2"/>
          </w:tcPr>
          <w:p>
            <w:pPr>
              <w:jc w:val="right"/>
              <w:ind w:right="160"/>
              <w:spacing w:after="0" w:line="146"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940" w:type="dxa"/>
            <w:vAlign w:val="bottom"/>
          </w:tcPr>
          <w:p>
            <w:pPr>
              <w:jc w:val="right"/>
              <w:ind w:right="100"/>
              <w:spacing w:after="0" w:line="157" w:lineRule="exact"/>
              <w:rPr>
                <w:sz w:val="20"/>
                <w:szCs w:val="20"/>
                <w:color w:val="auto"/>
              </w:rPr>
            </w:pPr>
            <w:r>
              <w:rPr>
                <w:rFonts w:ascii="Arial" w:cs="Arial" w:eastAsia="Arial" w:hAnsi="Arial"/>
                <w:sz w:val="14"/>
                <w:szCs w:val="14"/>
                <w:b w:val="1"/>
                <w:bCs w:val="1"/>
                <w:color w:val="auto"/>
              </w:rPr>
              <w:t>Maximum</w:t>
            </w:r>
          </w:p>
        </w:tc>
        <w:tc>
          <w:tcPr>
            <w:tcW w:w="1240" w:type="dxa"/>
            <w:vAlign w:val="bottom"/>
            <w:gridSpan w:val="2"/>
          </w:tcPr>
          <w:p>
            <w:pPr>
              <w:jc w:val="right"/>
              <w:ind w:right="160"/>
              <w:spacing w:after="0" w:line="157" w:lineRule="exact"/>
              <w:rPr>
                <w:sz w:val="20"/>
                <w:szCs w:val="20"/>
                <w:color w:val="auto"/>
              </w:rPr>
            </w:pPr>
            <w:r>
              <w:rPr>
                <w:rFonts w:ascii="Arial" w:cs="Arial" w:eastAsia="Arial" w:hAnsi="Arial"/>
                <w:sz w:val="14"/>
                <w:szCs w:val="14"/>
                <w:b w:val="1"/>
                <w:bCs w:val="1"/>
                <w:color w:val="auto"/>
              </w:rPr>
              <w:t>specified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940" w:type="dxa"/>
            <w:vAlign w:val="bottom"/>
          </w:tcPr>
          <w:p>
            <w:pPr>
              <w:jc w:val="right"/>
              <w:ind w:right="100"/>
              <w:spacing w:after="0" w:line="157" w:lineRule="exact"/>
              <w:rPr>
                <w:sz w:val="20"/>
                <w:szCs w:val="20"/>
                <w:color w:val="auto"/>
              </w:rPr>
            </w:pPr>
            <w:r>
              <w:rPr>
                <w:rFonts w:ascii="Arial" w:cs="Arial" w:eastAsia="Arial" w:hAnsi="Arial"/>
                <w:sz w:val="14"/>
                <w:szCs w:val="14"/>
                <w:b w:val="1"/>
                <w:bCs w:val="1"/>
                <w:color w:val="auto"/>
              </w:rPr>
              <w:t>specified</w:t>
            </w:r>
          </w:p>
        </w:tc>
        <w:tc>
          <w:tcPr>
            <w:tcW w:w="1240" w:type="dxa"/>
            <w:vAlign w:val="bottom"/>
            <w:gridSpan w:val="2"/>
          </w:tcPr>
          <w:p>
            <w:pPr>
              <w:jc w:val="right"/>
              <w:ind w:right="160"/>
              <w:spacing w:after="0" w:line="157"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940" w:type="dxa"/>
            <w:vAlign w:val="bottom"/>
          </w:tcPr>
          <w:p>
            <w:pPr>
              <w:jc w:val="right"/>
              <w:ind w:right="100"/>
              <w:spacing w:after="0" w:line="157" w:lineRule="exact"/>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ind w:right="160"/>
              <w:spacing w:after="0" w:line="15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940" w:type="dxa"/>
            <w:vAlign w:val="bottom"/>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720" w:type="dxa"/>
            <w:vAlign w:val="bottom"/>
            <w:tcBorders>
              <w:top w:val="single" w:sz="8" w:color="auto"/>
            </w:tcBorders>
          </w:tcPr>
          <w:p>
            <w:pPr>
              <w:spacing w:after="0"/>
              <w:rPr>
                <w:sz w:val="3"/>
                <w:szCs w:val="3"/>
                <w:color w:val="auto"/>
              </w:rPr>
            </w:pPr>
          </w:p>
        </w:tc>
        <w:tc>
          <w:tcPr>
            <w:tcW w:w="394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First Quarter of 2007</w:t>
            </w:r>
          </w:p>
        </w:tc>
        <w:tc>
          <w:tcPr>
            <w:tcW w:w="39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428,700</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97"/>
              </w:rPr>
              <w:t>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Third Quarter of 2007</w:t>
            </w:r>
          </w:p>
        </w:tc>
        <w:tc>
          <w:tcPr>
            <w:tcW w:w="3940" w:type="dxa"/>
            <w:vAlign w:val="bottom"/>
          </w:tcPr>
          <w:p>
            <w:pPr>
              <w:jc w:val="right"/>
              <w:ind w:right="100"/>
              <w:spacing w:after="0"/>
              <w:rPr>
                <w:sz w:val="20"/>
                <w:szCs w:val="20"/>
                <w:color w:val="auto"/>
              </w:rPr>
            </w:pPr>
            <w:r>
              <w:rPr>
                <w:rFonts w:ascii="Arial" w:cs="Arial" w:eastAsia="Arial" w:hAnsi="Arial"/>
                <w:sz w:val="17"/>
                <w:szCs w:val="17"/>
                <w:color w:val="auto"/>
              </w:rPr>
              <w:t>463,200</w:t>
            </w:r>
          </w:p>
        </w:tc>
        <w:tc>
          <w:tcPr>
            <w:tcW w:w="1080" w:type="dxa"/>
            <w:vAlign w:val="bottom"/>
          </w:tcPr>
          <w:p>
            <w:pPr>
              <w:ind w:left="840"/>
              <w:spacing w:after="0"/>
              <w:rPr>
                <w:sz w:val="20"/>
                <w:szCs w:val="20"/>
                <w:color w:val="auto"/>
              </w:rPr>
            </w:pPr>
            <w:r>
              <w:rPr>
                <w:rFonts w:ascii="Arial" w:cs="Arial" w:eastAsia="Arial" w:hAnsi="Arial"/>
                <w:sz w:val="17"/>
                <w:szCs w:val="17"/>
                <w:color w:val="auto"/>
                <w:w w:val="92"/>
              </w:rPr>
              <w:t>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First Quarter of 2008</w:t>
            </w:r>
          </w:p>
        </w:tc>
        <w:tc>
          <w:tcPr>
            <w:tcW w:w="39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926,400</w:t>
            </w:r>
          </w:p>
        </w:tc>
        <w:tc>
          <w:tcPr>
            <w:tcW w:w="108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2"/>
              </w:rPr>
              <w:t>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Third Quarter of 2008</w:t>
            </w:r>
          </w:p>
        </w:tc>
        <w:tc>
          <w:tcPr>
            <w:tcW w:w="3940" w:type="dxa"/>
            <w:vAlign w:val="bottom"/>
          </w:tcPr>
          <w:p>
            <w:pPr>
              <w:jc w:val="right"/>
              <w:ind w:right="100"/>
              <w:spacing w:after="0"/>
              <w:rPr>
                <w:sz w:val="20"/>
                <w:szCs w:val="20"/>
                <w:color w:val="auto"/>
              </w:rPr>
            </w:pPr>
            <w:r>
              <w:rPr>
                <w:rFonts w:ascii="Arial" w:cs="Arial" w:eastAsia="Arial" w:hAnsi="Arial"/>
                <w:sz w:val="17"/>
                <w:szCs w:val="17"/>
                <w:color w:val="auto"/>
              </w:rPr>
              <w:t>466,100</w:t>
            </w:r>
          </w:p>
        </w:tc>
        <w:tc>
          <w:tcPr>
            <w:tcW w:w="1080" w:type="dxa"/>
            <w:vAlign w:val="bottom"/>
          </w:tcPr>
          <w:p>
            <w:pPr>
              <w:ind w:left="840"/>
              <w:spacing w:after="0"/>
              <w:rPr>
                <w:sz w:val="20"/>
                <w:szCs w:val="20"/>
                <w:color w:val="auto"/>
              </w:rPr>
            </w:pPr>
            <w:r>
              <w:rPr>
                <w:rFonts w:ascii="Arial" w:cs="Arial" w:eastAsia="Arial" w:hAnsi="Arial"/>
                <w:sz w:val="17"/>
                <w:szCs w:val="17"/>
                <w:color w:val="auto"/>
                <w:w w:val="92"/>
              </w:rPr>
              <w:t>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First Quarter of 2009</w:t>
            </w:r>
          </w:p>
        </w:tc>
        <w:tc>
          <w:tcPr>
            <w:tcW w:w="394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937,900</w:t>
            </w:r>
          </w:p>
        </w:tc>
        <w:tc>
          <w:tcPr>
            <w:tcW w:w="108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2"/>
              </w:rPr>
              <w:t>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Third Quarter of 2009</w:t>
            </w:r>
          </w:p>
        </w:tc>
        <w:tc>
          <w:tcPr>
            <w:tcW w:w="394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471,800</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w w:val="92"/>
              </w:rPr>
              <w:t>1.5</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Our employees, officers, directors, consultants and advisors are eligible to receive awards under our 2006 stock incentive plan. Incentive stock options may only be granted to our employees. The maximum number of shares of common stock with respect to which awards may be granted to any participant under the plan is 287,700 per fiscal year.</w:t>
      </w:r>
    </w:p>
    <w:p>
      <w:pPr>
        <w:spacing w:after="0" w:line="96" w:lineRule="exact"/>
        <w:rPr>
          <w:sz w:val="20"/>
          <w:szCs w:val="20"/>
          <w:color w:val="auto"/>
        </w:rPr>
      </w:pPr>
    </w:p>
    <w:p>
      <w:pPr>
        <w:ind w:right="820"/>
        <w:spacing w:after="0" w:line="258" w:lineRule="auto"/>
        <w:rPr>
          <w:sz w:val="20"/>
          <w:szCs w:val="20"/>
          <w:color w:val="auto"/>
        </w:rPr>
      </w:pPr>
      <w:r>
        <w:rPr>
          <w:rFonts w:ascii="Arial" w:cs="Arial" w:eastAsia="Arial" w:hAnsi="Arial"/>
          <w:sz w:val="17"/>
          <w:szCs w:val="17"/>
          <w:color w:val="auto"/>
        </w:rPr>
        <w:t>In accordance with the terms of the 2006 stock incentive plan, our board of directors has authorized our compensation committee to administer the plan. Our compensation committee selects the recipients of awards and determines:</w:t>
      </w:r>
    </w:p>
    <w:p>
      <w:pPr>
        <w:spacing w:after="0" w:line="90" w:lineRule="exact"/>
        <w:rPr>
          <w:sz w:val="20"/>
          <w:szCs w:val="20"/>
          <w:color w:val="auto"/>
        </w:rPr>
      </w:pPr>
    </w:p>
    <w:p>
      <w:pPr>
        <w:ind w:left="220" w:hanging="210"/>
        <w:spacing w:after="0"/>
        <w:tabs>
          <w:tab w:leader="none" w:pos="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number of shares of common stock covered by options and the dates upon which the options become exercisable;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exercise price of options, which may not be less than 100% of the fair market value of the stock on the date of grant;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duration of options, which may not be in excess of 10 years;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method of payment of the exercise price; and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4" w:right="1039" w:bottom="1440" w:gutter="0" w:footer="0" w:header="0"/>
        </w:sectPr>
      </w:pPr>
    </w:p>
    <w:bookmarkStart w:id="152" w:name="page153"/>
    <w:bookmarkEnd w:id="152"/>
    <w:p>
      <w:pPr>
        <w:ind w:left="220" w:hanging="210"/>
        <w:spacing w:after="0" w:line="250" w:lineRule="auto"/>
        <w:tabs>
          <w:tab w:leader="none" w:pos="2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number of shares of common stock subject to any stock appreciation right, restricted stock, restricted stock units or other stock-unit awards and the terms and conditions of such awards, including conditions for exercise, repurchase, issue price and repurchase price.</w:t>
      </w:r>
    </w:p>
    <w:p>
      <w:pPr>
        <w:spacing w:after="0" w:line="96"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If our board of directors delegates authority to an executive officer, the executive officer has the power to make awards to all of our employees, except to executive officers. Our board of directors will fix the terms of the awards to be granted by such executive officer, including the exercise price of such awards and the maximum number of shares subject to awards that such executive officer may make.</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Our 2006 stock incentive plan provides for an automatic grant of options to non-employee directors as follows:</w:t>
      </w:r>
    </w:p>
    <w:p>
      <w:pPr>
        <w:spacing w:after="0" w:line="119" w:lineRule="exact"/>
        <w:rPr>
          <w:sz w:val="20"/>
          <w:szCs w:val="20"/>
          <w:color w:val="auto"/>
        </w:rPr>
      </w:pPr>
    </w:p>
    <w:p>
      <w:pPr>
        <w:ind w:left="220" w:hanging="210"/>
        <w:spacing w:after="0"/>
        <w:tabs>
          <w:tab w:leader="none" w:pos="2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21,600 shares of common stock, upon the commencement of service on our board of directors;</w:t>
      </w:r>
    </w:p>
    <w:p>
      <w:pPr>
        <w:spacing w:after="0" w:line="105" w:lineRule="exact"/>
        <w:rPr>
          <w:rFonts w:ascii="Arial" w:cs="Arial" w:eastAsia="Arial" w:hAnsi="Arial"/>
          <w:sz w:val="17"/>
          <w:szCs w:val="17"/>
          <w:color w:val="auto"/>
        </w:rPr>
      </w:pPr>
    </w:p>
    <w:p>
      <w:pPr>
        <w:ind w:left="220" w:right="60" w:hanging="210"/>
        <w:spacing w:after="0" w:line="258" w:lineRule="auto"/>
        <w:tabs>
          <w:tab w:leader="none" w:pos="2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14,400 shares of common stock, on the date of each of our annual meetings of stockholders, provided that the director continues serving as a director after the annual meeting and has served on our board of directors for at least six months; and</w:t>
      </w:r>
    </w:p>
    <w:p>
      <w:pPr>
        <w:spacing w:after="0" w:line="77" w:lineRule="exact"/>
        <w:rPr>
          <w:rFonts w:ascii="Arial" w:cs="Arial" w:eastAsia="Arial" w:hAnsi="Arial"/>
          <w:sz w:val="17"/>
          <w:szCs w:val="17"/>
          <w:color w:val="auto"/>
        </w:rPr>
      </w:pPr>
    </w:p>
    <w:p>
      <w:pPr>
        <w:ind w:left="220" w:right="400" w:hanging="210"/>
        <w:spacing w:after="0" w:line="250" w:lineRule="auto"/>
        <w:tabs>
          <w:tab w:leader="none" w:pos="22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the non-employee director is serving as the chair of one or more committees of our board of directors, an additional 7,200 shares of common stock, on the date of each of our annual meetings of stockholders, provided that the director continues serving as a director after the annual meeting and has served on our board of directors for at least six months.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Automatic option grants to directors will:</w:t>
      </w:r>
    </w:p>
    <w:p>
      <w:pPr>
        <w:spacing w:after="0" w:line="119" w:lineRule="exact"/>
        <w:rPr>
          <w:sz w:val="20"/>
          <w:szCs w:val="20"/>
          <w:color w:val="auto"/>
        </w:rPr>
      </w:pPr>
    </w:p>
    <w:p>
      <w:pPr>
        <w:ind w:left="220" w:hanging="210"/>
        <w:spacing w:after="0" w:line="245" w:lineRule="auto"/>
        <w:tabs>
          <w:tab w:leader="none" w:pos="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have an exercise price equal to the closing sale price of the common stock on the New York Stock Exchange, the Nasdaq Stock Market or the national securities exchange on which the common stock is then traded on the trading date immediately prior to the date of grant, or the fair market value of the common stock on such date as determined by our board of directors, if the common stock is not then traded on the New York Stock Exchange, the Nasdaq Stock Market or on a national securities exchange;</w:t>
      </w:r>
    </w:p>
    <w:p>
      <w:pPr>
        <w:spacing w:after="0" w:line="102" w:lineRule="exact"/>
        <w:rPr>
          <w:rFonts w:ascii="Arial" w:cs="Arial" w:eastAsia="Arial" w:hAnsi="Arial"/>
          <w:sz w:val="17"/>
          <w:szCs w:val="17"/>
          <w:color w:val="auto"/>
        </w:rPr>
      </w:pPr>
    </w:p>
    <w:p>
      <w:pPr>
        <w:ind w:left="220" w:hanging="210"/>
        <w:spacing w:after="0" w:line="245" w:lineRule="auto"/>
        <w:tabs>
          <w:tab w:leader="none" w:pos="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vest in three equal annual installments beginning on the anniversary of the date of grant provided that the individual is serving on our board of directors on such date, or, with respect to annual grants, on the date which is one business day prior to the date of our next annual meeting, if earlier, provided that no additional vesting will take place after the individual ceases to serve as a director and that our board of directors may provide for accelerated vesting in the case of death, disability, attainment of mandatory retirement age or retirement following at least 10 years of service;</w:t>
      </w:r>
    </w:p>
    <w:p>
      <w:pPr>
        <w:spacing w:after="0" w:line="89" w:lineRule="exact"/>
        <w:rPr>
          <w:rFonts w:ascii="Arial" w:cs="Arial" w:eastAsia="Arial" w:hAnsi="Arial"/>
          <w:sz w:val="17"/>
          <w:szCs w:val="17"/>
          <w:color w:val="auto"/>
        </w:rPr>
      </w:pPr>
    </w:p>
    <w:p>
      <w:pPr>
        <w:ind w:left="220" w:right="700" w:hanging="210"/>
        <w:spacing w:after="0" w:line="258" w:lineRule="auto"/>
        <w:tabs>
          <w:tab w:leader="none" w:pos="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expire on the earlier of 10 years from the date of grant or three months following cessation of service on our board of directors; and</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contain other terms and conditions as our board of directors determines.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may increase or decrease the number of shares subject to automatic option grants to directors.</w:t>
      </w:r>
    </w:p>
    <w:p>
      <w:pPr>
        <w:spacing w:after="0" w:line="119" w:lineRule="exact"/>
        <w:rPr>
          <w:sz w:val="20"/>
          <w:szCs w:val="20"/>
          <w:color w:val="auto"/>
        </w:rPr>
      </w:pPr>
    </w:p>
    <w:p>
      <w:pPr>
        <w:jc w:val="both"/>
        <w:ind w:right="80"/>
        <w:spacing w:after="0" w:line="245" w:lineRule="auto"/>
        <w:rPr>
          <w:sz w:val="20"/>
          <w:szCs w:val="20"/>
          <w:color w:val="auto"/>
        </w:rPr>
      </w:pPr>
      <w:r>
        <w:rPr>
          <w:rFonts w:ascii="Arial" w:cs="Arial" w:eastAsia="Arial" w:hAnsi="Arial"/>
          <w:sz w:val="17"/>
          <w:szCs w:val="17"/>
          <w:color w:val="auto"/>
        </w:rPr>
        <w:t>If a merger or other reorganization event occurs, our board of directors will provide that all of our outstanding options are to be assumed or substituted by the successor corporation. If the merger or reorganization event also constitutes a change in control event, as defined under our 2006 stock incentive plan, the assumed or substituted options will become immediately exercisable in full if on or prior to the first anniversary of the reorganization event an option holder’s employment with us or our succeeding corporation is terminated by the option holder for good reason or is terminated by us or the</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7" w:right="1079" w:bottom="1440" w:gutter="0" w:footer="0" w:header="0"/>
        </w:sectPr>
      </w:pPr>
    </w:p>
    <w:bookmarkStart w:id="153" w:name="page154"/>
    <w:bookmarkEnd w:id="153"/>
    <w:p>
      <w:pPr>
        <w:ind w:right="40"/>
        <w:spacing w:after="0" w:line="243" w:lineRule="auto"/>
        <w:rPr>
          <w:sz w:val="20"/>
          <w:szCs w:val="20"/>
          <w:color w:val="auto"/>
        </w:rPr>
      </w:pPr>
      <w:r>
        <w:rPr>
          <w:rFonts w:ascii="Arial" w:cs="Arial" w:eastAsia="Arial" w:hAnsi="Arial"/>
          <w:sz w:val="17"/>
          <w:szCs w:val="17"/>
          <w:color w:val="auto"/>
        </w:rPr>
        <w:t>succeeding corporation without cause, each as defined in our 2006 stock incentive plan. In the event the succeeding corporation does not agree to assume, or substitute for, outstanding options, then our board of directors will provide that all unexercised options will become exercisable in full prior to the completion of the merger or other reorganization event and that these options will terminate immediately prior to the completion of the merger or other reorganization event if not previously exercised. Our board of directors may also provide for a cash out of the value of any outstanding options. In addition, upon the occurrence of a change in control event that does not also constitute a reorganization event under our 2006 stock incentive plan, each option will continue to vest according to its original vesting schedule, except that an option will become immediately exercisable in full if on or prior to the first anniversary of the change in control event an option holder’s employment with us or our succeeding corporation is terminated by the option holder for good reason or is terminated by us or our succeeding corporation without cause.</w:t>
      </w:r>
    </w:p>
    <w:p>
      <w:pPr>
        <w:spacing w:after="0" w:line="301" w:lineRule="exact"/>
        <w:rPr>
          <w:sz w:val="20"/>
          <w:szCs w:val="20"/>
          <w:color w:val="auto"/>
        </w:rPr>
      </w:pPr>
    </w:p>
    <w:p>
      <w:pPr>
        <w:jc w:val="both"/>
        <w:ind w:right="320"/>
        <w:spacing w:after="0" w:line="244" w:lineRule="auto"/>
        <w:rPr>
          <w:sz w:val="20"/>
          <w:szCs w:val="20"/>
          <w:color w:val="auto"/>
        </w:rPr>
      </w:pPr>
      <w:r>
        <w:rPr>
          <w:rFonts w:ascii="Arial" w:cs="Arial" w:eastAsia="Arial" w:hAnsi="Arial"/>
          <w:sz w:val="17"/>
          <w:szCs w:val="17"/>
          <w:color w:val="auto"/>
        </w:rPr>
        <w:t>No award may be granted under the 2006 stock incentive plan after December 31, 2009, but the vesting and effectiveness of awards granted before that date may extend beyond that date. Our board of directors may amend, suspend or terminate the 2006 stock incentive plan at any time, except that stockholder approval will be required for any revision that would materially increase the number of shares reserved for issuance, expand the types of awards available under the plan, materially modify plan eligibility requirements, extend the term of the plan or materially modify the method of determining the exercise price of options granted under the plan, or otherwise as required to comply with applicable law or stock market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retirement plan</w:t>
      </w:r>
    </w:p>
    <w:p>
      <w:pPr>
        <w:spacing w:after="0" w:line="13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maintain a 401(k) retirement plan that is intended to be a tax-qualified defined contribution savings plan under Section 401(k) of the Internal Revenue Code. Substantially all of our employees are eligible to participate. The 401(k) plan includes a salary deferral arrangement pursuant to which participants may elect to reduce their current compensation by up to the statutorily prescribed limit, equal to $15,000 in 2006, and have the amount of the reduction contributed to the 401(k) plan. We are permitted to match employees’ 401(k) plan contributions. For the year ended December 31, 2005, we have elected to match 50% of the first 6% of the eligible employees’ contributions to the 401(k) plan.</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10b5-1 trading plans</w:t>
      </w:r>
    </w:p>
    <w:p>
      <w:pPr>
        <w:spacing w:after="0" w:line="14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expect that many of our executive officers and directors will adopt written plans, known as Rule 10b5-1 trading plans, in which they will contract with a broker to buy or sell shares of our common stock on a periodic basis. Under a Rule 10b5-1 trading plan, a broker executes trades pursuant to parameters established by the director or officer when entering into the plan, without further direction from them. The officer or director may amend or terminate the plan in some circumstances. Our executive officers and directors may also buy or sell additional shares outside of a Rule 10b5-1 plan when they are not in possession of material nonpublic information. Under the terms of the lock-up agreements that our executive officers and directors have signed with the underwriters for this offering, our executive officers and directors can enter into Rule 10b5-1 trading plans during the</w:t>
      </w:r>
    </w:p>
    <w:p>
      <w:pPr>
        <w:spacing w:after="0" w:line="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180-day lock-up period, provided that such plan does not provide for any transfers of common stock during the lock-up period or any extension thereof pursuant to the lock-up agreement.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8"/>
          <w:szCs w:val="28"/>
          <w:b w:val="1"/>
          <w:bCs w:val="1"/>
          <w:color w:val="auto"/>
        </w:rPr>
        <w:t>Certain relationships and related party transactions</w:t>
      </w:r>
    </w:p>
    <w:p>
      <w:pPr>
        <w:spacing w:after="0" w:line="160"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Since January 1, 2003, we have engaged in the following transactions with our executive officers, directors and holders of more than 5% of our voting securities, and affiliates of our executive officers, directors and holders of more than 5% of our voting securities. We believe that all of these transactions were on terms as favorable as could have been obtained from unrelated third parties.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reorganization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On June 30, 2004, we completed a corporate reorganization in which:</w:t>
      </w:r>
    </w:p>
    <w:p>
      <w:pPr>
        <w:spacing w:after="0" w:line="119" w:lineRule="exact"/>
        <w:rPr>
          <w:sz w:val="20"/>
          <w:szCs w:val="20"/>
          <w:color w:val="auto"/>
        </w:rPr>
      </w:pPr>
    </w:p>
    <w:p>
      <w:pPr>
        <w:ind w:left="220" w:right="40" w:hanging="210"/>
        <w:spacing w:after="0" w:line="250" w:lineRule="auto"/>
        <w:tabs>
          <w:tab w:leader="none" w:pos="2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Emergent BioSolutions Inc., a newly formed Delaware corporation, issued 18,666,479 shares of class A common stock to stockholders of BioPort Corporation in exchange for 18,017,994 shares of BioPort class A common stock and 648,485 shares of BioPort class B common stock;</w:t>
      </w:r>
    </w:p>
    <w:p>
      <w:pPr>
        <w:spacing w:after="0" w:line="83" w:lineRule="exact"/>
        <w:rPr>
          <w:rFonts w:ascii="Arial" w:cs="Arial" w:eastAsia="Arial" w:hAnsi="Arial"/>
          <w:sz w:val="17"/>
          <w:szCs w:val="17"/>
          <w:color w:val="auto"/>
        </w:rPr>
      </w:pPr>
    </w:p>
    <w:p>
      <w:pPr>
        <w:ind w:left="220" w:hanging="210"/>
        <w:spacing w:after="0"/>
        <w:tabs>
          <w:tab w:leader="none" w:pos="2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repurchased and retired all other issued and outstanding shares of BioPort class B common stock; and</w:t>
      </w:r>
    </w:p>
    <w:p>
      <w:pPr>
        <w:spacing w:after="0" w:line="105" w:lineRule="exact"/>
        <w:rPr>
          <w:rFonts w:ascii="Arial" w:cs="Arial" w:eastAsia="Arial" w:hAnsi="Arial"/>
          <w:sz w:val="17"/>
          <w:szCs w:val="17"/>
          <w:color w:val="auto"/>
        </w:rPr>
      </w:pPr>
    </w:p>
    <w:p>
      <w:pPr>
        <w:ind w:left="220" w:right="280" w:hanging="210"/>
        <w:spacing w:after="0" w:line="250" w:lineRule="auto"/>
        <w:tabs>
          <w:tab w:leader="none" w:pos="2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assumed all outstanding stock options to purchase BioPort class B common stock and granted option holders replacement stock options to purchase an equal number of shares of our class B common stock under our employee stock option plan.</w:t>
      </w:r>
    </w:p>
    <w:p>
      <w:pPr>
        <w:spacing w:after="0" w:line="9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a result of this reorganization, BioPort became a wholly owned subsidiary of Emergent. We subsequently renamed BioPort as Emergent BioDefense Operations Lansing Inc.</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 of class A common stock</w:t>
      </w:r>
    </w:p>
    <w:p>
      <w:pPr>
        <w:spacing w:after="0" w:line="139"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The following table sets forth the number of shares of our class A common stock that we issued to the former stockholders of BioPort in our corporate reorganization.</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2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82"/>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480" w:type="dxa"/>
            <w:vAlign w:val="bottom"/>
          </w:tcPr>
          <w:p>
            <w:pPr>
              <w:jc w:val="right"/>
              <w:spacing w:after="0"/>
              <w:rPr>
                <w:sz w:val="20"/>
                <w:szCs w:val="20"/>
                <w:color w:val="auto"/>
              </w:rPr>
            </w:pPr>
            <w:r>
              <w:rPr>
                <w:rFonts w:ascii="Arial" w:cs="Arial" w:eastAsia="Arial" w:hAnsi="Arial"/>
                <w:sz w:val="14"/>
                <w:szCs w:val="14"/>
                <w:b w:val="1"/>
                <w:bCs w:val="1"/>
                <w:color w:val="auto"/>
              </w:rPr>
              <w:t>class A common stock</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420" w:type="dxa"/>
            <w:vAlign w:val="bottom"/>
            <w:tcBorders>
              <w:top w:val="single" w:sz="8" w:color="auto"/>
            </w:tcBorders>
          </w:tcPr>
          <w:p>
            <w:pPr>
              <w:spacing w:after="0"/>
              <w:rPr>
                <w:sz w:val="2"/>
                <w:szCs w:val="2"/>
                <w:color w:val="auto"/>
              </w:rPr>
            </w:pPr>
          </w:p>
        </w:tc>
        <w:tc>
          <w:tcPr>
            <w:tcW w:w="44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Intervac, L.L.C.</w:t>
            </w:r>
          </w:p>
        </w:tc>
        <w:tc>
          <w:tcPr>
            <w:tcW w:w="4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8,314,819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BioPharm, L.L.C.</w:t>
            </w:r>
          </w:p>
        </w:tc>
        <w:tc>
          <w:tcPr>
            <w:tcW w:w="4480" w:type="dxa"/>
            <w:vAlign w:val="bottom"/>
          </w:tcPr>
          <w:p>
            <w:pPr>
              <w:jc w:val="right"/>
              <w:spacing w:after="0"/>
              <w:rPr>
                <w:sz w:val="20"/>
                <w:szCs w:val="20"/>
                <w:color w:val="auto"/>
              </w:rPr>
            </w:pPr>
            <w:r>
              <w:rPr>
                <w:rFonts w:ascii="Arial" w:cs="Arial" w:eastAsia="Arial" w:hAnsi="Arial"/>
                <w:sz w:val="17"/>
                <w:szCs w:val="17"/>
                <w:color w:val="auto"/>
              </w:rPr>
              <w:t>4,065,043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Michigan Biologic Products, Inc.</w:t>
            </w:r>
          </w:p>
        </w:tc>
        <w:tc>
          <w:tcPr>
            <w:tcW w:w="4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1,934,849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BioVac, L.L.C.</w:t>
            </w:r>
          </w:p>
        </w:tc>
        <w:tc>
          <w:tcPr>
            <w:tcW w:w="4480" w:type="dxa"/>
            <w:vAlign w:val="bottom"/>
          </w:tcPr>
          <w:p>
            <w:pPr>
              <w:jc w:val="right"/>
              <w:spacing w:after="0"/>
              <w:rPr>
                <w:sz w:val="20"/>
                <w:szCs w:val="20"/>
                <w:color w:val="auto"/>
              </w:rPr>
            </w:pPr>
            <w:r>
              <w:rPr>
                <w:rFonts w:ascii="Arial" w:cs="Arial" w:eastAsia="Arial" w:hAnsi="Arial"/>
                <w:sz w:val="17"/>
                <w:szCs w:val="17"/>
                <w:color w:val="auto"/>
              </w:rPr>
              <w:t>1,599,155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Biologika, L.L.C.</w:t>
            </w:r>
          </w:p>
        </w:tc>
        <w:tc>
          <w:tcPr>
            <w:tcW w:w="4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1,375,084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7"/>
                <w:szCs w:val="17"/>
                <w:color w:val="auto"/>
              </w:rPr>
              <w:t>Intervac Management, L.L.C.</w:t>
            </w:r>
          </w:p>
        </w:tc>
        <w:tc>
          <w:tcPr>
            <w:tcW w:w="4480" w:type="dxa"/>
            <w:vAlign w:val="bottom"/>
          </w:tcPr>
          <w:p>
            <w:pPr>
              <w:jc w:val="right"/>
              <w:spacing w:after="0"/>
              <w:rPr>
                <w:sz w:val="20"/>
                <w:szCs w:val="20"/>
                <w:color w:val="auto"/>
              </w:rPr>
            </w:pPr>
            <w:r>
              <w:rPr>
                <w:rFonts w:ascii="Arial" w:cs="Arial" w:eastAsia="Arial" w:hAnsi="Arial"/>
                <w:sz w:val="17"/>
                <w:szCs w:val="17"/>
                <w:color w:val="auto"/>
              </w:rPr>
              <w:t>719,275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7"/>
                <w:szCs w:val="17"/>
                <w:color w:val="auto"/>
              </w:rPr>
              <w:t>ARPI, L.L.C.</w:t>
            </w:r>
          </w:p>
        </w:tc>
        <w:tc>
          <w:tcPr>
            <w:tcW w:w="4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Intervac, BioPharm, Michigan Biologic Products, Biovac, Biologika, Intervac Management and ARPI are parties to a voting agreement dated June 30, 2004. We refer to these stockholders collectively as the voting group. Under the voting agreement, each stockholder in the voting group has agreed to vote all shares of our capital stock owned by it for and against and abstain from voting with respect to any matter as directed by a majority in interest of the voting group as measured by the aggregate percentage of ownership of our capital stock. Fuad El-Hibri, our president, chief executive officer and chairman of our board of directors, has the power to direct the voting of a majority in interest of the voting group. As a result, Mr. El-Hibri is considered the beneficial owner of all of the shares held by Intervac, BioPharm,</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55" w:name="page156"/>
    <w:bookmarkEnd w:id="155"/>
    <w:p>
      <w:pPr>
        <w:ind w:right="400"/>
        <w:spacing w:after="0" w:line="258" w:lineRule="auto"/>
        <w:rPr>
          <w:sz w:val="20"/>
          <w:szCs w:val="20"/>
          <w:color w:val="auto"/>
        </w:rPr>
      </w:pPr>
      <w:r>
        <w:rPr>
          <w:rFonts w:ascii="Arial" w:cs="Arial" w:eastAsia="Arial" w:hAnsi="Arial"/>
          <w:sz w:val="17"/>
          <w:szCs w:val="17"/>
          <w:color w:val="auto"/>
        </w:rPr>
        <w:t>Michigan Biologic Products, BioVac, Biologika, Intervac Management and ARPI. See “Principal and selling stockholders” for additional information regarding the beneficial ownership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of options to purchase class B common stock</w:t>
      </w:r>
    </w:p>
    <w:p>
      <w:pPr>
        <w:spacing w:after="0" w:line="139"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The following table sets forth the number of shares of our class B common stock underlying options that we granted under our employee stock option plan to our executive officers and directors contemporaneously with our corporate reorganization.</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20" w:type="dxa"/>
            <w:vAlign w:val="bottom"/>
            <w:tcBorders>
              <w:top w:val="single" w:sz="8" w:color="auto"/>
            </w:tcBorders>
          </w:tcPr>
          <w:p>
            <w:pPr>
              <w:spacing w:after="0"/>
              <w:rPr>
                <w:sz w:val="16"/>
                <w:szCs w:val="16"/>
                <w:color w:val="auto"/>
              </w:rPr>
            </w:pPr>
          </w:p>
        </w:tc>
        <w:tc>
          <w:tcPr>
            <w:tcW w:w="4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48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class B common stock</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48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underlying options</w:t>
            </w:r>
          </w:p>
        </w:tc>
        <w:tc>
          <w:tcPr>
            <w:tcW w:w="0" w:type="dxa"/>
            <w:vAlign w:val="bottom"/>
          </w:tcPr>
          <w:p>
            <w:pPr>
              <w:spacing w:after="0"/>
              <w:rPr>
                <w:sz w:val="1"/>
                <w:szCs w:val="1"/>
                <w:color w:val="auto"/>
              </w:rPr>
            </w:pPr>
          </w:p>
        </w:tc>
      </w:tr>
      <w:tr>
        <w:trPr>
          <w:trHeight w:val="182"/>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80" w:type="dxa"/>
            <w:vAlign w:val="bottom"/>
          </w:tcPr>
          <w:p>
            <w:pPr>
              <w:jc w:val="right"/>
              <w:spacing w:after="0"/>
              <w:rPr>
                <w:sz w:val="20"/>
                <w:szCs w:val="20"/>
                <w:color w:val="auto"/>
              </w:rPr>
            </w:pPr>
            <w:r>
              <w:rPr>
                <w:rFonts w:ascii="Arial" w:cs="Arial" w:eastAsia="Arial" w:hAnsi="Arial"/>
                <w:sz w:val="14"/>
                <w:szCs w:val="14"/>
                <w:b w:val="1"/>
                <w:bCs w:val="1"/>
                <w:color w:val="auto"/>
              </w:rPr>
              <w:t>granted</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020" w:type="dxa"/>
            <w:vAlign w:val="bottom"/>
            <w:tcBorders>
              <w:top w:val="single" w:sz="8" w:color="auto"/>
            </w:tcBorders>
          </w:tcPr>
          <w:p>
            <w:pPr>
              <w:spacing w:after="0"/>
              <w:rPr>
                <w:sz w:val="2"/>
                <w:szCs w:val="2"/>
                <w:color w:val="auto"/>
              </w:rPr>
            </w:pPr>
          </w:p>
        </w:tc>
        <w:tc>
          <w:tcPr>
            <w:tcW w:w="4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Robert G. Kramer, Sr.</w:t>
            </w:r>
          </w:p>
        </w:tc>
        <w:tc>
          <w:tcPr>
            <w:tcW w:w="4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7"/>
                <w:szCs w:val="17"/>
                <w:color w:val="auto"/>
              </w:rPr>
              <w:t>Daniel J. Abdun-Nabi</w:t>
            </w:r>
          </w:p>
        </w:tc>
        <w:tc>
          <w:tcPr>
            <w:tcW w:w="4880" w:type="dxa"/>
            <w:vAlign w:val="bottom"/>
          </w:tcPr>
          <w:p>
            <w:pPr>
              <w:jc w:val="right"/>
              <w:spacing w:after="0"/>
              <w:rPr>
                <w:sz w:val="20"/>
                <w:szCs w:val="20"/>
                <w:color w:val="auto"/>
              </w:rPr>
            </w:pPr>
            <w:r>
              <w:rPr>
                <w:rFonts w:ascii="Arial" w:cs="Arial" w:eastAsia="Arial" w:hAnsi="Arial"/>
                <w:sz w:val="17"/>
                <w:szCs w:val="17"/>
                <w:color w:val="auto"/>
              </w:rPr>
              <w:t>106,452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Kyle W. Keese</w:t>
            </w:r>
          </w:p>
        </w:tc>
        <w:tc>
          <w:tcPr>
            <w:tcW w:w="4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Special cash dividend</w:t>
      </w:r>
    </w:p>
    <w:p>
      <w:pPr>
        <w:spacing w:after="0" w:line="144"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On June 15, 2005, our board of directors declared a special cash dividend to the holders of our outstanding shares of common stock in an aggregate amount of approximately $ 5.4 million. Our board of directors declared this special dividend in order to distribute the net proceeds of a payment that we received as a result of the settlement of litigation that we initiated against Elan Pharmaceuticals, Inc., Athena Neurosciences, Inc. and Solstice Neurosciences, Inc. We filed the lawsuit in 2002 in an effort to clarify intellectual property rights and recover royalties that we asserted were owed under a series of agreements regarding the development of botulinum toxin products. We paid the special cash dividend on July 13, 2005 to stockholders of record as of June 15, 2005. The following table sets forth the amount of the special cash dividend that we paid to our 5% stockholders and their affiliates.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6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 of special</w:t>
            </w:r>
          </w:p>
        </w:tc>
        <w:tc>
          <w:tcPr>
            <w:tcW w:w="0" w:type="dxa"/>
            <w:vAlign w:val="bottom"/>
          </w:tcPr>
          <w:p>
            <w:pPr>
              <w:spacing w:after="0"/>
              <w:rPr>
                <w:sz w:val="1"/>
                <w:szCs w:val="1"/>
                <w:color w:val="auto"/>
              </w:rPr>
            </w:pPr>
          </w:p>
        </w:tc>
      </w:tr>
      <w:tr>
        <w:trPr>
          <w:trHeight w:val="182"/>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cash dividend</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16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Intervac, L.L.C.</w:t>
            </w:r>
          </w:p>
        </w:tc>
        <w:tc>
          <w:tcPr>
            <w:tcW w:w="31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2,402,864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BioPharm, L.L.C.</w:t>
            </w:r>
          </w:p>
        </w:tc>
        <w:tc>
          <w:tcPr>
            <w:tcW w:w="3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1,174,739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Michigan Biologic Products, Inc.</w:t>
            </w:r>
          </w:p>
        </w:tc>
        <w:tc>
          <w:tcPr>
            <w:tcW w:w="3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BioVac, L.L.C.</w:t>
            </w:r>
          </w:p>
        </w:tc>
        <w:tc>
          <w:tcPr>
            <w:tcW w:w="3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462,133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Biologika, L.L.C.</w:t>
            </w:r>
          </w:p>
        </w:tc>
        <w:tc>
          <w:tcPr>
            <w:tcW w:w="3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397,380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Intervac Management, L.L.C.</w:t>
            </w:r>
          </w:p>
        </w:tc>
        <w:tc>
          <w:tcPr>
            <w:tcW w:w="3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207,860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ARPI, L.L.C.</w:t>
            </w:r>
          </w:p>
        </w:tc>
        <w:tc>
          <w:tcPr>
            <w:tcW w:w="3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See “Principal and selling stockholders” for additional information regarding the beneficial ownership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Microscience acquisition</w:t>
      </w:r>
    </w:p>
    <w:p>
      <w:pPr>
        <w:spacing w:after="0" w:line="144" w:lineRule="exact"/>
        <w:rPr>
          <w:sz w:val="20"/>
          <w:szCs w:val="20"/>
          <w:color w:val="auto"/>
        </w:rPr>
      </w:pPr>
    </w:p>
    <w:p>
      <w:pPr>
        <w:ind w:right="740"/>
        <w:spacing w:after="0" w:line="258" w:lineRule="auto"/>
        <w:rPr>
          <w:sz w:val="20"/>
          <w:szCs w:val="20"/>
          <w:color w:val="auto"/>
        </w:rPr>
      </w:pPr>
      <w:r>
        <w:rPr>
          <w:rFonts w:ascii="Arial" w:cs="Arial" w:eastAsia="Arial" w:hAnsi="Arial"/>
          <w:sz w:val="17"/>
          <w:szCs w:val="17"/>
          <w:color w:val="auto"/>
        </w:rPr>
        <w:t>On June 23, 2005, we acquired all of the outstanding shares of capital stock of Microscience Limited from Microscience Investments Limited, formerly Microscience Holdings plc, in exchange for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56" w:name="page157"/>
    <w:bookmarkEnd w:id="156"/>
    <w:p>
      <w:pPr>
        <w:ind w:right="780"/>
        <w:spacing w:after="0" w:line="258" w:lineRule="auto"/>
        <w:rPr>
          <w:sz w:val="20"/>
          <w:szCs w:val="20"/>
          <w:color w:val="auto"/>
        </w:rPr>
      </w:pPr>
      <w:r>
        <w:rPr>
          <w:rFonts w:ascii="Arial" w:cs="Arial" w:eastAsia="Arial" w:hAnsi="Arial"/>
          <w:sz w:val="17"/>
          <w:szCs w:val="17"/>
          <w:color w:val="auto"/>
        </w:rPr>
        <w:t>3,636,801 shares of our class A common stock. We subsequently renamed Microscience Limited as Emergent Product Development UK Limited.</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rights</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Upon the completion of this offering, holders of 22,303,280 shares of our common stock as of October 20, 2006 will have the right to require us to register these shares of common stock under the Securities Act of 1933, as amended, or the Securities Act, under specified circumstances. In connection with our acquisition of Microscience Limited, we granted to Microscience Investments registration rights with respect to the shares of our common stock that we issued to Microscience Investments in the acquisition. We also have granted registration rights with respect to shares of our common stock to the holders of our previously existing class A common stock, in addition to Microscience Investments. The following table sets forth the number of shares of our common stock subject to these registration rights that are held by our 5% stockholders and their affiliates.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560" w:type="dxa"/>
            <w:vAlign w:val="bottom"/>
            <w:tcBorders>
              <w:top w:val="single" w:sz="8" w:color="auto"/>
            </w:tcBorders>
          </w:tcPr>
          <w:p>
            <w:pPr>
              <w:spacing w:after="0"/>
              <w:rPr>
                <w:sz w:val="16"/>
                <w:szCs w:val="16"/>
                <w:color w:val="auto"/>
              </w:rPr>
            </w:pPr>
          </w:p>
        </w:tc>
        <w:tc>
          <w:tcPr>
            <w:tcW w:w="4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82"/>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34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560" w:type="dxa"/>
            <w:vAlign w:val="bottom"/>
            <w:tcBorders>
              <w:top w:val="single" w:sz="8" w:color="auto"/>
            </w:tcBorders>
          </w:tcPr>
          <w:p>
            <w:pPr>
              <w:spacing w:after="0"/>
              <w:rPr>
                <w:sz w:val="2"/>
                <w:szCs w:val="2"/>
                <w:color w:val="auto"/>
              </w:rPr>
            </w:pPr>
          </w:p>
        </w:tc>
        <w:tc>
          <w:tcPr>
            <w:tcW w:w="4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Intervac, L.L.C.</w:t>
            </w:r>
          </w:p>
        </w:tc>
        <w:tc>
          <w:tcPr>
            <w:tcW w:w="4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8,314,819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BioPharm, L.L.C.</w:t>
            </w:r>
          </w:p>
        </w:tc>
        <w:tc>
          <w:tcPr>
            <w:tcW w:w="4340" w:type="dxa"/>
            <w:vAlign w:val="bottom"/>
          </w:tcPr>
          <w:p>
            <w:pPr>
              <w:jc w:val="right"/>
              <w:spacing w:after="0"/>
              <w:rPr>
                <w:sz w:val="20"/>
                <w:szCs w:val="20"/>
                <w:color w:val="auto"/>
              </w:rPr>
            </w:pPr>
            <w:r>
              <w:rPr>
                <w:rFonts w:ascii="Arial" w:cs="Arial" w:eastAsia="Arial" w:hAnsi="Arial"/>
                <w:sz w:val="17"/>
                <w:szCs w:val="17"/>
                <w:color w:val="auto"/>
              </w:rPr>
              <w:t>4,065,043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Microscience Investments Limited</w:t>
            </w:r>
          </w:p>
        </w:tc>
        <w:tc>
          <w:tcPr>
            <w:tcW w:w="4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3,636,801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Michigan Biologic Products, Inc.</w:t>
            </w:r>
          </w:p>
        </w:tc>
        <w:tc>
          <w:tcPr>
            <w:tcW w:w="4340" w:type="dxa"/>
            <w:vAlign w:val="bottom"/>
          </w:tcPr>
          <w:p>
            <w:pPr>
              <w:jc w:val="right"/>
              <w:spacing w:after="0"/>
              <w:rPr>
                <w:sz w:val="20"/>
                <w:szCs w:val="20"/>
                <w:color w:val="auto"/>
              </w:rPr>
            </w:pPr>
            <w:r>
              <w:rPr>
                <w:rFonts w:ascii="Arial" w:cs="Arial" w:eastAsia="Arial" w:hAnsi="Arial"/>
                <w:sz w:val="17"/>
                <w:szCs w:val="17"/>
                <w:color w:val="auto"/>
              </w:rPr>
              <w:t>1,934,849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BioVac, L.L.C.</w:t>
            </w:r>
          </w:p>
        </w:tc>
        <w:tc>
          <w:tcPr>
            <w:tcW w:w="4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1,599,155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Biologika, L.L.C.</w:t>
            </w:r>
          </w:p>
        </w:tc>
        <w:tc>
          <w:tcPr>
            <w:tcW w:w="4340" w:type="dxa"/>
            <w:vAlign w:val="bottom"/>
          </w:tcPr>
          <w:p>
            <w:pPr>
              <w:jc w:val="right"/>
              <w:spacing w:after="0"/>
              <w:rPr>
                <w:sz w:val="20"/>
                <w:szCs w:val="20"/>
                <w:color w:val="auto"/>
              </w:rPr>
            </w:pPr>
            <w:r>
              <w:rPr>
                <w:rFonts w:ascii="Arial" w:cs="Arial" w:eastAsia="Arial" w:hAnsi="Arial"/>
                <w:sz w:val="17"/>
                <w:szCs w:val="17"/>
                <w:color w:val="auto"/>
              </w:rPr>
              <w:t>1,375,084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Intervac Management, L.L.C.</w:t>
            </w:r>
          </w:p>
        </w:tc>
        <w:tc>
          <w:tcPr>
            <w:tcW w:w="4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719,275</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ARPI, L.L.C.</w:t>
            </w: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658,254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80"/>
        <w:spacing w:after="0" w:line="258" w:lineRule="auto"/>
        <w:rPr>
          <w:sz w:val="20"/>
          <w:szCs w:val="20"/>
          <w:color w:val="auto"/>
        </w:rPr>
      </w:pPr>
      <w:r>
        <w:rPr>
          <w:rFonts w:ascii="Arial" w:cs="Arial" w:eastAsia="Arial" w:hAnsi="Arial"/>
          <w:sz w:val="17"/>
          <w:szCs w:val="17"/>
          <w:color w:val="auto"/>
        </w:rPr>
        <w:t>See “Description of capital stock — Registration rights” for additional information regarding these registration rights. See “Principal and selling stockholders” for additional information regarding the beneficial ownership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Consulting agreements</w:t>
      </w:r>
    </w:p>
    <w:p>
      <w:pPr>
        <w:spacing w:after="0" w:line="144"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January 2005, we entered into an agreement with Fleishman-Hillard Inc. under which Fleishman-Hillard provided us government relations, strategic consulting and communication services. Jerome Hauer, a member of our board of directors, was a senior vice president of Fleishman-Hillard until March 2006. Under the agreement, we have agreed to pay Fleishman-Hillard $20,000 per month for its services. The monthly fee increased to $30,000 per month in March 2005. We paid Fleishman-Hillard $342,663 in 2005 and $87,059 in the three months ended March 31, 2006 for these services. The agreement terminated on March 31, 2006.</w:t>
      </w:r>
    </w:p>
    <w:p>
      <w:pPr>
        <w:spacing w:after="0" w:line="303"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In March 2006, we entered into an agreement with The Hauer Group under which The Hauer Group provides us strategic consulting and domestic marketing advice. Jerome Hauer is the chief executive officer of The Hauer Group. Mr. Hauer and his wife are the sole owners of The Hauer Group. Under the terms of the agreement, we agreed to pay The Hauer Group $15,000 per month for its services. The agreement expires on March 31, 2007.</w:t>
      </w:r>
    </w:p>
    <w:p>
      <w:pPr>
        <w:spacing w:after="0" w:line="99"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In November 2004, we entered into a consulting services agreement with Yasmine Gibellini to provide public relations services. Ms. Gibellini is the sister of Fuad El-Hibri, our president, chief executive officer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57" w:name="page158"/>
    <w:bookmarkEnd w:id="157"/>
    <w:p>
      <w:pPr>
        <w:spacing w:after="0" w:line="243" w:lineRule="auto"/>
        <w:rPr>
          <w:sz w:val="20"/>
          <w:szCs w:val="20"/>
          <w:color w:val="auto"/>
        </w:rPr>
      </w:pPr>
      <w:r>
        <w:rPr>
          <w:rFonts w:ascii="Arial" w:cs="Arial" w:eastAsia="Arial" w:hAnsi="Arial"/>
          <w:sz w:val="17"/>
          <w:szCs w:val="17"/>
          <w:color w:val="auto"/>
        </w:rPr>
        <w:t>and chairman of our board of directors. Under the agreement, we agreed to pay Ms. Gibellini $220 per hour for a maximum of 20 hours per week, as needed, for her services, the total of which was not to exceed $60,000, and reimburse her reasonable out-of-pocket expenses. The agreement expired in June 2005. In March 2005, we entered into a separate consulting agreement with Ms. Gibellini to provide sales and marketing services. We agreed to pay Ms. Gibellini $700 per day for a time commitment of approximately two to three days per week, as needed, for her services, the total of which was not to exceed $60,000, and reimburse her reasonable out-of-pocket expenses. In addition, we agreed to pay Ms. Gibellini a sales commission equal to 4% of BioThrax net sales, not to exceed $2.00 per dose, from contracts to any customer in which Ms. Gibellini had direct involvement. The agreement terminated on August 31, 2005. We paid Ms. Gibellini $39,353 in 2005 and $25,200 in 2006 under these agreements.</w:t>
      </w:r>
    </w:p>
    <w:p>
      <w:pPr>
        <w:spacing w:after="0" w:line="302"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color w:val="auto"/>
        </w:rPr>
        <w:t>From September 2004 through November 2004, we retained Louis W. Sullivan, M.D., a member of our board of directors, to provide consulting services for a fixed fee of $25,000 per month.</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Agreements with Intergen N.V.</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November 1997, Emergent BioDefense Operations entered into a marketing agreement, which was amended and restated in January 2000, with Intergen N.V. Yasmine Gibellini, the chairperson of Intergen N.V., is the sister of Fuad El-Hibri, our president, chief executive officer and chairman of our board of directors. Ibrahim El -Hibri, the president of Intergen, is the father of Fuad El-Hibri. Ibrahim El-Hibri and his wife are the sole stockholders of Intergen. Under the agreement, Intergen is the sole and exclusive marketing representative for BioThrax and any other biodefense vaccine that Emergent BioDefense Operations becomes licensed to manufacture or sell in countries in the Middle East and North Africa, except Israel and those countries to which export is prohibited by the U.S. government. Under the agreement, we agreed to pay Intergen a fee equal to 40% of the gross sales in these countries. We have not paid Intergen any fee under the agreement. The term of the agreement is scheduled to expire in November 2007. The agreement will automatically extend for an additional five years if Emergent BioDefense Operations achieves $5.0 million of sales in the territory during the initial three-year term of the agreement.</w:t>
      </w:r>
    </w:p>
    <w:p>
      <w:pPr>
        <w:spacing w:after="0" w:line="103"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In January 2000, Emergent BioDefense Operations entered into a termination and settlement agreement with Intergen. Under the agreement, Emergent BioDefense Operations is obligated to pay Intergen a $70,000 settlement payment when it receives more than $3.0 million pursuant to a contract for sale of anthrax vaccine to a party other than the U.S. government. The settlement payment is in consideration for Intergen’s agreement to terminate a consulting agreement entered into between the parties in November 1997 and reduce the scope of its rights under the marketing agreement described above. This settlement payment has not yet become due and has not been paid.</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Agreements with East West Resources Corporation</w:t>
      </w:r>
    </w:p>
    <w:p>
      <w:pPr>
        <w:spacing w:after="0" w:line="144"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In January 2004, Emergent BioDefense Operations entered into a consulting agreement with East West Resources Corporation under which East West Resources provided financial analysis, business modeling and corporate and business development consulting services. Fuad El-Hibri is the chairman of East West Resources and was president of East West Resources from September 1990 to January 2004. Fuad El-Hibri and his wife are the sole stockholders of East West Resources. The agreement terminated in September 2005. We paid East West Resources $180,000 in 2004 and $135,000 in 2005 under the agreement.</w:t>
      </w:r>
    </w:p>
    <w:p>
      <w:pPr>
        <w:spacing w:after="0" w:line="102"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In January 2004, Emergent BioDefense Operations entered into an amended and restated sublease and office services agreement with East West Resources under which East West Resources leased us office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58" w:name="page159"/>
    <w:bookmarkEnd w:id="158"/>
    <w:p>
      <w:pPr>
        <w:spacing w:after="0" w:line="244" w:lineRule="auto"/>
        <w:rPr>
          <w:sz w:val="20"/>
          <w:szCs w:val="20"/>
          <w:color w:val="auto"/>
        </w:rPr>
      </w:pPr>
      <w:r>
        <w:rPr>
          <w:rFonts w:ascii="Arial" w:cs="Arial" w:eastAsia="Arial" w:hAnsi="Arial"/>
          <w:sz w:val="17"/>
          <w:szCs w:val="17"/>
          <w:color w:val="auto"/>
        </w:rPr>
        <w:t>space in Rockville, Maryland and provided us administrative, transportation and logistics support. Under the agreement, we agreed to pay East West Resources monthly rent of $10,707. The monthly rent increased by 3% each year. In September 2004, we terminated in part the agreement with respect to the lease of office space for a settlement fee of $69,687, an amount equal to eight months’ rent, including the 3% escalation fee, but excluding the portion of monthly rent applicable to transportation and logistics support. We paid East West Resources $120,000 in 2003, $173,647 in 2004, $33,750 in 2005 and $19,741 in the nine months ended September 30, 2006 under the agreement. The agreement expired on July 31, 2006.</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August 2006, we entered into a services agreement with East West Resources under which East West Resources agreed to provide us transportation and logistics support. Under the agreement, we agreed to pay East West Resources a fee of $2,450 per month and reimburse fees and expenses associated with these services. We paid East West Resources $5,482 in the nine months ended September 30, 2006 under the agreement. The term of the agreement ends on July 31, 2007. The agreement will automatically extend for additional successive terms of one year unless terminated by either party with at least 60 days’ notice. Under the agreement, the monthly fee increases by 3% each year upon extension of the term.</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Airplane charter from Simba LLC</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From time to time from March 2004 until April 2006, we chartered a private airplane for business purposes from Simba LLC. Fuad El-Hibri and his wife hold 100% of the ownership interests in Simba. Mr. El-Hibri also is the managing member of Simba. Simba sold the airplane in May 2006. The plane was managed and chartered by Frederick Aviation and was available for charter by the general public. We paid Simba $32,148 in 2004, $33,999 in 2005 and $13,283 in 2006 for charter fees and reimbursement of costs. Frederick Aviation provided us with a discount of $300 per hour from its commercial charter rate. In all other respects, the fees and expenses that we paid to Simba were equivalent to fees charged to third parties for charter flights.</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 relationships</w:t>
      </w:r>
    </w:p>
    <w:p>
      <w:pPr>
        <w:spacing w:after="0" w:line="9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Mauro Gibellini, a brother-in-law of Fuad El-Hibri, is our vice president corporate planning and business development. In addition, Mauro Gibellini and his wife, Yasmine Gibellini, as tenants by the entirety, hold 100% of the ownership interests in Biologika, L.L.C., one of our 5% stockholders, and have the power to dispose of all shares of our capital stock held by Biologika. We paid total cash compensation to Mr. Gibellini of $228,994 in 2003 and $ 320,765 in 2004. We paid total cash compensation to Mr. Gibellini of $ 278,969 for 2005, including an annual bonus for 2005 paid in 2006. Mr. Gibellini’s current annual base salary is $195,624. He is also eligible for an annual bonus for 2006. Mr. Gibellini is a participant in our severance plan and termination protection program. As of October 20, 2006, we have granted Mr. Gibellini options to purchase 71,927 shares of our class B common stock at a weighted average exercise price of $1.68 per share.</w:t>
      </w:r>
    </w:p>
    <w:p>
      <w:pPr>
        <w:spacing w:after="0" w:line="106"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Mark Grunenwald, a brother-in-law of Fuad El-Hibri, is our manager of information systems. We paid total cash compensation to Mr. Grunenwald of $1,115 in 2003 and $63,282 in 2004. We paid total cash compensation to Mr. Grunenwald of $69,337 for 2005, including an annual bonus for 2005 paid in 2006. Mr. Grunenwald’s current annual base salary is $74,000. He is also eligible for an annual bonus for 2006.</w:t>
      </w:r>
    </w:p>
    <w:p>
      <w:pPr>
        <w:spacing w:after="0" w:line="99" w:lineRule="exact"/>
        <w:rPr>
          <w:sz w:val="20"/>
          <w:szCs w:val="20"/>
          <w:color w:val="auto"/>
        </w:rPr>
      </w:pPr>
    </w:p>
    <w:p>
      <w:pPr>
        <w:ind w:right="340"/>
        <w:spacing w:after="0" w:line="250" w:lineRule="auto"/>
        <w:rPr>
          <w:sz w:val="20"/>
          <w:szCs w:val="20"/>
          <w:color w:val="auto"/>
        </w:rPr>
      </w:pPr>
      <w:r>
        <w:rPr>
          <w:rFonts w:ascii="Arial" w:cs="Arial" w:eastAsia="Arial" w:hAnsi="Arial"/>
          <w:sz w:val="17"/>
          <w:szCs w:val="17"/>
          <w:color w:val="auto"/>
        </w:rPr>
        <w:t>Robert Myers, who serves as senior policy and science advisor and director of Emergent BioDefense Operations, is also the President of Michigan Biologic Products, Inc., one of our 5% stockholders, and has the power to direct the disposition of all shares of our capital stock held by Michigan Biologic Products.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59" w:name="page160"/>
    <w:bookmarkEnd w:id="159"/>
    <w:p>
      <w:pPr>
        <w:spacing w:after="0" w:line="245" w:lineRule="auto"/>
        <w:rPr>
          <w:sz w:val="20"/>
          <w:szCs w:val="20"/>
          <w:color w:val="auto"/>
        </w:rPr>
      </w:pPr>
      <w:r>
        <w:rPr>
          <w:rFonts w:ascii="Arial" w:cs="Arial" w:eastAsia="Arial" w:hAnsi="Arial"/>
          <w:sz w:val="17"/>
          <w:szCs w:val="17"/>
          <w:color w:val="auto"/>
        </w:rPr>
        <w:t>We paid total cash compensation to Dr. Myers of $492,351 in 2003, $258,369 in 2004 and $ 204,655 in 2005. In June 2005, Emergent BioDefense Operations entered into an employment agreement with Dr. Myers in his role as senior policy and science advisor to Emergent BioDefense Operations. Under this employment agreement, Dr. Myers is entitled to an annual base salary of $ 180,000 and an annual bonus of $15,000. The employment agreement terminates upon the completion of this offering. Upon the completion of this offering, Dr. Myers is entitled to the following termination benefits:</w:t>
      </w:r>
    </w:p>
    <w:p>
      <w:pPr>
        <w:spacing w:after="0" w:line="102" w:lineRule="exact"/>
        <w:rPr>
          <w:sz w:val="20"/>
          <w:szCs w:val="20"/>
          <w:color w:val="auto"/>
        </w:rPr>
      </w:pPr>
    </w:p>
    <w:p>
      <w:pPr>
        <w:ind w:left="220" w:hanging="210"/>
        <w:spacing w:after="0"/>
        <w:tabs>
          <w:tab w:leader="none" w:pos="2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payment of any previously unpaid base salary and accrued paid time off and other benefits through the date of termination;</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payment of any unpaid, pro-rated bonus through the date of termination;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lump sum payment in the amount of $100,000, less applicable withholding and related taxes.</w:t>
      </w:r>
    </w:p>
    <w:p>
      <w:pPr>
        <w:spacing w:after="0" w:line="119"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As of October 20, 2006, we have granted Dr. Myers options to purchase 459,196 shares of our common stock at an exercise price of $0.09 per share.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w:t>
      </w:r>
    </w:p>
    <w:p>
      <w:pPr>
        <w:spacing w:after="0" w:line="144"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See “Management — Executive compensation” and “Management — Stock option grants” for additional information regarding compensation of our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compensation</w:t>
      </w:r>
    </w:p>
    <w:p>
      <w:pPr>
        <w:spacing w:after="0" w:line="144"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See “Management — Director compensation” for a discussion of options granted and other compensation to our non-employee directors.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Severance plan and termination protection program</w:t>
      </w:r>
    </w:p>
    <w:p>
      <w:pPr>
        <w:spacing w:after="0" w:line="144"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Our executive officers participate in our severance plan and termination protection program. See “Management — Severance plan and termination protection program” for additional information regarding these arrangements.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Indemnification agreements</w:t>
      </w:r>
    </w:p>
    <w:p>
      <w:pPr>
        <w:spacing w:after="0" w:line="144"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We have entered into an indemnification agreement with each of our executive officers and directors. See “Management — Limitation of liability and indemnification” for additional information regarding these agreements.</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28"/>
          <w:szCs w:val="28"/>
          <w:b w:val="1"/>
          <w:bCs w:val="1"/>
          <w:color w:val="auto"/>
        </w:rPr>
        <w:t>Principal and selling stockholders</w:t>
      </w:r>
    </w:p>
    <w:p>
      <w:pPr>
        <w:spacing w:after="0" w:line="160"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The following table sets forth information with respect to the beneficial ownership of our common stock as of October 20, 2006 by:</w:t>
      </w:r>
    </w:p>
    <w:p>
      <w:pPr>
        <w:spacing w:after="0" w:line="90" w:lineRule="exact"/>
        <w:rPr>
          <w:sz w:val="20"/>
          <w:szCs w:val="20"/>
          <w:color w:val="auto"/>
        </w:rPr>
      </w:pPr>
    </w:p>
    <w:p>
      <w:pPr>
        <w:ind w:left="220" w:hanging="210"/>
        <w:spacing w:after="0"/>
        <w:tabs>
          <w:tab w:leader="none" w:pos="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11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The information in the following table assumes that our previously existing class A common stock has been reclassified as common stock and all previously outstanding shares of class B common stock have been converted into shares of common stock prior to the completion of this offering. The column entitled “Percentage of shares beneficially owned before offering” is based on 22,420,404 shares of our common stock outstanding as of October 20, 2006. The column entitled “Percentage of shares beneficially owned after offering” is based on shares of our common stock to be outstanding immediately after the completion of this offering, including the 5,000,000 shares of common stock that we are selling in this offering. The underwriters have an option to purchase up to 750,000 additional shares of our common stock to cover over-allotments, including 480,000 shares from the selling stockholders. For more information regarding the shares that may be sold by the selling stockholders, see “— Selling stockholders” below. No other stockholder is participating in the offering.</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Beneficial ownership is determined in accordance with the rules and regulations of the Securities and Exchange Commission and includes voting or investment power with respect to our common stock. In computing the number of shares of common stock beneficially owned and percentage ownership, shares subject to options held by a person are deemed to be outstanding and beneficially owned by that person if the options are currently exercisable or exercisable within 60 days of October 20, 2006. Shares subject to options are not deemed to be outstanding for the purpose of computing the percentage ownership of any other person. Except as otherwise noted, the persons and entities in this table have sole voting and investing power with respect to all of the shares of common stock beneficially owned by them, subject to community property laws, where applicable. Except as otherwise set forth below, the address of the beneficial owner is c/o Emergent BioSolutions Inc., 300 Professional Drive, Suite 250, Gaithersburg, Maryland 20879.</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85"/>
        </w:trPr>
        <w:tc>
          <w:tcPr>
            <w:tcW w:w="376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Percentage of shares</w:t>
            </w:r>
          </w:p>
        </w:tc>
      </w:tr>
      <w:tr>
        <w:trPr>
          <w:trHeight w:val="169"/>
        </w:trPr>
        <w:tc>
          <w:tcPr>
            <w:tcW w:w="3760" w:type="dxa"/>
            <w:vAlign w:val="bottom"/>
          </w:tcPr>
          <w:p>
            <w:pPr>
              <w:spacing w:after="0"/>
              <w:rPr>
                <w:sz w:val="14"/>
                <w:szCs w:val="14"/>
                <w:color w:val="auto"/>
              </w:rPr>
            </w:pPr>
          </w:p>
        </w:tc>
        <w:tc>
          <w:tcPr>
            <w:tcW w:w="3560" w:type="dxa"/>
            <w:vAlign w:val="bottom"/>
          </w:tcPr>
          <w:p>
            <w:pPr>
              <w:jc w:val="right"/>
              <w:ind w:right="190"/>
              <w:spacing w:after="0"/>
              <w:rPr>
                <w:sz w:val="20"/>
                <w:szCs w:val="20"/>
                <w:color w:val="auto"/>
              </w:rPr>
            </w:pPr>
            <w:r>
              <w:rPr>
                <w:rFonts w:ascii="Arial" w:cs="Arial" w:eastAsia="Arial" w:hAnsi="Arial"/>
                <w:sz w:val="14"/>
                <w:szCs w:val="14"/>
                <w:b w:val="1"/>
                <w:bCs w:val="1"/>
                <w:color w:val="auto"/>
              </w:rPr>
              <w:t>Number of shares</w:t>
            </w:r>
          </w:p>
        </w:tc>
        <w:tc>
          <w:tcPr>
            <w:tcW w:w="1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beneficially owned</w:t>
            </w:r>
          </w:p>
        </w:tc>
      </w:tr>
      <w:tr>
        <w:trPr>
          <w:trHeight w:val="177"/>
        </w:trPr>
        <w:tc>
          <w:tcPr>
            <w:tcW w:w="376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3560" w:type="dxa"/>
            <w:vAlign w:val="bottom"/>
          </w:tcPr>
          <w:p>
            <w:pPr>
              <w:jc w:val="right"/>
              <w:ind w:right="190"/>
              <w:spacing w:after="0"/>
              <w:rPr>
                <w:sz w:val="20"/>
                <w:szCs w:val="20"/>
                <w:color w:val="auto"/>
              </w:rPr>
            </w:pPr>
            <w:r>
              <w:rPr>
                <w:rFonts w:ascii="Arial" w:cs="Arial" w:eastAsia="Arial" w:hAnsi="Arial"/>
                <w:sz w:val="14"/>
                <w:szCs w:val="14"/>
                <w:b w:val="1"/>
                <w:bCs w:val="1"/>
                <w:color w:val="auto"/>
              </w:rPr>
              <w:t>beneficially owned</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Before offering</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After offering</w:t>
            </w:r>
          </w:p>
        </w:tc>
      </w:tr>
      <w:tr>
        <w:trPr>
          <w:trHeight w:val="130"/>
        </w:trPr>
        <w:tc>
          <w:tcPr>
            <w:tcW w:w="376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vMerge w:val="restart"/>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40" w:type="dxa"/>
            <w:vAlign w:val="bottom"/>
          </w:tcPr>
          <w:p>
            <w:pPr>
              <w:spacing w:after="0"/>
              <w:rPr>
                <w:sz w:val="20"/>
                <w:szCs w:val="20"/>
                <w:color w:val="auto"/>
              </w:rPr>
            </w:pPr>
            <w:r>
              <w:rPr>
                <w:rFonts w:ascii="Arial" w:cs="Arial" w:eastAsia="Arial" w:hAnsi="Arial"/>
                <w:sz w:val="17"/>
                <w:szCs w:val="17"/>
                <w:b w:val="1"/>
                <w:bCs w:val="1"/>
                <w:color w:val="auto"/>
              </w:rPr>
              <w:t>Executive officers and directors</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Fuad El-Hibri(1)</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22,389,592</w:t>
            </w:r>
          </w:p>
        </w:tc>
        <w:tc>
          <w:tcPr>
            <w:tcW w:w="142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99.5%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Edward J. Arcuri, Ph.D.(2)</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38,361</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Robert G. Kramer, Sr.(3)</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513,561</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2.2</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Steven N. Chatfield, Ph.D.(4)</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19,181</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Daniel J. Abdun-Nabi(5)</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74,516</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Joe M. Allbaugh</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Zsolt Harsanyi, Ph.D.(6)</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28,770</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Jerome M. Hauer(7)</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14,385</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Shahzad Malik, M.D.</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Ronald B. Richard(8)</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14,385</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Louis W. Sullivan, M.D.</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All executive officers and directors as a group</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ind w:left="360"/>
              <w:spacing w:after="0"/>
              <w:rPr>
                <w:sz w:val="20"/>
                <w:szCs w:val="20"/>
                <w:color w:val="auto"/>
              </w:rPr>
            </w:pPr>
            <w:r>
              <w:rPr>
                <w:rFonts w:ascii="Arial" w:cs="Arial" w:eastAsia="Arial" w:hAnsi="Arial"/>
                <w:sz w:val="17"/>
                <w:szCs w:val="17"/>
                <w:color w:val="auto"/>
              </w:rPr>
              <w:t>(14 persons)(9)</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23,128,714</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99.5</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5% stockholders</w:t>
            </w:r>
          </w:p>
        </w:tc>
        <w:tc>
          <w:tcPr>
            <w:tcW w:w="2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Stockholder voting group under voting agreement dated</w:t>
            </w:r>
          </w:p>
        </w:tc>
        <w:tc>
          <w:tcPr>
            <w:tcW w:w="2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tcPr>
          <w:p>
            <w:pPr>
              <w:ind w:left="360"/>
              <w:spacing w:after="0"/>
              <w:rPr>
                <w:sz w:val="20"/>
                <w:szCs w:val="20"/>
                <w:color w:val="auto"/>
              </w:rPr>
            </w:pPr>
            <w:r>
              <w:rPr>
                <w:rFonts w:ascii="Arial" w:cs="Arial" w:eastAsia="Arial" w:hAnsi="Arial"/>
                <w:sz w:val="17"/>
                <w:szCs w:val="17"/>
                <w:color w:val="auto"/>
              </w:rPr>
              <w:t>June 30, 2004(10)</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22,303,280</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99.5</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Microscience Investments Limited(11)</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3,636,801</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16.2</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Robert Myers, D.V.M.(12)</w:t>
            </w:r>
          </w:p>
        </w:tc>
        <w:tc>
          <w:tcPr>
            <w:tcW w:w="2200" w:type="dxa"/>
            <w:vAlign w:val="bottom"/>
          </w:tcPr>
          <w:p>
            <w:pPr>
              <w:jc w:val="right"/>
              <w:ind w:right="413"/>
              <w:spacing w:after="0"/>
              <w:rPr>
                <w:sz w:val="20"/>
                <w:szCs w:val="20"/>
                <w:color w:val="auto"/>
              </w:rPr>
            </w:pPr>
            <w:r>
              <w:rPr>
                <w:rFonts w:ascii="Arial" w:cs="Arial" w:eastAsia="Arial" w:hAnsi="Arial"/>
                <w:sz w:val="17"/>
                <w:szCs w:val="17"/>
                <w:color w:val="auto"/>
              </w:rPr>
              <w:t>2,394,045</w:t>
            </w:r>
          </w:p>
        </w:tc>
        <w:tc>
          <w:tcPr>
            <w:tcW w:w="1420" w:type="dxa"/>
            <w:vAlign w:val="bottom"/>
          </w:tcPr>
          <w:p>
            <w:pPr>
              <w:jc w:val="right"/>
              <w:ind w:right="513"/>
              <w:spacing w:after="0"/>
              <w:rPr>
                <w:sz w:val="20"/>
                <w:szCs w:val="20"/>
                <w:color w:val="auto"/>
              </w:rPr>
            </w:pPr>
            <w:r>
              <w:rPr>
                <w:rFonts w:ascii="Arial" w:cs="Arial" w:eastAsia="Arial" w:hAnsi="Arial"/>
                <w:sz w:val="17"/>
                <w:szCs w:val="17"/>
                <w:color w:val="auto"/>
              </w:rPr>
              <w:t>10.5</w:t>
            </w: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Mauro and Yasmine Gibellini(13)</w:t>
            </w:r>
          </w:p>
        </w:tc>
        <w:tc>
          <w:tcPr>
            <w:tcW w:w="220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1,447,011</w:t>
            </w:r>
          </w:p>
        </w:tc>
        <w:tc>
          <w:tcPr>
            <w:tcW w:w="1420" w:type="dxa"/>
            <w:vAlign w:val="bottom"/>
            <w:shd w:val="clear" w:color="auto" w:fill="CCEEFF"/>
          </w:tcPr>
          <w:p>
            <w:pPr>
              <w:jc w:val="right"/>
              <w:ind w:right="513"/>
              <w:spacing w:after="0"/>
              <w:rPr>
                <w:sz w:val="20"/>
                <w:szCs w:val="20"/>
                <w:color w:val="auto"/>
              </w:rPr>
            </w:pPr>
            <w:r>
              <w:rPr>
                <w:rFonts w:ascii="Arial" w:cs="Arial" w:eastAsia="Arial" w:hAnsi="Arial"/>
                <w:sz w:val="17"/>
                <w:szCs w:val="17"/>
                <w:color w:val="auto"/>
              </w:rPr>
              <w:t>6.4</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400" w:hanging="313"/>
        <w:spacing w:after="0"/>
        <w:tabs>
          <w:tab w:leader="none" w:pos="4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53" w:lineRule="exact"/>
        <w:rPr>
          <w:sz w:val="20"/>
          <w:szCs w:val="20"/>
          <w:color w:val="auto"/>
        </w:rPr>
      </w:pPr>
    </w:p>
    <w:p>
      <w:pPr>
        <w:ind w:left="400" w:hanging="362"/>
        <w:spacing w:after="0"/>
        <w:tabs>
          <w:tab w:leader="none" w:pos="4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Consists of the following shares of our common stock:</w:t>
      </w:r>
    </w:p>
    <w:p>
      <w:pPr>
        <w:spacing w:after="0" w:line="105" w:lineRule="exact"/>
        <w:rPr>
          <w:rFonts w:ascii="Arial" w:cs="Arial" w:eastAsia="Arial" w:hAnsi="Arial"/>
          <w:sz w:val="17"/>
          <w:szCs w:val="17"/>
          <w:color w:val="auto"/>
        </w:rPr>
      </w:pPr>
    </w:p>
    <w:p>
      <w:pPr>
        <w:ind w:left="500" w:hanging="104"/>
        <w:spacing w:after="0"/>
        <w:tabs>
          <w:tab w:leader="none" w:pos="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8,314,819 shares held by Intervac, L.L.C.;</w:t>
      </w:r>
    </w:p>
    <w:p>
      <w:pPr>
        <w:spacing w:after="0" w:line="53" w:lineRule="exact"/>
        <w:rPr>
          <w:rFonts w:ascii="Arial" w:cs="Arial" w:eastAsia="Arial" w:hAnsi="Arial"/>
          <w:sz w:val="17"/>
          <w:szCs w:val="17"/>
          <w:color w:val="auto"/>
        </w:rPr>
      </w:pPr>
    </w:p>
    <w:p>
      <w:pPr>
        <w:ind w:left="500" w:hanging="104"/>
        <w:spacing w:after="0"/>
        <w:tabs>
          <w:tab w:leader="none" w:pos="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4,065,043 shares held by BioPharm, L.L.C.;</w:t>
      </w:r>
    </w:p>
    <w:p>
      <w:pPr>
        <w:spacing w:after="0" w:line="53" w:lineRule="exact"/>
        <w:rPr>
          <w:rFonts w:ascii="Arial" w:cs="Arial" w:eastAsia="Arial" w:hAnsi="Arial"/>
          <w:sz w:val="17"/>
          <w:szCs w:val="17"/>
          <w:color w:val="auto"/>
        </w:rPr>
      </w:pPr>
    </w:p>
    <w:p>
      <w:pPr>
        <w:ind w:left="500" w:hanging="104"/>
        <w:spacing w:after="0"/>
        <w:tabs>
          <w:tab w:leader="none" w:pos="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1,934,849 shares held by Michigan Biologic Products, Inc.;</w:t>
      </w:r>
    </w:p>
    <w:p>
      <w:pPr>
        <w:spacing w:after="0" w:line="53" w:lineRule="exact"/>
        <w:rPr>
          <w:rFonts w:ascii="Arial" w:cs="Arial" w:eastAsia="Arial" w:hAnsi="Arial"/>
          <w:sz w:val="17"/>
          <w:szCs w:val="17"/>
          <w:color w:val="auto"/>
        </w:rPr>
      </w:pPr>
    </w:p>
    <w:p>
      <w:pPr>
        <w:ind w:left="500" w:hanging="104"/>
        <w:spacing w:after="0"/>
        <w:tabs>
          <w:tab w:leader="none" w:pos="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1,599,155 shares held by Biovac, L.L.C.;</w:t>
      </w:r>
    </w:p>
    <w:p>
      <w:pPr>
        <w:spacing w:after="0" w:line="53" w:lineRule="exact"/>
        <w:rPr>
          <w:rFonts w:ascii="Arial" w:cs="Arial" w:eastAsia="Arial" w:hAnsi="Arial"/>
          <w:sz w:val="17"/>
          <w:szCs w:val="17"/>
          <w:color w:val="auto"/>
        </w:rPr>
      </w:pPr>
    </w:p>
    <w:p>
      <w:pPr>
        <w:ind w:left="500" w:hanging="104"/>
        <w:spacing w:after="0"/>
        <w:tabs>
          <w:tab w:leader="none" w:pos="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1,375,084 shares held by Biologika, L.L.C.;</w:t>
      </w:r>
    </w:p>
    <w:p>
      <w:pPr>
        <w:spacing w:after="0" w:line="53" w:lineRule="exact"/>
        <w:rPr>
          <w:rFonts w:ascii="Arial" w:cs="Arial" w:eastAsia="Arial" w:hAnsi="Arial"/>
          <w:sz w:val="17"/>
          <w:szCs w:val="17"/>
          <w:color w:val="auto"/>
        </w:rPr>
      </w:pPr>
    </w:p>
    <w:p>
      <w:pPr>
        <w:ind w:left="500" w:hanging="104"/>
        <w:spacing w:after="0"/>
        <w:tabs>
          <w:tab w:leader="none" w:pos="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719,275 shares held by Intervac Management, L.L.C.;</w:t>
      </w:r>
    </w:p>
    <w:p>
      <w:pPr>
        <w:spacing w:after="0" w:line="53" w:lineRule="exact"/>
        <w:rPr>
          <w:rFonts w:ascii="Arial" w:cs="Arial" w:eastAsia="Arial" w:hAnsi="Arial"/>
          <w:sz w:val="17"/>
          <w:szCs w:val="17"/>
          <w:color w:val="auto"/>
        </w:rPr>
      </w:pPr>
    </w:p>
    <w:p>
      <w:pPr>
        <w:ind w:left="500" w:hanging="104"/>
        <w:spacing w:after="0"/>
        <w:tabs>
          <w:tab w:leader="none" w:pos="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658,254 shares held by ARPI, L.L.C.;</w:t>
      </w:r>
    </w:p>
    <w:p>
      <w:pPr>
        <w:spacing w:after="0" w:line="53" w:lineRule="exact"/>
        <w:rPr>
          <w:rFonts w:ascii="Arial" w:cs="Arial" w:eastAsia="Arial" w:hAnsi="Arial"/>
          <w:sz w:val="17"/>
          <w:szCs w:val="17"/>
          <w:color w:val="auto"/>
        </w:rPr>
      </w:pPr>
    </w:p>
    <w:p>
      <w:pPr>
        <w:ind w:left="500" w:hanging="104"/>
        <w:spacing w:after="0"/>
        <w:tabs>
          <w:tab w:leader="none" w:pos="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3,636,801 shares held by Microscience Investments Limited; and</w:t>
      </w:r>
    </w:p>
    <w:p>
      <w:pPr>
        <w:spacing w:after="0" w:line="66" w:lineRule="exact"/>
        <w:rPr>
          <w:rFonts w:ascii="Arial" w:cs="Arial" w:eastAsia="Arial" w:hAnsi="Arial"/>
          <w:sz w:val="17"/>
          <w:szCs w:val="17"/>
          <w:color w:val="auto"/>
        </w:rPr>
      </w:pPr>
    </w:p>
    <w:p>
      <w:pPr>
        <w:ind w:left="500" w:hanging="104"/>
        <w:spacing w:after="0"/>
        <w:tabs>
          <w:tab w:leader="none" w:pos="500" w:val="left"/>
        </w:tabs>
        <w:numPr>
          <w:ilvl w:val="1"/>
          <w:numId w:val="112"/>
        </w:numPr>
        <w:rPr>
          <w:rFonts w:ascii="Arial" w:cs="Arial" w:eastAsia="Arial" w:hAnsi="Arial"/>
          <w:sz w:val="17"/>
          <w:szCs w:val="17"/>
          <w:color w:val="auto"/>
        </w:rPr>
      </w:pPr>
      <w:r>
        <w:rPr>
          <w:rFonts w:ascii="Arial" w:cs="Arial" w:eastAsia="Arial" w:hAnsi="Arial"/>
          <w:sz w:val="17"/>
          <w:szCs w:val="17"/>
          <w:color w:val="auto"/>
        </w:rPr>
        <w:t>86,312 shares subject to stock options held by Mr. El-Hibri exercisable within 60 days of October 20, 2006.</w:t>
      </w:r>
    </w:p>
    <w:p>
      <w:pPr>
        <w:spacing w:after="0" w:line="119" w:lineRule="exact"/>
        <w:rPr>
          <w:sz w:val="20"/>
          <w:szCs w:val="20"/>
          <w:color w:val="auto"/>
        </w:rPr>
      </w:pPr>
    </w:p>
    <w:p>
      <w:pPr>
        <w:ind w:left="400" w:right="380"/>
        <w:spacing w:after="0" w:line="250" w:lineRule="auto"/>
        <w:rPr>
          <w:sz w:val="20"/>
          <w:szCs w:val="20"/>
          <w:color w:val="auto"/>
        </w:rPr>
      </w:pPr>
      <w:r>
        <w:rPr>
          <w:rFonts w:ascii="Arial" w:cs="Arial" w:eastAsia="Arial" w:hAnsi="Arial"/>
          <w:sz w:val="17"/>
          <w:szCs w:val="17"/>
          <w:color w:val="auto"/>
        </w:rPr>
        <w:t>If the underwriters exercise their over-allotment option in full, Mr. El-Hibri will beneficially own 21,909,593 shares of our common stock after this offering, or 78.9% of our outstanding common stock, consisting of the following shares of our common stock:</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8,014,819 shares held by Intervac, L.L.C.;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132080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40" w:top="1036" w:right="1039" w:bottom="1440" w:gutter="0" w:footer="0" w:header="0"/>
        </w:sectPr>
      </w:pPr>
    </w:p>
    <w:bookmarkStart w:id="162" w:name="page163"/>
    <w:bookmarkEnd w:id="162"/>
    <w:p>
      <w:pPr>
        <w:ind w:left="520" w:hanging="104"/>
        <w:spacing w:after="0"/>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4,065,043 shares held by BioPharm, L.L.C.;</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1,844,849 shares held by Michigan Biologic Products, Inc.;</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1,599,155 shares held by Biovac, L.L.C.;</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1,315,084 shares held by Biologika, L.L.C.;</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719,275 shares held by Intervac Management, L.L.C.;</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628,254 shares held by ARPI, L.L.C.;</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3,636,801 shares held by Microscience Investments Limited; and</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86,313 shares subject to stock options held by Mr. El-Hibri exercisable within 60 days of October 20, 2006.</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Robert Myers has the power to direct the disposition of all shares of our capital stock held by Michigan Biologic Products.</w:t>
      </w:r>
    </w:p>
    <w:p>
      <w:pPr>
        <w:spacing w:after="0" w:line="53" w:lineRule="exact"/>
        <w:rPr>
          <w:sz w:val="20"/>
          <w:szCs w:val="20"/>
          <w:color w:val="auto"/>
        </w:rPr>
      </w:pPr>
    </w:p>
    <w:p>
      <w:pPr>
        <w:ind w:left="420"/>
        <w:spacing w:after="0" w:line="258" w:lineRule="auto"/>
        <w:rPr>
          <w:sz w:val="20"/>
          <w:szCs w:val="20"/>
          <w:color w:val="auto"/>
        </w:rPr>
      </w:pPr>
      <w:r>
        <w:rPr>
          <w:rFonts w:ascii="Arial" w:cs="Arial" w:eastAsia="Arial" w:hAnsi="Arial"/>
          <w:sz w:val="17"/>
          <w:szCs w:val="17"/>
          <w:color w:val="auto"/>
        </w:rPr>
        <w:t>Mauro and Yasmine Gibellini, as tenants by the entirety, have the power to dispose of all shares of our capital stock held by Biologika.</w:t>
      </w:r>
    </w:p>
    <w:p>
      <w:pPr>
        <w:spacing w:after="0" w:line="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Janice Mugrditchian has the power to dispose of all shares of our capital stock held by ARPI.</w:t>
      </w:r>
    </w:p>
    <w:p>
      <w:pPr>
        <w:spacing w:after="0" w:line="106" w:lineRule="exact"/>
        <w:rPr>
          <w:sz w:val="20"/>
          <w:szCs w:val="20"/>
          <w:color w:val="auto"/>
        </w:rPr>
      </w:pPr>
    </w:p>
    <w:p>
      <w:pPr>
        <w:ind w:left="420" w:right="160"/>
        <w:spacing w:after="0" w:line="258" w:lineRule="auto"/>
        <w:rPr>
          <w:sz w:val="20"/>
          <w:szCs w:val="20"/>
          <w:color w:val="auto"/>
        </w:rPr>
      </w:pPr>
      <w:r>
        <w:rPr>
          <w:rFonts w:ascii="Arial" w:cs="Arial" w:eastAsia="Arial" w:hAnsi="Arial"/>
          <w:sz w:val="17"/>
          <w:szCs w:val="17"/>
          <w:color w:val="auto"/>
        </w:rPr>
        <w:t>The holders of series B preferred ordinary shares of Microscience Investments have the power to dispose of all shares of our capital stock held by Microscience Investments and share the power to vote these shares with BioPharm, L.L.C.</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more information regarding the beneficial ownership of these shares, see “— Stockholder arrangements” below.</w:t>
      </w:r>
    </w:p>
    <w:p>
      <w:pPr>
        <w:spacing w:after="0" w:line="66" w:lineRule="exact"/>
        <w:rPr>
          <w:sz w:val="20"/>
          <w:szCs w:val="20"/>
          <w:color w:val="auto"/>
        </w:rPr>
      </w:pPr>
    </w:p>
    <w:p>
      <w:pPr>
        <w:ind w:left="420" w:hanging="362"/>
        <w:spacing w:after="0"/>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Consists of 38,361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Consists of 513,561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Consists of 19,181 shares of common stock subject to stock options exercisable within 60 days of October 20, 2006.</w:t>
      </w:r>
    </w:p>
    <w:p>
      <w:pPr>
        <w:spacing w:after="0" w:line="53" w:lineRule="exact"/>
        <w:rPr>
          <w:rFonts w:ascii="Arial" w:cs="Arial" w:eastAsia="Arial" w:hAnsi="Arial"/>
          <w:sz w:val="17"/>
          <w:szCs w:val="17"/>
          <w:color w:val="auto"/>
        </w:rPr>
      </w:pPr>
    </w:p>
    <w:p>
      <w:pPr>
        <w:ind w:left="420" w:hanging="362"/>
        <w:spacing w:after="0"/>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Consists of 74,516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Consists of 28,770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Consists of 14,385 shares of common stock subject to stock options exercisable within 60 days of October 20, 2006.</w:t>
      </w:r>
    </w:p>
    <w:p>
      <w:pPr>
        <w:spacing w:after="0" w:line="53" w:lineRule="exact"/>
        <w:rPr>
          <w:rFonts w:ascii="Arial" w:cs="Arial" w:eastAsia="Arial" w:hAnsi="Arial"/>
          <w:sz w:val="17"/>
          <w:szCs w:val="17"/>
          <w:color w:val="auto"/>
        </w:rPr>
      </w:pPr>
    </w:p>
    <w:p>
      <w:pPr>
        <w:ind w:left="420" w:hanging="362"/>
        <w:spacing w:after="0"/>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Consists of 14,385 shares of common stock subject to stock options exercisable within 60 days of October 20, 2006.</w:t>
      </w:r>
    </w:p>
    <w:p>
      <w:pPr>
        <w:spacing w:after="0" w:line="66" w:lineRule="exact"/>
        <w:rPr>
          <w:rFonts w:ascii="Arial" w:cs="Arial" w:eastAsia="Arial" w:hAnsi="Arial"/>
          <w:sz w:val="17"/>
          <w:szCs w:val="17"/>
          <w:color w:val="auto"/>
        </w:rPr>
      </w:pPr>
    </w:p>
    <w:p>
      <w:pPr>
        <w:ind w:left="420" w:hanging="362"/>
        <w:spacing w:after="0"/>
        <w:tabs>
          <w:tab w:leader="none" w:pos="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Includes 825,434 shares of common stock subject to stock options exercisable within 60 days of October 20, 2006.</w:t>
      </w:r>
    </w:p>
    <w:p>
      <w:pPr>
        <w:spacing w:after="0" w:line="6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(10) Consists of the following shares of our common stock:</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8,314,819 shares held by Intervac, L.L.C.;</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4,065,043 shares held by BioPharm, L.L.C.;</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1,934,849 shares held by Michigan Biologic Products, Inc.;</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1,599,155 shares held by Biovac, L.L.C.;</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38" w:right="1079" w:bottom="1440" w:gutter="0" w:footer="0" w:header="0"/>
        </w:sectPr>
      </w:pPr>
    </w:p>
    <w:bookmarkStart w:id="163" w:name="page164"/>
    <w:bookmarkEnd w:id="163"/>
    <w:p>
      <w:pPr>
        <w:ind w:left="510" w:hanging="104"/>
        <w:spacing w:after="0"/>
        <w:tabs>
          <w:tab w:leader="none" w:pos="51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1,375,084 shares held by Biologika, L.L.C.;</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719,275 shares held by Intervac Management, L.L.C.;</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658,254 shares held by ARPI, L.L.C.; and</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3,636,801 shares held by Microscience Investments Limited.</w:t>
      </w:r>
    </w:p>
    <w:p>
      <w:pPr>
        <w:spacing w:after="0" w:line="53" w:lineRule="exact"/>
        <w:rPr>
          <w:sz w:val="20"/>
          <w:szCs w:val="20"/>
          <w:color w:val="auto"/>
        </w:rPr>
      </w:pPr>
    </w:p>
    <w:p>
      <w:pPr>
        <w:jc w:val="both"/>
        <w:ind w:left="410" w:right="60"/>
        <w:spacing w:after="0" w:line="250" w:lineRule="auto"/>
        <w:rPr>
          <w:sz w:val="20"/>
          <w:szCs w:val="20"/>
          <w:color w:val="auto"/>
        </w:rPr>
      </w:pPr>
      <w:r>
        <w:rPr>
          <w:rFonts w:ascii="Arial" w:cs="Arial" w:eastAsia="Arial" w:hAnsi="Arial"/>
          <w:sz w:val="17"/>
          <w:szCs w:val="17"/>
          <w:color w:val="auto"/>
        </w:rPr>
        <w:t>If the underwriters exercise their over-allotment option in full, these stockholders will beneficially own 21,823,280 shares of our common stock after this offering, or 78.8% of our outstanding common stock, consisting of the following shares of our common stock:</w:t>
      </w:r>
    </w:p>
    <w:p>
      <w:pPr>
        <w:spacing w:after="0" w:line="31" w:lineRule="exact"/>
        <w:rPr>
          <w:sz w:val="20"/>
          <w:szCs w:val="20"/>
          <w:color w:val="auto"/>
        </w:rPr>
      </w:pPr>
    </w:p>
    <w:p>
      <w:pPr>
        <w:ind w:left="510" w:hanging="104"/>
        <w:spacing w:after="0"/>
        <w:tabs>
          <w:tab w:leader="none" w:pos="5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8,014,819 shares held by Intervac, L.L.C.;</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4,065,043 shares held by BioPharm, L.L.C.;</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1,844,849 shares held by Michigan Biologic Products, Inc.;</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1,599,155 shares held by Biovac, L.L.C.;</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1,315,084 shares held by Biologika, L.L.C.;</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719,275 shares held by Intervac Management, L.L.C.;</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628,254 shares held by ARPI, L.L.C.; and</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3,636,801 shares held by Microscience Investments Limited.</w:t>
      </w:r>
    </w:p>
    <w:p>
      <w:pPr>
        <w:spacing w:after="0" w:line="53" w:lineRule="exact"/>
        <w:rPr>
          <w:sz w:val="20"/>
          <w:szCs w:val="20"/>
          <w:color w:val="auto"/>
        </w:rPr>
      </w:pPr>
    </w:p>
    <w:p>
      <w:pPr>
        <w:jc w:val="both"/>
        <w:ind w:left="410" w:right="60"/>
        <w:spacing w:after="0" w:line="250" w:lineRule="auto"/>
        <w:rPr>
          <w:sz w:val="20"/>
          <w:szCs w:val="20"/>
          <w:color w:val="auto"/>
        </w:rPr>
      </w:pPr>
      <w:r>
        <w:rPr>
          <w:rFonts w:ascii="Arial" w:cs="Arial" w:eastAsia="Arial" w:hAnsi="Arial"/>
          <w:sz w:val="17"/>
          <w:szCs w:val="17"/>
          <w:color w:val="auto"/>
        </w:rPr>
        <w:t>Intervac, BioPharm, Michigan Biologic Products, Biovac, Biologika, Intervac Management and ARPI are parties to a voting agreement dated June 30, 2004. BioPharm also is a party to separate voting agreements with Michigan Biologic Products, Biologika and Microscience Investments.</w:t>
      </w:r>
    </w:p>
    <w:p>
      <w:pPr>
        <w:spacing w:after="0" w:line="31" w:lineRule="exact"/>
        <w:rPr>
          <w:sz w:val="20"/>
          <w:szCs w:val="20"/>
          <w:color w:val="auto"/>
        </w:rPr>
      </w:pPr>
    </w:p>
    <w:p>
      <w:pPr>
        <w:ind w:left="410"/>
        <w:spacing w:after="0"/>
        <w:rPr>
          <w:sz w:val="20"/>
          <w:szCs w:val="20"/>
          <w:color w:val="auto"/>
        </w:rPr>
      </w:pPr>
      <w:r>
        <w:rPr>
          <w:rFonts w:ascii="Arial" w:cs="Arial" w:eastAsia="Arial" w:hAnsi="Arial"/>
          <w:sz w:val="17"/>
          <w:szCs w:val="17"/>
          <w:color w:val="auto"/>
        </w:rPr>
        <w:t>Robert Myers has the power to direct the disposition of all shares of our capital stock held by Michigan Biologic Products.</w:t>
      </w:r>
    </w:p>
    <w:p>
      <w:pPr>
        <w:spacing w:after="0" w:line="53" w:lineRule="exact"/>
        <w:rPr>
          <w:sz w:val="20"/>
          <w:szCs w:val="20"/>
          <w:color w:val="auto"/>
        </w:rPr>
      </w:pPr>
    </w:p>
    <w:p>
      <w:pPr>
        <w:ind w:left="410"/>
        <w:spacing w:after="0" w:line="258" w:lineRule="auto"/>
        <w:rPr>
          <w:sz w:val="20"/>
          <w:szCs w:val="20"/>
          <w:color w:val="auto"/>
        </w:rPr>
      </w:pPr>
      <w:r>
        <w:rPr>
          <w:rFonts w:ascii="Arial" w:cs="Arial" w:eastAsia="Arial" w:hAnsi="Arial"/>
          <w:sz w:val="17"/>
          <w:szCs w:val="17"/>
          <w:color w:val="auto"/>
        </w:rPr>
        <w:t>Mauro and Yasmine Gibellini, as tenants by the entirety, have the power to dispose of all shares of our capital stock held by Biologika.</w:t>
      </w:r>
    </w:p>
    <w:p>
      <w:pPr>
        <w:spacing w:after="0" w:line="25" w:lineRule="exact"/>
        <w:rPr>
          <w:sz w:val="20"/>
          <w:szCs w:val="20"/>
          <w:color w:val="auto"/>
        </w:rPr>
      </w:pPr>
    </w:p>
    <w:p>
      <w:pPr>
        <w:ind w:left="410"/>
        <w:spacing w:after="0"/>
        <w:rPr>
          <w:sz w:val="20"/>
          <w:szCs w:val="20"/>
          <w:color w:val="auto"/>
        </w:rPr>
      </w:pPr>
      <w:r>
        <w:rPr>
          <w:rFonts w:ascii="Arial" w:cs="Arial" w:eastAsia="Arial" w:hAnsi="Arial"/>
          <w:sz w:val="17"/>
          <w:szCs w:val="17"/>
          <w:color w:val="auto"/>
        </w:rPr>
        <w:t>Janice Mugrditchian has the power to dispose of all shares of our capital stock held by ARPI.</w:t>
      </w:r>
    </w:p>
    <w:p>
      <w:pPr>
        <w:spacing w:after="0" w:line="53" w:lineRule="exact"/>
        <w:rPr>
          <w:sz w:val="20"/>
          <w:szCs w:val="20"/>
          <w:color w:val="auto"/>
        </w:rPr>
      </w:pPr>
    </w:p>
    <w:p>
      <w:pPr>
        <w:ind w:left="410" w:right="160"/>
        <w:spacing w:after="0" w:line="258" w:lineRule="auto"/>
        <w:rPr>
          <w:sz w:val="20"/>
          <w:szCs w:val="20"/>
          <w:color w:val="auto"/>
        </w:rPr>
      </w:pPr>
      <w:r>
        <w:rPr>
          <w:rFonts w:ascii="Arial" w:cs="Arial" w:eastAsia="Arial" w:hAnsi="Arial"/>
          <w:sz w:val="17"/>
          <w:szCs w:val="17"/>
          <w:color w:val="auto"/>
        </w:rPr>
        <w:t>The holders of series B preferred ordinary shares of Microscience Investments have the power to dispose of all shares of our capital stock held by Microscience Investments.</w:t>
      </w:r>
    </w:p>
    <w:p>
      <w:pPr>
        <w:spacing w:after="0" w:line="25" w:lineRule="exact"/>
        <w:rPr>
          <w:sz w:val="20"/>
          <w:szCs w:val="20"/>
          <w:color w:val="auto"/>
        </w:rPr>
      </w:pPr>
    </w:p>
    <w:p>
      <w:pPr>
        <w:ind w:left="410"/>
        <w:spacing w:after="0"/>
        <w:rPr>
          <w:sz w:val="20"/>
          <w:szCs w:val="20"/>
          <w:color w:val="auto"/>
        </w:rPr>
      </w:pPr>
      <w:r>
        <w:rPr>
          <w:rFonts w:ascii="Arial" w:cs="Arial" w:eastAsia="Arial" w:hAnsi="Arial"/>
          <w:sz w:val="17"/>
          <w:szCs w:val="17"/>
          <w:color w:val="auto"/>
        </w:rPr>
        <w:t>For more information regarding the beneficial ownership of these shares, see “— Stockholder arrangements” below.</w:t>
      </w:r>
    </w:p>
    <w:p>
      <w:pPr>
        <w:spacing w:after="0" w:line="53" w:lineRule="exact"/>
        <w:rPr>
          <w:sz w:val="20"/>
          <w:szCs w:val="20"/>
          <w:color w:val="auto"/>
        </w:rPr>
      </w:pPr>
    </w:p>
    <w:p>
      <w:pPr>
        <w:ind w:left="410" w:right="20" w:hanging="410"/>
        <w:spacing w:after="0" w:line="243" w:lineRule="auto"/>
        <w:tabs>
          <w:tab w:leader="none" w:pos="41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holders of series B preferred ordinary shares of Microscience Investments have the power to dispose of all shares of our capital stock held by Microscience Investments and share the power to vote these shares with BioPharm, L.L.C. Investment funds affiliated with Apax Funds Nominees Limited, Advent Private Equity Funds, JP Morgan Partners LLC and The Merlin Biosciences Funds are the holders of the Microscience Investments series B preferred ordinary shares. No holder or group of affiliated holders of series B preferred ordinary shares of Microscience Investments alone has the power to direct the disposition of the shares of our capital stock held by Microscience Investments. Microscience Investments is a party to a voting agreement with BioPharm. For more information regarding this voting agreement, see “— Stockholder arrangements” below.</w:t>
      </w:r>
    </w:p>
    <w:p>
      <w:pPr>
        <w:spacing w:after="0" w:line="40" w:lineRule="exact"/>
        <w:rPr>
          <w:rFonts w:ascii="Arial" w:cs="Arial" w:eastAsia="Arial" w:hAnsi="Arial"/>
          <w:sz w:val="17"/>
          <w:szCs w:val="17"/>
          <w:color w:val="auto"/>
        </w:rPr>
      </w:pPr>
    </w:p>
    <w:p>
      <w:pPr>
        <w:ind w:left="410" w:hanging="410"/>
        <w:spacing w:after="0"/>
        <w:tabs>
          <w:tab w:leader="none" w:pos="41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Consists of the following shares of our common stock:</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1,934,849 shares held by Michigan Biologic Products, Inc.; and</w:t>
      </w:r>
    </w:p>
    <w:p>
      <w:pPr>
        <w:spacing w:after="0" w:line="53" w:lineRule="exact"/>
        <w:rPr>
          <w:rFonts w:ascii="Arial" w:cs="Arial" w:eastAsia="Arial" w:hAnsi="Arial"/>
          <w:sz w:val="17"/>
          <w:szCs w:val="17"/>
          <w:color w:val="auto"/>
        </w:rPr>
      </w:pPr>
    </w:p>
    <w:p>
      <w:pPr>
        <w:ind w:left="510" w:hanging="104"/>
        <w:spacing w:after="0"/>
        <w:tabs>
          <w:tab w:leader="none" w:pos="51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459,196 shares subject to stock options held by Dr. Myers exercisable within 60 days of October 20, 2006.</w:t>
      </w:r>
    </w:p>
    <w:p>
      <w:pPr>
        <w:spacing w:after="0" w:line="381"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132080</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90"/>
          </w:cols>
          <w:pgMar w:left="930" w:top="938" w:right="1079" w:bottom="1440" w:gutter="0" w:footer="0" w:header="0"/>
        </w:sectPr>
      </w:pPr>
    </w:p>
    <w:bookmarkStart w:id="164" w:name="page165"/>
    <w:bookmarkEnd w:id="164"/>
    <w:p>
      <w:pPr>
        <w:jc w:val="both"/>
        <w:ind w:left="420" w:right="580"/>
        <w:spacing w:after="0" w:line="250" w:lineRule="auto"/>
        <w:rPr>
          <w:sz w:val="20"/>
          <w:szCs w:val="20"/>
          <w:color w:val="auto"/>
        </w:rPr>
      </w:pPr>
      <w:r>
        <w:rPr>
          <w:rFonts w:ascii="Arial" w:cs="Arial" w:eastAsia="Arial" w:hAnsi="Arial"/>
          <w:sz w:val="17"/>
          <w:szCs w:val="17"/>
          <w:color w:val="auto"/>
        </w:rPr>
        <w:t>If the underwriters exercise their over-allotment option in full, Dr. Myers will beneficially own 2,304,045 shares of our common stock after this offering, or 8.2% of our outstanding common stock, consisting of the following shares of our common stock:</w:t>
      </w:r>
    </w:p>
    <w:p>
      <w:pPr>
        <w:spacing w:after="0" w:line="31" w:lineRule="exact"/>
        <w:rPr>
          <w:sz w:val="20"/>
          <w:szCs w:val="20"/>
          <w:color w:val="auto"/>
        </w:rPr>
      </w:pPr>
    </w:p>
    <w:p>
      <w:pPr>
        <w:ind w:left="520" w:hanging="104"/>
        <w:spacing w:after="0"/>
        <w:tabs>
          <w:tab w:leader="none" w:pos="5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1,844,849 shares held by Michigan Biologic Products, Inc.; and</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459,196 shares subject to stock options held by Dr. Myers exercisable within 60 days of October 20, 2006.</w:t>
      </w:r>
    </w:p>
    <w:p>
      <w:pPr>
        <w:spacing w:after="0" w:line="53" w:lineRule="exact"/>
        <w:rPr>
          <w:sz w:val="20"/>
          <w:szCs w:val="20"/>
          <w:color w:val="auto"/>
        </w:rPr>
      </w:pPr>
    </w:p>
    <w:p>
      <w:pPr>
        <w:jc w:val="both"/>
        <w:ind w:left="420" w:right="440"/>
        <w:spacing w:after="0" w:line="250" w:lineRule="auto"/>
        <w:rPr>
          <w:sz w:val="20"/>
          <w:szCs w:val="20"/>
          <w:color w:val="auto"/>
        </w:rPr>
      </w:pPr>
      <w:r>
        <w:rPr>
          <w:rFonts w:ascii="Arial" w:cs="Arial" w:eastAsia="Arial" w:hAnsi="Arial"/>
          <w:sz w:val="17"/>
          <w:szCs w:val="17"/>
          <w:color w:val="auto"/>
        </w:rPr>
        <w:t>Dr. Myers has the power to direct the disposition of all shares of our capital stock held by Michigan Biologic Products. Mr. El-Hibri has the power to direct the voting of all shares of our capital stock held by Michigan Biologic Products. For more information regarding the beneficial ownership of these shares, see “— Stockholder arrangements” below.</w:t>
      </w:r>
    </w:p>
    <w:p>
      <w:pPr>
        <w:spacing w:after="0" w:line="31" w:lineRule="exact"/>
        <w:rPr>
          <w:sz w:val="20"/>
          <w:szCs w:val="20"/>
          <w:color w:val="auto"/>
        </w:rPr>
      </w:pPr>
    </w:p>
    <w:p>
      <w:pPr>
        <w:ind w:left="420" w:hanging="410"/>
        <w:spacing w:after="0"/>
        <w:tabs>
          <w:tab w:leader="none" w:pos="4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Consists of the following shares of our common stock:</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1,375,084 shares held by Biologika, L.L.C.; and</w:t>
      </w:r>
    </w:p>
    <w:p>
      <w:pPr>
        <w:spacing w:after="0" w:line="66" w:lineRule="exact"/>
        <w:rPr>
          <w:rFonts w:ascii="Arial" w:cs="Arial" w:eastAsia="Arial" w:hAnsi="Arial"/>
          <w:sz w:val="17"/>
          <w:szCs w:val="17"/>
          <w:color w:val="auto"/>
        </w:rPr>
      </w:pPr>
    </w:p>
    <w:p>
      <w:pPr>
        <w:ind w:left="520" w:hanging="104"/>
        <w:spacing w:after="0"/>
        <w:tabs>
          <w:tab w:leader="none" w:pos="52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71,927 shares subject to stock options held by Mr. Gibellini exercisable within 60 days of October 20, 2006.</w:t>
      </w:r>
    </w:p>
    <w:p>
      <w:pPr>
        <w:spacing w:after="0" w:line="53" w:lineRule="exact"/>
        <w:rPr>
          <w:sz w:val="20"/>
          <w:szCs w:val="20"/>
          <w:color w:val="auto"/>
        </w:rPr>
      </w:pPr>
    </w:p>
    <w:p>
      <w:pPr>
        <w:ind w:left="420"/>
        <w:spacing w:after="0" w:line="250" w:lineRule="auto"/>
        <w:rPr>
          <w:sz w:val="20"/>
          <w:szCs w:val="20"/>
          <w:color w:val="auto"/>
        </w:rPr>
      </w:pPr>
      <w:r>
        <w:rPr>
          <w:rFonts w:ascii="Arial" w:cs="Arial" w:eastAsia="Arial" w:hAnsi="Arial"/>
          <w:sz w:val="17"/>
          <w:szCs w:val="17"/>
          <w:color w:val="auto"/>
        </w:rPr>
        <w:t>If the underwriters exercise their over-allotment option in full, Mr. and Mrs. Gibellini will beneficially own 1,387,011 shares of our common stock after this offering, or 5.2% of our outstanding common stock, consisting of the following shares of our common stock:</w:t>
      </w:r>
    </w:p>
    <w:p>
      <w:pPr>
        <w:spacing w:after="0" w:line="31" w:lineRule="exact"/>
        <w:rPr>
          <w:sz w:val="20"/>
          <w:szCs w:val="20"/>
          <w:color w:val="auto"/>
        </w:rPr>
      </w:pPr>
    </w:p>
    <w:p>
      <w:pPr>
        <w:ind w:left="520" w:hanging="104"/>
        <w:spacing w:after="0"/>
        <w:tabs>
          <w:tab w:leader="none" w:pos="5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1,315,084 shares held by Biologika, L.L.C.; and</w:t>
      </w:r>
    </w:p>
    <w:p>
      <w:pPr>
        <w:spacing w:after="0" w:line="53" w:lineRule="exact"/>
        <w:rPr>
          <w:rFonts w:ascii="Arial" w:cs="Arial" w:eastAsia="Arial" w:hAnsi="Arial"/>
          <w:sz w:val="17"/>
          <w:szCs w:val="17"/>
          <w:color w:val="auto"/>
        </w:rPr>
      </w:pPr>
    </w:p>
    <w:p>
      <w:pPr>
        <w:ind w:left="520" w:hanging="104"/>
        <w:spacing w:after="0"/>
        <w:tabs>
          <w:tab w:leader="none" w:pos="5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71,927 shares subject to stock options held by Mr. Gibellini exercisable within 60 days of October 20, 2006.</w:t>
      </w:r>
    </w:p>
    <w:p>
      <w:pPr>
        <w:spacing w:after="0" w:line="53" w:lineRule="exact"/>
        <w:rPr>
          <w:sz w:val="20"/>
          <w:szCs w:val="20"/>
          <w:color w:val="auto"/>
        </w:rPr>
      </w:pPr>
    </w:p>
    <w:p>
      <w:pPr>
        <w:jc w:val="both"/>
        <w:ind w:left="420" w:right="580"/>
        <w:spacing w:after="0" w:line="250" w:lineRule="auto"/>
        <w:rPr>
          <w:sz w:val="20"/>
          <w:szCs w:val="20"/>
          <w:color w:val="auto"/>
        </w:rPr>
      </w:pPr>
      <w:r>
        <w:rPr>
          <w:rFonts w:ascii="Arial" w:cs="Arial" w:eastAsia="Arial" w:hAnsi="Arial"/>
          <w:sz w:val="17"/>
          <w:szCs w:val="17"/>
          <w:color w:val="auto"/>
        </w:rPr>
        <w:t>Mr. and Mrs. Gibellini, as tenants by the entirety, have the power to dispose of all shares of our capital stock held by Biologika. Mr. El-Hibri has the power to direct the voting of all shares of our capital stock held by Biologika. For more information regarding the beneficial ownership of these shares, see “— Stockholder arrangements” below.</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Selling stockholders</w:t>
      </w:r>
    </w:p>
    <w:p>
      <w:pPr>
        <w:spacing w:after="0" w:line="144" w:lineRule="exact"/>
        <w:rPr>
          <w:sz w:val="20"/>
          <w:szCs w:val="20"/>
          <w:color w:val="auto"/>
        </w:rPr>
      </w:pPr>
    </w:p>
    <w:p>
      <w:pPr>
        <w:ind w:right="520"/>
        <w:spacing w:after="0" w:line="250" w:lineRule="auto"/>
        <w:rPr>
          <w:sz w:val="20"/>
          <w:szCs w:val="20"/>
          <w:color w:val="auto"/>
        </w:rPr>
      </w:pPr>
      <w:r>
        <w:rPr>
          <w:rFonts w:ascii="Arial" w:cs="Arial" w:eastAsia="Arial" w:hAnsi="Arial"/>
          <w:sz w:val="17"/>
          <w:szCs w:val="17"/>
          <w:color w:val="auto"/>
        </w:rPr>
        <w:t>The stockholders listed in the following table have granted an option to the underwriters to purchase up to an aggregate of 480,000 additional shares of our common stock to cover over-allotments. The following table sets forth for each selling stockholder the number of shares of our common stock subject to the over-allotment option.</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8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 shares of</w:t>
            </w:r>
          </w:p>
        </w:tc>
        <w:tc>
          <w:tcPr>
            <w:tcW w:w="0" w:type="dxa"/>
            <w:vAlign w:val="bottom"/>
          </w:tcPr>
          <w:p>
            <w:pPr>
              <w:spacing w:after="0"/>
              <w:rPr>
                <w:sz w:val="1"/>
                <w:szCs w:val="1"/>
                <w:color w:val="auto"/>
              </w:rPr>
            </w:pPr>
          </w:p>
        </w:tc>
      </w:tr>
      <w:tr>
        <w:trPr>
          <w:trHeight w:val="182"/>
        </w:trPr>
        <w:tc>
          <w:tcPr>
            <w:tcW w:w="78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800" w:type="dxa"/>
            <w:vAlign w:val="bottom"/>
            <w:tcBorders>
              <w:top w:val="single" w:sz="8" w:color="auto"/>
            </w:tcBorders>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Intervac, L.L.C.</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Michigan Biologic Products, Inc.</w:t>
            </w:r>
          </w:p>
        </w:tc>
        <w:tc>
          <w:tcPr>
            <w:tcW w:w="2100" w:type="dxa"/>
            <w:vAlign w:val="bottom"/>
          </w:tcPr>
          <w:p>
            <w:pPr>
              <w:jc w:val="right"/>
              <w:spacing w:after="0"/>
              <w:rPr>
                <w:sz w:val="20"/>
                <w:szCs w:val="20"/>
                <w:color w:val="auto"/>
              </w:rPr>
            </w:pPr>
            <w:r>
              <w:rPr>
                <w:rFonts w:ascii="Arial" w:cs="Arial" w:eastAsia="Arial" w:hAnsi="Arial"/>
                <w:sz w:val="17"/>
                <w:szCs w:val="17"/>
                <w:color w:val="auto"/>
              </w:rPr>
              <w:t>90,000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Biologika, L.L.C.</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20"/>
                <w:szCs w:val="20"/>
                <w:color w:val="auto"/>
              </w:rPr>
            </w:pPr>
            <w:r>
              <w:rPr>
                <w:rFonts w:ascii="Arial" w:cs="Arial" w:eastAsia="Arial" w:hAnsi="Arial"/>
                <w:sz w:val="17"/>
                <w:szCs w:val="17"/>
                <w:color w:val="auto"/>
              </w:rPr>
              <w:t>ARPI, L.L.C.</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arrangements</w:t>
      </w:r>
    </w:p>
    <w:p>
      <w:pPr>
        <w:spacing w:after="0" w:line="144"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Our principal stockholders are parties to voting agreements that result in Mr. El-Hibri having the power to direct the voting of all shares of our capital stock owned by the stockholders who are party to these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165" w:name="page166"/>
    <w:bookmarkEnd w:id="165"/>
    <w:p>
      <w:pPr>
        <w:ind w:right="240"/>
        <w:spacing w:after="0" w:line="258" w:lineRule="auto"/>
        <w:rPr>
          <w:sz w:val="20"/>
          <w:szCs w:val="20"/>
          <w:color w:val="auto"/>
        </w:rPr>
      </w:pPr>
      <w:r>
        <w:rPr>
          <w:rFonts w:ascii="Arial" w:cs="Arial" w:eastAsia="Arial" w:hAnsi="Arial"/>
          <w:sz w:val="17"/>
          <w:szCs w:val="17"/>
          <w:color w:val="auto"/>
        </w:rPr>
        <w:t>voting agreements. A description of these voting agreements and additional information regarding the beneficial ownership of the shares held by our principal stockholders are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agreement dated June 30, 2004</w:t>
      </w:r>
    </w:p>
    <w:p>
      <w:pPr>
        <w:spacing w:after="0" w:line="139"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Intervac, BioPharm, Michigan Biologic Products, Biovac, Biologika, Intervac Management and ARPI are parties to a voting agreement dated June 30, 2004. We refer to these stockholders collectively as the voting group. Under the voting agreement, each stockholder in the voting group has agreed to vote all shares of our capital stock owned by it for and against and abstain from voting with respect to any matter as directed by a majority in interest of the voting group as measured by the aggregate percentage of ownership of our capital stock. As described below, Mr. El-Hibri has the power to direct the voting of a majority in interest of the voting group. In addition, under the voting agreement, each stockholder in the voting group has appointed Mr. El-Hibri, in his capacity as the general manager of Intervac, as proxy to vote the shares of our capital stock in the manner provided in the voting agreement. The voting agreement automatically terminates on June 30, 2014. Under the voting agreement, any person to whom any stockholder in the voting group transfers any shares of our capital stock must agree to be bound by the terms of the voting agreement, other than as a result of a transfer pursuant to an effective registration statement filed with the Securities and Exchange Commission under the Securities Act or pursuant to Rule 144 under the Securities Act.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Intervac, L.L.C.</w:t>
      </w:r>
    </w:p>
    <w:p>
      <w:pPr>
        <w:spacing w:after="0" w:line="13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Mr. El-Hibri is the general manager of Intervac and in that capacity has the power to vote and dispose of all shares of our capital stock held by Intervac. The board of executive directors of Intervac, consisting of William J. Crowe, Jr., Mr. El-Hibri and Nancy El-Hibri, supervises the management of the company and has the power to remove the general manager. Nancy El-Hibri is the wife of Mr. El-Hibri. A majority of the executive directors of Intervac is required to decide any matter on which the board of executive directors may take action, including the removal of the general manager. Any member of the board of executive directors may be removed by members of Intervac holding more than 50% of the aggregate ownership interests in Intervac.</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Mr. El-Hibri and his wife, as tenants by the entirety, hold 32.5% of the ownership interests in Intervac. Under a voting agreement with the William J. Crowe, Jr. Revocable Living Trust, Mr. El-Hibri has the power to vote an additional 18.0% of the ownership interests in Intervac on any matter. As a result, Mr. El-Hibri has the power to direct the voting of more than 50% of the aggregate ownership interests in Intervac. The voting agreement between Mr. El-Hibri and the William J. Crowe, Jr. Revocable Living Trust automatically terminates on October 21, 2010.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BioPharm, L.L.C.</w:t>
      </w:r>
    </w:p>
    <w:p>
      <w:pPr>
        <w:spacing w:after="0" w:line="139"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Mr. El-Hibri is the holder of more than 50% of the class B ownership units of BioPharm and in that capacity has the power to direct the voting and disposition of all shares of our capital stock held by BioPharm.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Michigan Biologic Products, Inc.</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Michigan Biologic Products has agreed, pursuant to a separate voting agreement with BioPharm, to vote all shares of our capital stock owned by it for and against and abstain from voting with respect to any matter in the same manner and to the same extent as BioPharm. As a result, Mr. El-Hibri has the power to direct the voting of all shares of our capital stock held by Michigan Biologic Products. The voting agreement automatically terminates on June 30, 2014. Under the voting agreement, any person to</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5" w:right="1079" w:bottom="1440" w:gutter="0" w:footer="0" w:header="0"/>
        </w:sectPr>
      </w:pPr>
    </w:p>
    <w:bookmarkStart w:id="166" w:name="page167"/>
    <w:bookmarkEnd w:id="166"/>
    <w:p>
      <w:pPr>
        <w:spacing w:after="0" w:line="244" w:lineRule="auto"/>
        <w:rPr>
          <w:sz w:val="20"/>
          <w:szCs w:val="20"/>
          <w:color w:val="auto"/>
        </w:rPr>
      </w:pPr>
      <w:r>
        <w:rPr>
          <w:rFonts w:ascii="Arial" w:cs="Arial" w:eastAsia="Arial" w:hAnsi="Arial"/>
          <w:sz w:val="17"/>
          <w:szCs w:val="17"/>
          <w:color w:val="auto"/>
        </w:rPr>
        <w:t>whom Michigan Biologic Products transfers any shares of our capital stock must agree to be bound by the terms of the voting agreement, other than as a result of a transfer in a brokers’ transaction or directly with a market maker, subject to BioPharm’s right to purchase at fair market value the shares that Michigan Biologic Products proposes to sell. Robert Myers, the president of Michigan Biologic Products, who also serves as senior science and policy advisor and director of our wholly owned subsidiary, Emergent BioDefense Operations Lansing Inc., has the power to direct the disposition of all shares of our capital stock held by Michigan Biologic Products.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Biovac, L.L.C.</w:t>
      </w:r>
    </w:p>
    <w:p>
      <w:pPr>
        <w:spacing w:after="0" w:line="139"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Mr. El-Hibri and his wife, as tenants by the entirety, hold 89.2% of the ownership interests in Biovac and have the power to vote and dispose of all shares of our capital stock held by Biovac.</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Biologika, L.L.C.</w:t>
      </w:r>
    </w:p>
    <w:p>
      <w:pPr>
        <w:spacing w:after="0" w:line="13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Biologika has agreed, pursuant to a separate voting agreement with BioPharm, to vote all shares of our capital stock owned by it for and against and abstain from voting with respect to any matter in the same manner and to the same extent as BioPharm. As a result, Mr. El-Hibri has the power to direct the voting of all shares of our capital stock held by Biologika. The voting agreement automatically terminates on June 30, 2014. Under the voting agreement, any person to whom Biologika transfers any shares of our capital stock must agree to be bound by the terms of the voting agreement, other than as a result of a transfer in a brokers’ transaction or directly with a market maker, subject to BioPharm’s right to purchase at fair market value the shares that Biologika proposes to sell. Mauro Gibellini and Yasmine Gibellini, as tenants by the entirety, hold 100% of the ownership interests in Biologika and have the power to dispose of all shares of our capital stock held by Biologika. Yasmine Gibellini is the sister of Mr. El-Hibri. Mauro Gibellini is the brother-in-law of Mr. El-Hibri.</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Intervac Management, L.L.C.</w:t>
      </w:r>
    </w:p>
    <w:p>
      <w:pPr>
        <w:spacing w:after="0" w:line="139"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Mr. El-Hibri is the general manager of Intervac Management and in that capacity has the power to vote and dispose of all shares of our capital stock held by Intervac Management. Mr. El-Hibri is appointed as general manager pursuant to the terms of the operating agreement of Intervac Management, which may only be amended with the unanimous consent of the members of Intervac Management. Mr. El-Hibri and his wife, as tenants by the entirety, hold 31.1% of the ownership interests in Intervac Management.</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ARPI, L.L.C.</w:t>
      </w:r>
    </w:p>
    <w:p>
      <w:pPr>
        <w:spacing w:after="0" w:line="139"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Janice Mugrditchian holds 100% of the ownership interests in ARPI and has the power to vote and dispose of all shares of our capital stock held by ARPI.</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Microscience Investments Limited</w:t>
      </w:r>
    </w:p>
    <w:p>
      <w:pPr>
        <w:spacing w:after="0" w:line="139"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Microscience Investments has agreed, pursuant to a separate voting agreement with BioPharm, to vote all shares of our common stock owned by it for and against and abstain from voting with respect to any proposal in the same manner and to the same extent as BioPharm. The voting agreement automatically terminates upon the conclusion of our first annual meeting of stockholders following the completion of this offering.</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8"/>
          <w:szCs w:val="28"/>
          <w:b w:val="1"/>
          <w:bCs w:val="1"/>
          <w:color w:val="auto"/>
        </w:rPr>
        <w:t>Description of capital stock</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following description of our capital stock and provisions of our restated certificate of incorporation, which we refer to as our certificate of incorporation, and our amended and restated by-laws, which we refer to as our by-laws, are summaries and are qualified by reference to the certificate of incorporation and the by-laws that will be in effect upon completion of this offering. We have filed copies of these documents with the Securities and Exchange Commission as exhibits to our registration statement of which this prospectus forms a part. The descriptions of the common stock and preferred stock reflect changes to our capital structure that will occur prior to and upon completion of this offering.</w:t>
      </w:r>
    </w:p>
    <w:p>
      <w:pPr>
        <w:spacing w:after="0" w:line="10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Upon the completion of this offering, our authorized capital stock will consist of 100,000,000 shares of common stock, $0.001 par value per share, and 15,000,000 shares of preferred stock, $0.001 par value per share.</w:t>
      </w:r>
    </w:p>
    <w:p>
      <w:pPr>
        <w:spacing w:after="0" w:line="90"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As of October 20, 2006, we had issued and outstanding 22,303,280 shares of class A common stock and 117,124 shares of class B common stock, held by 34 stockholders of record. As of October 20, 2006, we also had outstanding options to purchase 3,109,932 shares of class B common stock at a weighted average exercise price of $2.54 per share.</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Prior to the completion of this offering:</w:t>
      </w:r>
    </w:p>
    <w:p>
      <w:pPr>
        <w:spacing w:after="0" w:line="119" w:lineRule="exact"/>
        <w:rPr>
          <w:sz w:val="20"/>
          <w:szCs w:val="20"/>
          <w:color w:val="auto"/>
        </w:rPr>
      </w:pPr>
    </w:p>
    <w:p>
      <w:pPr>
        <w:ind w:left="220" w:right="60" w:hanging="210"/>
        <w:spacing w:after="0" w:line="258" w:lineRule="auto"/>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our class A common stock will be reclassified as common stock and each outstanding share of our class B common stock will be converted into one share of common stock; and</w:t>
      </w:r>
    </w:p>
    <w:p>
      <w:pPr>
        <w:spacing w:after="0" w:line="77" w:lineRule="exact"/>
        <w:rPr>
          <w:rFonts w:ascii="Arial" w:cs="Arial" w:eastAsia="Arial" w:hAnsi="Arial"/>
          <w:sz w:val="17"/>
          <w:szCs w:val="17"/>
          <w:color w:val="auto"/>
        </w:rPr>
      </w:pPr>
    </w:p>
    <w:p>
      <w:pPr>
        <w:ind w:left="220" w:right="60" w:hanging="210"/>
        <w:spacing w:after="0" w:line="258" w:lineRule="auto"/>
        <w:tabs>
          <w:tab w:leader="none" w:pos="22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each outstanding option to purchase shares of our class B common stock will automatically become an option to purchase an equal number of shares of common stock at the same exercise price per share.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14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holders of our common stock are entitled to one vote per share with respect to each matter presented to our stockholders on which the holders of common stock are entitled to vote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w:t>
      </w:r>
    </w:p>
    <w:p>
      <w:pPr>
        <w:spacing w:after="0" w:line="10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In the event of our liquidation or dissolution, the holders of common stock are entitled to receive ratably all assets available for distribution to stockholders after the payment of all debts and other liabilities and subject to the prior rights of any outstanding preferred stock. 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Preferred stock</w:t>
      </w:r>
    </w:p>
    <w:p>
      <w:pPr>
        <w:spacing w:after="0" w:line="144"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168" w:name="page169"/>
    <w:bookmarkEnd w:id="168"/>
    <w:p>
      <w:pPr>
        <w:spacing w:after="0" w:line="243" w:lineRule="auto"/>
        <w:rPr>
          <w:sz w:val="20"/>
          <w:szCs w:val="20"/>
          <w:color w:val="auto"/>
        </w:rPr>
      </w:pPr>
      <w:r>
        <w:rPr>
          <w:rFonts w:ascii="Arial" w:cs="Arial" w:eastAsia="Arial" w:hAnsi="Arial"/>
          <w:sz w:val="17"/>
          <w:szCs w:val="17"/>
          <w:color w:val="auto"/>
        </w:rPr>
        <w:t>Authorizing our board of directors to issue preferred stock and determine its rights and preferences has the effect of eliminating delays associated with a stockholder vote on specific issuances. The issuance of preferred stock or of rights to purchase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Currently, we have no shares of preferred stock outstanding. Our board of directors has authorized 100,000 shares of series A junior participating preferred stock for issuance under our stockholder rights plan. See “— Stockholder rights plan” below. We have no current plans to issue any preferred stock other than as may be provided for by the stockholder rights plan.</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Options</w:t>
      </w:r>
    </w:p>
    <w:p>
      <w:pPr>
        <w:spacing w:after="0" w:line="144"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Upon the completion of this offering, based on options outstanding as of October 20, 2006, we will have outstanding options to purchase an aggregate of 3,109,932 shares of our common stock at a weighted average exercise price of $2.54 per share.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Anti-takeover effects of Delaware law and our certificate of incorporation and by-laws</w:t>
      </w:r>
    </w:p>
    <w:p>
      <w:pPr>
        <w:spacing w:after="0" w:line="144"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Our certificate of incorporation and by-laws and Delaware law contain provisions that could have the effect of delaying, deferring or discouraging another party from acquiring control of us. These provisions, which are summarized below, are expected to discourage coercive takeover practices and inadequate takeover bids. These provisions are also designed to encourage persons seeking to acquire control of us to first negotiate with our board of directors.</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Immediately prior to this offering, Fuad El-Hibri, our president, chief executive officer and chairman of our board of directors, was the beneficial owner of 99.5% of our outstanding common stock. Immediately following this offering, Mr. El-Hibri will be the beneficial owner of 81.4% of our outstanding common stock, or 78.9% of our outstanding common stock if the underwriters exercise their over-allotment option in full. As a result, Mr. El-Hibri will be able to control the election of the members of our board of directors following this offering. In addition, some of the provisions summarized below may further enhance Mr. El-Hibri’s control of our corporate affairs for at least the next several years, including control of our board of directors. This control could discourage others from initiating a potential merger, takeover or other change of control transaction that other stockholders may view as beneficial.</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Number of directors</w:t>
      </w:r>
    </w:p>
    <w:p>
      <w:pPr>
        <w:spacing w:after="0" w:line="13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Subject to the rights of holders of any series of preferred stock to elect directors, our board of directors will establish the number of directors. Until the fifth anniversary of the completion of this offering, any change in the number of directors will require the affirmative vote of at least 75% of the directors then in office.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Staggered board; removal of directors</w:t>
      </w:r>
    </w:p>
    <w:p>
      <w:pPr>
        <w:spacing w:after="0" w:line="139"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Our certificate of incorporation and our by-laws divide our directors into three classes with staggered three-year terms. Our directors may be removed from office only for cause and only by the affirmative vote of holders of our capital stock representing at least 75% of the voting power of all outstanding stock entitled to vote.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69" w:name="page170"/>
    <w:bookmarkEnd w:id="169"/>
    <w:p>
      <w:pPr>
        <w:spacing w:after="0" w:line="258" w:lineRule="auto"/>
        <w:rPr>
          <w:sz w:val="20"/>
          <w:szCs w:val="20"/>
          <w:color w:val="auto"/>
        </w:rPr>
      </w:pPr>
      <w:r>
        <w:rPr>
          <w:rFonts w:ascii="Arial" w:cs="Arial" w:eastAsia="Arial" w:hAnsi="Arial"/>
          <w:sz w:val="17"/>
          <w:szCs w:val="17"/>
          <w:color w:val="auto"/>
        </w:rPr>
        <w:t>Any vacancy on our board of directors, including a vacancy resulting from an enlargement of our board of directors, may be filled only by the affirmative vote of a majority of our directors present at a meeting duly held at which a quorum is present.</w:t>
      </w:r>
    </w:p>
    <w:p>
      <w:pPr>
        <w:spacing w:after="0" w:line="90"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The classification of our board of directors and the limitations on the removal of directors and filling of vacancies could make it more difficult for a third party to acquire, or discourage a third party from seeking to acquire, control of our company.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Appointment and removal of chairman of the board</w:t>
      </w:r>
    </w:p>
    <w:p>
      <w:pPr>
        <w:spacing w:after="0" w:line="139" w:lineRule="exact"/>
        <w:rPr>
          <w:sz w:val="20"/>
          <w:szCs w:val="20"/>
          <w:color w:val="auto"/>
        </w:rPr>
      </w:pPr>
    </w:p>
    <w:p>
      <w:pPr>
        <w:jc w:val="both"/>
        <w:ind w:right="620"/>
        <w:spacing w:after="0" w:line="250" w:lineRule="auto"/>
        <w:rPr>
          <w:sz w:val="20"/>
          <w:szCs w:val="20"/>
          <w:color w:val="auto"/>
        </w:rPr>
      </w:pPr>
      <w:r>
        <w:rPr>
          <w:rFonts w:ascii="Arial" w:cs="Arial" w:eastAsia="Arial" w:hAnsi="Arial"/>
          <w:sz w:val="17"/>
          <w:szCs w:val="17"/>
          <w:color w:val="auto"/>
        </w:rPr>
        <w:t>Until the fifth anniversary of the completion of this offering, the appointment and removal of the chairman of our board of directors will require the affirmative vote of at least 75% of our directors then in office. Mr. El-Hibri currently serves as the chairman of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 special meetings</w:t>
      </w:r>
    </w:p>
    <w:p>
      <w:pPr>
        <w:spacing w:after="0" w:line="13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Our certificate of incorporation and our by-laws provide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board of directors, our chairman of the board or our president.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w:t>
      </w:r>
    </w:p>
    <w:p>
      <w:pPr>
        <w:spacing w:after="0" w:line="13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Following the second anniversary of the completion of this offering, our by-laws establish an advance notice procedure for stockholder proposals to be brought before an annual meeting of stockholders, including proposed nominations of persons for election to the board of directors. Following the second anniversary of the completion of this offering,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business combination statute</w:t>
      </w:r>
    </w:p>
    <w:p>
      <w:pPr>
        <w:spacing w:after="0" w:line="13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are subject to Section 203 of the General Corporation Law of Delaware.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b w:val="1"/>
          <w:bCs w:val="1"/>
          <w:i w:val="1"/>
          <w:iCs w:val="1"/>
          <w:color w:val="auto"/>
        </w:rPr>
        <w:t>Super-majority voting</w:t>
      </w:r>
    </w:p>
    <w:p>
      <w:pPr>
        <w:spacing w:after="0" w:line="139"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The General Corporation Law of Delaware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Until the second anniversary of the completion of this offering, the affirmative vote of holders of our capital stock representing a majority of the voting power of all outstanding stock entitled to vote is required to amend or repeal the provisions of our certificate of incorporation described in this section entitled “Anti-takeover effects of Delaware law and our certificate of incorporation and by-laws.” Following the second anniversary of the completion of this offering, the affirmative vote of holders of our capital stock representing at least 75% of the voting power of all outstanding stock entitled to vote is required to amend or repeal these provisions of our certificate of incorporation. Until the second anniversary of the completion of this offering, the affirmative vote of either at least 75% of the directors then in office or holders of our capital stock representing a majority of the voting power of all outstanding stock entitled to vote is required to amend or repeal our by-laws. Following the second anniversary of the completion of this offering,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Stockholder rights plan</w:t>
      </w:r>
    </w:p>
    <w:p>
      <w:pPr>
        <w:spacing w:after="0" w:line="14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connection with this offering, we will enter into a rights agreement pursuant to which we will issue to our stockholders one preferred stock purchase right for each outstanding share of our common stock. Each right, when exercisable, will entitle the registered holder to purchase from us a unit consisting of one one-thousandth of a share of series A junior participating preferred stock at a purchase price to be determined by our board of directors at the same time the initial public offering price of our common stock is determined. We will enter into the rights agreement with American Stock Transfer &amp; Trust Company, as rights agent.</w:t>
      </w:r>
    </w:p>
    <w:p>
      <w:pPr>
        <w:spacing w:after="0" w:line="303" w:lineRule="exact"/>
        <w:rPr>
          <w:sz w:val="20"/>
          <w:szCs w:val="20"/>
          <w:color w:val="auto"/>
        </w:rPr>
      </w:pPr>
    </w:p>
    <w:p>
      <w:pPr>
        <w:ind w:right="340"/>
        <w:spacing w:after="0" w:line="247" w:lineRule="auto"/>
        <w:rPr>
          <w:sz w:val="20"/>
          <w:szCs w:val="20"/>
          <w:color w:val="auto"/>
        </w:rPr>
      </w:pPr>
      <w:r>
        <w:rPr>
          <w:rFonts w:ascii="Arial" w:cs="Arial" w:eastAsia="Arial" w:hAnsi="Arial"/>
          <w:sz w:val="17"/>
          <w:szCs w:val="17"/>
          <w:color w:val="auto"/>
        </w:rPr>
        <w:t>The following description is a summary of the material terms of our stockholder rights plan. It does not restate these terms in their entirety. We urge you to read our stockholder rights plan because it, and not this description, defines its terms and provisions. We have filed a copy of the rights agreement that establishes our stockholder rights plan as an exhibit to our registration statement of which this prospectus forms a part.</w:t>
      </w:r>
    </w:p>
    <w:p>
      <w:pPr>
        <w:spacing w:after="0" w:line="81" w:lineRule="exact"/>
        <w:rPr>
          <w:sz w:val="20"/>
          <w:szCs w:val="20"/>
          <w:color w:val="auto"/>
        </w:rPr>
      </w:pPr>
    </w:p>
    <w:p>
      <w:pPr>
        <w:jc w:val="both"/>
        <w:ind w:right="60"/>
        <w:spacing w:after="0" w:line="254" w:lineRule="auto"/>
        <w:rPr>
          <w:sz w:val="20"/>
          <w:szCs w:val="20"/>
          <w:color w:val="auto"/>
        </w:rPr>
      </w:pPr>
      <w:r>
        <w:rPr>
          <w:rFonts w:ascii="Arial" w:cs="Arial" w:eastAsia="Arial" w:hAnsi="Arial"/>
          <w:sz w:val="17"/>
          <w:szCs w:val="17"/>
          <w:i w:val="1"/>
          <w:iCs w:val="1"/>
          <w:color w:val="auto"/>
        </w:rPr>
        <w:t xml:space="preserve">Rights. </w:t>
      </w:r>
      <w:r>
        <w:rPr>
          <w:rFonts w:ascii="Arial" w:cs="Arial" w:eastAsia="Arial" w:hAnsi="Arial"/>
          <w:sz w:val="17"/>
          <w:szCs w:val="17"/>
          <w:color w:val="auto"/>
        </w:rPr>
        <w:t>Each share of common stock will have attached to it one right. Initially, the rights are not exercisable and are attached to</w:t>
      </w:r>
      <w:r>
        <w:rPr>
          <w:rFonts w:ascii="Arial" w:cs="Arial" w:eastAsia="Arial" w:hAnsi="Arial"/>
          <w:sz w:val="17"/>
          <w:szCs w:val="17"/>
          <w:i w:val="1"/>
          <w:iCs w:val="1"/>
          <w:color w:val="auto"/>
        </w:rPr>
        <w:t xml:space="preserve"> </w:t>
      </w:r>
      <w:r>
        <w:rPr>
          <w:rFonts w:ascii="Arial" w:cs="Arial" w:eastAsia="Arial" w:hAnsi="Arial"/>
          <w:sz w:val="17"/>
          <w:szCs w:val="17"/>
          <w:color w:val="auto"/>
        </w:rPr>
        <w:t>all certificates representing outstanding shares of our common stock, and we will not distribute separate rights certificates. The rights will only be exercisable under limited circumstances specified in the rights agreement when there has been a distribution of the rights and the rights are no longer redeemable by us.</w:t>
      </w:r>
    </w:p>
    <w:p>
      <w:pPr>
        <w:spacing w:after="0" w:line="94"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The rights will expire at the close of business on the tenth anniversary of the date the rights plan was adopted, unless we redeem or exchange them earlier as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Prior to the rights distribution date. </w:t>
      </w:r>
      <w:r>
        <w:rPr>
          <w:rFonts w:ascii="Arial" w:cs="Arial" w:eastAsia="Arial" w:hAnsi="Arial"/>
          <w:sz w:val="17"/>
          <w:szCs w:val="17"/>
          <w:color w:val="auto"/>
        </w:rPr>
        <w:t>Prior to the rights distribution date:</w:t>
      </w:r>
    </w:p>
    <w:p>
      <w:pPr>
        <w:spacing w:after="0" w:line="137" w:lineRule="exact"/>
        <w:rPr>
          <w:sz w:val="20"/>
          <w:szCs w:val="20"/>
          <w:color w:val="auto"/>
        </w:rPr>
      </w:pPr>
    </w:p>
    <w:p>
      <w:pPr>
        <w:ind w:left="220" w:right="460" w:hanging="210"/>
        <w:spacing w:after="0" w:line="258" w:lineRule="auto"/>
        <w:tabs>
          <w:tab w:leader="none" w:pos="2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rights are evidenced by our common stock certificates and will be transferred with and only with such common stock certificates; and</w:t>
      </w:r>
    </w:p>
    <w:p>
      <w:pPr>
        <w:spacing w:after="0" w:line="77" w:lineRule="exact"/>
        <w:rPr>
          <w:rFonts w:ascii="Arial" w:cs="Arial" w:eastAsia="Arial" w:hAnsi="Arial"/>
          <w:sz w:val="17"/>
          <w:szCs w:val="17"/>
          <w:color w:val="auto"/>
        </w:rPr>
      </w:pPr>
    </w:p>
    <w:p>
      <w:pPr>
        <w:ind w:left="220" w:right="100" w:hanging="210"/>
        <w:spacing w:after="0" w:line="258" w:lineRule="auto"/>
        <w:tabs>
          <w:tab w:leader="none" w:pos="2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surrender for transfer of any certificates of our common stock will also constitute the transfer of the rights associated with our common stock represented by such certificate.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4" w:right="1059" w:bottom="1440" w:gutter="0" w:footer="0" w:header="0"/>
        </w:sectPr>
      </w:pPr>
    </w:p>
    <w:bookmarkStart w:id="171" w:name="page172"/>
    <w:bookmarkEnd w:id="171"/>
    <w:p>
      <w:pPr>
        <w:ind w:right="20"/>
        <w:spacing w:after="0" w:line="281" w:lineRule="auto"/>
        <w:rPr>
          <w:sz w:val="20"/>
          <w:szCs w:val="20"/>
          <w:color w:val="auto"/>
        </w:rPr>
      </w:pPr>
      <w:r>
        <w:rPr>
          <w:rFonts w:ascii="Arial" w:cs="Arial" w:eastAsia="Arial" w:hAnsi="Arial"/>
          <w:sz w:val="17"/>
          <w:szCs w:val="17"/>
          <w:i w:val="1"/>
          <w:iCs w:val="1"/>
          <w:color w:val="auto"/>
        </w:rPr>
        <w:t xml:space="preserve">Rights distribution date. </w:t>
      </w:r>
      <w:r>
        <w:rPr>
          <w:rFonts w:ascii="Arial" w:cs="Arial" w:eastAsia="Arial" w:hAnsi="Arial"/>
          <w:sz w:val="17"/>
          <w:szCs w:val="17"/>
          <w:color w:val="auto"/>
        </w:rPr>
        <w:t>The rights will separate from our common stock, and a rights distribution date will occur, upon the earlier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following events:</w:t>
      </w:r>
    </w:p>
    <w:p>
      <w:pPr>
        <w:spacing w:after="0" w:line="71" w:lineRule="exact"/>
        <w:rPr>
          <w:sz w:val="20"/>
          <w:szCs w:val="20"/>
          <w:color w:val="auto"/>
        </w:rPr>
      </w:pPr>
    </w:p>
    <w:p>
      <w:pPr>
        <w:ind w:left="220" w:right="140" w:hanging="210"/>
        <w:spacing w:after="0" w:line="250" w:lineRule="auto"/>
        <w:tabs>
          <w:tab w:leader="none" w:pos="2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10 business days following the later of (1) a public announcement that a person or group, other than an exempted person, has acquired, or obtained the right to acquire beneficial ownership of 15% or more of the outstanding shares of our common stock or (2) the first date on which one of our executive officers has actual knowledge of such an event; and</w:t>
      </w:r>
    </w:p>
    <w:p>
      <w:pPr>
        <w:spacing w:after="0" w:line="83" w:lineRule="exact"/>
        <w:rPr>
          <w:rFonts w:ascii="Arial" w:cs="Arial" w:eastAsia="Arial" w:hAnsi="Arial"/>
          <w:sz w:val="17"/>
          <w:szCs w:val="17"/>
          <w:color w:val="auto"/>
        </w:rPr>
      </w:pPr>
    </w:p>
    <w:p>
      <w:pPr>
        <w:ind w:left="220" w:right="200" w:hanging="210"/>
        <w:spacing w:after="0" w:line="258" w:lineRule="auto"/>
        <w:tabs>
          <w:tab w:leader="none" w:pos="2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10 business days following the start of a tender offer or exchange offer that would result in a person or group, other than an exempted person, beneficially owning 15% or more of the outstanding shares of our common stock.</w:t>
      </w:r>
    </w:p>
    <w:p>
      <w:pPr>
        <w:spacing w:after="0" w:line="90"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The distribution date may be deferred by our board of directors and some inadvertent actions will not trigger the occurrence of the rights distribution date. In addition, a rights distribution date will not occur as a result of the ownership of our stock by the following exempted persons:</w:t>
      </w:r>
    </w:p>
    <w:p>
      <w:pPr>
        <w:spacing w:after="0" w:line="96" w:lineRule="exact"/>
        <w:rPr>
          <w:sz w:val="20"/>
          <w:szCs w:val="20"/>
          <w:color w:val="auto"/>
        </w:rPr>
      </w:pPr>
    </w:p>
    <w:p>
      <w:pPr>
        <w:ind w:left="220" w:hanging="210"/>
        <w:spacing w:after="0"/>
        <w:tabs>
          <w:tab w:leader="none" w:pos="2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Fuad El-Hibri and his wife, Nancy El-Hibri, and any entity controlled by Fuad El-Hibri or Nancy El-Hibri;</w:t>
      </w:r>
    </w:p>
    <w:p>
      <w:pPr>
        <w:spacing w:after="0" w:line="105" w:lineRule="exact"/>
        <w:rPr>
          <w:rFonts w:ascii="Arial" w:cs="Arial" w:eastAsia="Arial" w:hAnsi="Arial"/>
          <w:sz w:val="17"/>
          <w:szCs w:val="17"/>
          <w:color w:val="auto"/>
        </w:rPr>
      </w:pPr>
    </w:p>
    <w:p>
      <w:pPr>
        <w:ind w:left="220" w:hanging="210"/>
        <w:spacing w:after="0" w:line="245" w:lineRule="auto"/>
        <w:tabs>
          <w:tab w:leader="none" w:pos="2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Microscience Investments Limited, unless and until such time as Microscience Investments, together with its affiliates and associates, directly or indirectly, becomes the beneficial owner of any additional shares of common stock, except under certain specified circumstances, and disregarding any shares Microscience Investments is or becomes the beneficial owner of solely as a result of the fact that it is a party to any of the voting agreements described under “Principal and selling stockholders — Stockholder arrangements;” and</w:t>
      </w:r>
    </w:p>
    <w:p>
      <w:pPr>
        <w:spacing w:after="0" w:line="89" w:lineRule="exact"/>
        <w:rPr>
          <w:rFonts w:ascii="Arial" w:cs="Arial" w:eastAsia="Arial" w:hAnsi="Arial"/>
          <w:sz w:val="17"/>
          <w:szCs w:val="17"/>
          <w:color w:val="auto"/>
        </w:rPr>
      </w:pPr>
    </w:p>
    <w:p>
      <w:pPr>
        <w:ind w:left="220" w:right="400" w:hanging="210"/>
        <w:spacing w:after="0" w:line="250" w:lineRule="auto"/>
        <w:tabs>
          <w:tab w:leader="none" w:pos="2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each other holder of our common stock immediately prior to this offering to the extent such person’s beneficial ownership exceeds 15% solely as a result of the fact that the person is a party to any of the voting agreements described under “Principal and selling stockholders — Stockholder arrangements.”</w:t>
      </w:r>
    </w:p>
    <w:p>
      <w:pPr>
        <w:spacing w:after="0" w:line="9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As soon as practicable after the rights distribution date, separate rights certificates will be mailed to the holders of record of our common stock as of the close of business on the rights distribution date. From and after the rights distribution date, the separate rights certificates alone will represent the rights. All shares of our common stock issued prior to the rights distribution date, including shares of common stock issued in this offering, will be issued with rights. Shares of our common stock issued after the rights distribution date in connection with specified employee benefit plans or upon conversion of specified securities will be issued with rights. Except as otherwise determined by our board of directors, no other shares of our common stock issued after the rights distribution date will be issued with rights.</w:t>
      </w:r>
    </w:p>
    <w:p>
      <w:pPr>
        <w:spacing w:after="0" w:line="84"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i w:val="1"/>
          <w:iCs w:val="1"/>
          <w:color w:val="auto"/>
        </w:rPr>
        <w:t xml:space="preserve">Flip-in event. </w:t>
      </w:r>
      <w:r>
        <w:rPr>
          <w:rFonts w:ascii="Arial" w:cs="Arial" w:eastAsia="Arial" w:hAnsi="Arial"/>
          <w:sz w:val="17"/>
          <w:szCs w:val="17"/>
          <w:color w:val="auto"/>
        </w:rPr>
        <w:t>If a person or group, other than an exempted person, becomes the beneficial owner of 15% or more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shares of our common stock, except as described below, each holder of a right will thereafter have the right to receive, upon exercise, a number of shares of our common stock, or, in some circumstances, cash, property or other securities of ours, which equals the exercise price of the right divided by one-half of the current market price of our common stock on the date the acquisition occurs. However, following the acquisition:</w:t>
      </w:r>
    </w:p>
    <w:p>
      <w:pPr>
        <w:spacing w:after="0" w:line="96" w:lineRule="exact"/>
        <w:rPr>
          <w:sz w:val="20"/>
          <w:szCs w:val="20"/>
          <w:color w:val="auto"/>
        </w:rPr>
      </w:pPr>
    </w:p>
    <w:p>
      <w:pPr>
        <w:ind w:left="220" w:hanging="210"/>
        <w:spacing w:after="0"/>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rights will not be exercisable until the rights are no longer redeemable by us as set forth below; and</w:t>
      </w:r>
    </w:p>
    <w:p>
      <w:pPr>
        <w:spacing w:after="0" w:line="105" w:lineRule="exact"/>
        <w:rPr>
          <w:rFonts w:ascii="Arial" w:cs="Arial" w:eastAsia="Arial" w:hAnsi="Arial"/>
          <w:sz w:val="17"/>
          <w:szCs w:val="17"/>
          <w:color w:val="auto"/>
        </w:rPr>
      </w:pPr>
    </w:p>
    <w:p>
      <w:pPr>
        <w:ind w:left="220" w:right="320" w:hanging="210"/>
        <w:spacing w:after="0" w:line="258" w:lineRule="auto"/>
        <w:tabs>
          <w:tab w:leader="none" w:pos="22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all rights that are, or were, under the circumstances specified in the rights agreement, beneficially owned by any acquiring person will be null and void.</w:t>
      </w:r>
    </w:p>
    <w:p>
      <w:pPr>
        <w:spacing w:after="0" w:line="90"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The event set forth in this paragraph is referred to as a flip-in event. A flip-in event would not occur if there is an offer for all of our outstanding shares of common stock that at least 75% of our board of directors determines is fair to our stockholders and in their best interests.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0" w:right="1059" w:bottom="1440" w:gutter="0" w:footer="0" w:header="0"/>
        </w:sectPr>
      </w:pPr>
    </w:p>
    <w:bookmarkStart w:id="172" w:name="page173"/>
    <w:bookmarkEnd w:id="172"/>
    <w:p>
      <w:pPr>
        <w:ind w:right="80"/>
        <w:spacing w:after="0" w:line="281" w:lineRule="auto"/>
        <w:rPr>
          <w:sz w:val="20"/>
          <w:szCs w:val="20"/>
          <w:color w:val="auto"/>
        </w:rPr>
      </w:pPr>
      <w:r>
        <w:rPr>
          <w:rFonts w:ascii="Arial" w:cs="Arial" w:eastAsia="Arial" w:hAnsi="Arial"/>
          <w:sz w:val="17"/>
          <w:szCs w:val="17"/>
          <w:i w:val="1"/>
          <w:iCs w:val="1"/>
          <w:color w:val="auto"/>
        </w:rPr>
        <w:t xml:space="preserve">Flip-over event. </w:t>
      </w:r>
      <w:r>
        <w:rPr>
          <w:rFonts w:ascii="Arial" w:cs="Arial" w:eastAsia="Arial" w:hAnsi="Arial"/>
          <w:sz w:val="17"/>
          <w:szCs w:val="17"/>
          <w:color w:val="auto"/>
        </w:rPr>
        <w:t>If at any time after a person or group, other than an exempted person, has become the beneficial owner of 15%</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of the outstanding shares of our common stock:</w:t>
      </w:r>
    </w:p>
    <w:p>
      <w:pPr>
        <w:spacing w:after="0" w:line="71" w:lineRule="exact"/>
        <w:rPr>
          <w:sz w:val="20"/>
          <w:szCs w:val="20"/>
          <w:color w:val="auto"/>
        </w:rPr>
      </w:pPr>
    </w:p>
    <w:p>
      <w:pPr>
        <w:ind w:left="220" w:hanging="210"/>
        <w:spacing w:after="0"/>
        <w:tabs>
          <w:tab w:leader="none" w:pos="2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are acquired in a merger or other business combination transaction in which we are not the surviving corporation;</w:t>
      </w:r>
    </w:p>
    <w:p>
      <w:pPr>
        <w:spacing w:after="0" w:line="105" w:lineRule="exact"/>
        <w:rPr>
          <w:rFonts w:ascii="Arial" w:cs="Arial" w:eastAsia="Arial" w:hAnsi="Arial"/>
          <w:sz w:val="17"/>
          <w:szCs w:val="17"/>
          <w:color w:val="auto"/>
        </w:rPr>
      </w:pPr>
    </w:p>
    <w:p>
      <w:pPr>
        <w:ind w:left="220" w:right="620" w:hanging="210"/>
        <w:spacing w:after="0" w:line="258" w:lineRule="auto"/>
        <w:tabs>
          <w:tab w:leader="none" w:pos="2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are the surviving entity in a merger of other business combination transaction but our common stock is changed or exchanged for stock or securities of any other person or for cash or any other property; or</w:t>
      </w:r>
    </w:p>
    <w:p>
      <w:pPr>
        <w:spacing w:after="0" w:line="77" w:lineRule="exact"/>
        <w:rPr>
          <w:rFonts w:ascii="Arial" w:cs="Arial" w:eastAsia="Arial" w:hAnsi="Arial"/>
          <w:sz w:val="17"/>
          <w:szCs w:val="17"/>
          <w:color w:val="auto"/>
        </w:rPr>
      </w:pPr>
    </w:p>
    <w:p>
      <w:pPr>
        <w:ind w:left="220" w:hanging="210"/>
        <w:spacing w:after="0"/>
        <w:tabs>
          <w:tab w:leader="none" w:pos="2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more than 50% of our assets or earning power is sold or transferred,</w:t>
      </w:r>
    </w:p>
    <w:p>
      <w:pPr>
        <w:spacing w:after="0" w:line="11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then each holder of a right, except rights which previously have been voided as set forth above, shall thereafter have the right to receive, upon exercise, that number of shares of common stock of the acquiring company which equals the exercise price of the right divided by one-half of the current market price of that company’s common stock at the date of the occurrence of the event. The event described in this paragraph is referred to as a flip-over event. A flip-over event does not arise if the merger or other transaction follows an offer for all of our outstanding shares of common stock that at least 75% of our board of directors determines is fair to our stockholders and in their best interests.</w:t>
      </w:r>
    </w:p>
    <w:p>
      <w:pPr>
        <w:spacing w:after="0" w:line="86" w:lineRule="exact"/>
        <w:rPr>
          <w:sz w:val="20"/>
          <w:szCs w:val="20"/>
          <w:color w:val="auto"/>
        </w:rPr>
      </w:pPr>
    </w:p>
    <w:p>
      <w:pPr>
        <w:spacing w:after="0" w:line="254" w:lineRule="auto"/>
        <w:rPr>
          <w:sz w:val="20"/>
          <w:szCs w:val="20"/>
          <w:color w:val="auto"/>
        </w:rPr>
      </w:pPr>
      <w:r>
        <w:rPr>
          <w:rFonts w:ascii="Arial" w:cs="Arial" w:eastAsia="Arial" w:hAnsi="Arial"/>
          <w:sz w:val="17"/>
          <w:szCs w:val="17"/>
          <w:i w:val="1"/>
          <w:iCs w:val="1"/>
          <w:color w:val="auto"/>
        </w:rPr>
        <w:t xml:space="preserve">Exchange of rights. </w:t>
      </w:r>
      <w:r>
        <w:rPr>
          <w:rFonts w:ascii="Arial" w:cs="Arial" w:eastAsia="Arial" w:hAnsi="Arial"/>
          <w:sz w:val="17"/>
          <w:szCs w:val="17"/>
          <w:color w:val="auto"/>
        </w:rPr>
        <w:t>At any time after a flip-in event, when no person owns a majority of our common stock,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may exchange the rights, other than rights owned by the acquiring person that have become void, in whole or in part, at an exchange ratio of one share of our common stock, or one one-thousandth of a share of series A preferred stock, or of a share of a class or series of preferred stock having equivalent rights, preferences and privileges, per right.</w:t>
      </w:r>
    </w:p>
    <w:p>
      <w:pPr>
        <w:spacing w:after="0" w:line="7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The purchase price of the rights, and the number of securities purchasable, are subject to adjustment from time to</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prevent dilution. The number of rights associated with each share of common stock is also subject to adjustment in the event of stock splits, subdivisions, consolidations or combinations of our common stock that occur prior to the rights distribution date.</w:t>
      </w:r>
    </w:p>
    <w:p>
      <w:pPr>
        <w:spacing w:after="0" w:line="7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i w:val="1"/>
          <w:iCs w:val="1"/>
          <w:color w:val="auto"/>
        </w:rPr>
        <w:t xml:space="preserve">Series A junior participating preferred stock. </w:t>
      </w:r>
      <w:r>
        <w:rPr>
          <w:rFonts w:ascii="Arial" w:cs="Arial" w:eastAsia="Arial" w:hAnsi="Arial"/>
          <w:sz w:val="17"/>
          <w:szCs w:val="17"/>
          <w:color w:val="auto"/>
        </w:rPr>
        <w:t>Series A preferred stock purchasable upon exercise of the rights will not be</w:t>
      </w:r>
      <w:r>
        <w:rPr>
          <w:rFonts w:ascii="Arial" w:cs="Arial" w:eastAsia="Arial" w:hAnsi="Arial"/>
          <w:sz w:val="17"/>
          <w:szCs w:val="17"/>
          <w:i w:val="1"/>
          <w:iCs w:val="1"/>
          <w:color w:val="auto"/>
        </w:rPr>
        <w:t xml:space="preserve"> </w:t>
      </w:r>
      <w:r>
        <w:rPr>
          <w:rFonts w:ascii="Arial" w:cs="Arial" w:eastAsia="Arial" w:hAnsi="Arial"/>
          <w:sz w:val="17"/>
          <w:szCs w:val="17"/>
          <w:color w:val="auto"/>
        </w:rPr>
        <w:t>redeemable. Each share of series A preferred stock will be entitled to receive when, as and if declared by our board of directors, a minimum preferential quarterly dividend payment of $10 per share or, if greater, an aggregate dividend of 1,000 times the dividend declared per share of our common stock. In the event of liquidation, the holders of the series A preferred stock will be entitled to a minimum preferential liquidation payment of $1,000 per share, plus accrued and unpaid dividends, and will be entitled to an aggregate payment of 1,000 times the payment made per share of our common stock. Each share of series A preferred stock will have 1,000 votes, voting together with our common stock. In the event of any merger, consolidation or other transaction in which our common stock is changed or exchanged, each share of series A preferred stock will be entitled to receive 1,000 times the amount received per share of our common stock. These rights are protected by customary antidilution provisions.</w:t>
      </w:r>
    </w:p>
    <w:p>
      <w:pPr>
        <w:spacing w:after="0" w:line="30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Because of the nature of the series A preferred stock’s dividend, liquidation and voting rights, the value of one one-thousandth of a share of series A preferred stock purchasable upon exercise of each right should approximate the value of one share of common stock.</w:t>
      </w:r>
    </w:p>
    <w:p>
      <w:pPr>
        <w:spacing w:after="0" w:line="78"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i w:val="1"/>
          <w:iCs w:val="1"/>
          <w:color w:val="auto"/>
        </w:rPr>
        <w:t xml:space="preserve">Redemption of rights. </w:t>
      </w:r>
      <w:r>
        <w:rPr>
          <w:rFonts w:ascii="Arial" w:cs="Arial" w:eastAsia="Arial" w:hAnsi="Arial"/>
          <w:sz w:val="17"/>
          <w:szCs w:val="17"/>
          <w:color w:val="auto"/>
        </w:rPr>
        <w:t>At any time until ten business days following the date of a public announcement that a person or group,</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an exempted person, has acquired or obtained the right to acquire beneficial ownership of 15% or more of the outstanding shares of our common stock, or such later date upon which one of our executive officers first has actual knowledge of such event or such later date as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7" w:right="1059" w:bottom="1440" w:gutter="0" w:footer="0" w:header="0"/>
        </w:sectPr>
      </w:pPr>
    </w:p>
    <w:bookmarkStart w:id="173" w:name="page174"/>
    <w:bookmarkEnd w:id="173"/>
    <w:p>
      <w:pPr>
        <w:jc w:val="both"/>
        <w:ind w:right="60"/>
        <w:spacing w:after="0" w:line="250" w:lineRule="auto"/>
        <w:rPr>
          <w:sz w:val="20"/>
          <w:szCs w:val="20"/>
          <w:color w:val="auto"/>
        </w:rPr>
      </w:pPr>
      <w:r>
        <w:rPr>
          <w:rFonts w:ascii="Arial" w:cs="Arial" w:eastAsia="Arial" w:hAnsi="Arial"/>
          <w:sz w:val="17"/>
          <w:szCs w:val="17"/>
          <w:color w:val="auto"/>
        </w:rPr>
        <w:t>our board of directors may determine, we may redeem the rights in whole, but not in part, at a price of $0.001 per right, payable in cash or stock. Immediately upon the redemption of the rights or such earlier time as established by our board of directors, the rights will terminate and the only right of the holders of rights will be to receive the redemption price.</w:t>
      </w:r>
    </w:p>
    <w:p>
      <w:pPr>
        <w:spacing w:after="0" w:line="78"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 xml:space="preserve">Status of rights holder and tax affects. </w:t>
      </w:r>
      <w:r>
        <w:rPr>
          <w:rFonts w:ascii="Arial" w:cs="Arial" w:eastAsia="Arial" w:hAnsi="Arial"/>
          <w:sz w:val="17"/>
          <w:szCs w:val="17"/>
          <w:color w:val="auto"/>
        </w:rPr>
        <w:t>Until a right is exercised, the holder of the right, as such, will have no rights as a</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of ours, including no right to vote or to receive dividends. Although the distribution of the rights should not be taxable to stockholders or to us, stockholders may, depending upon the circumstances, recognize taxable income in the event that the rights become exercisable for our common stock, or other consideration, or for common stock of the acquiring company as described above.</w:t>
      </w:r>
    </w:p>
    <w:p>
      <w:pPr>
        <w:spacing w:after="0" w:line="7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i w:val="1"/>
          <w:iCs w:val="1"/>
          <w:color w:val="auto"/>
        </w:rPr>
        <w:t xml:space="preserve">Board’s authority to amend. </w:t>
      </w:r>
      <w:r>
        <w:rPr>
          <w:rFonts w:ascii="Arial" w:cs="Arial" w:eastAsia="Arial" w:hAnsi="Arial"/>
          <w:sz w:val="17"/>
          <w:szCs w:val="17"/>
          <w:color w:val="auto"/>
        </w:rPr>
        <w:t>Our board of directors may amend any provision of the rights agreement, other than the redemption</w:t>
      </w:r>
      <w:r>
        <w:rPr>
          <w:rFonts w:ascii="Arial" w:cs="Arial" w:eastAsia="Arial" w:hAnsi="Arial"/>
          <w:sz w:val="17"/>
          <w:szCs w:val="17"/>
          <w:i w:val="1"/>
          <w:iCs w:val="1"/>
          <w:color w:val="auto"/>
        </w:rPr>
        <w:t xml:space="preserve"> </w:t>
      </w:r>
      <w:r>
        <w:rPr>
          <w:rFonts w:ascii="Arial" w:cs="Arial" w:eastAsia="Arial" w:hAnsi="Arial"/>
          <w:sz w:val="17"/>
          <w:szCs w:val="17"/>
          <w:color w:val="auto"/>
        </w:rPr>
        <w:t>price, prior to the date on which the rights are no longer redeemable. Once the rights are no longer redeemable, our board’s authority to amend the rights agreement is limited to correcting ambiguities or defective or inconsistent provisions in a manner that does not adversely affect the interest of holders of rights.</w:t>
      </w:r>
    </w:p>
    <w:p>
      <w:pPr>
        <w:spacing w:after="0" w:line="7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i w:val="1"/>
          <w:iCs w:val="1"/>
          <w:color w:val="auto"/>
        </w:rPr>
        <w:t xml:space="preserve">Effects of the rights. </w:t>
      </w:r>
      <w:r>
        <w:rPr>
          <w:rFonts w:ascii="Arial" w:cs="Arial" w:eastAsia="Arial" w:hAnsi="Arial"/>
          <w:sz w:val="17"/>
          <w:szCs w:val="17"/>
          <w:color w:val="auto"/>
        </w:rPr>
        <w:t>The rights are intended to protect our stockholders in the event of an unfair or coercive offer to acquire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to provide our board of directors with adequate time to evaluate unsolicited offers. The rights may have anti-takeover effects. The rights will cause substantial dilution to a person or group that attempts to acquire us without conditioning the offer on a substantial number of rights being acquired. The rights, however, should not affect any prospective offeror willing to make an offer at a fair price and otherwise in the best interests of us and our stockholders, as determined by our board of directors. The rights should not interfere with any merger or other business combination approved by our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rights</w:t>
      </w:r>
    </w:p>
    <w:p>
      <w:pPr>
        <w:spacing w:after="0" w:line="144"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color w:val="auto"/>
        </w:rPr>
        <w:t>Upon the completion of this offering, holders of 22,303,280 shares of our common stock as of October 20, 2006 will have the right to require us to register these shares of common stock under the Securities Act under specified circumstances, including any additional shares issued or distributed by way of a dividend, stock split or other distribution in respect of these shares.</w:t>
      </w:r>
    </w:p>
    <w:p>
      <w:pPr>
        <w:spacing w:after="0" w:line="9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connection with our acquisition of Microscience, we granted to Microscience Investments registration rights with respect to the shares of our common stock that we issued to Microscience Investments in the acquisition. We also have granted registration rights with respect to shares of our common stock to the holders of our previously existing class A common stock, in addition to Microscience Investments.</w:t>
      </w:r>
    </w:p>
    <w:p>
      <w:pPr>
        <w:spacing w:after="0" w:line="99"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Registration rights held by Microscience Investments may be transferred to the following parties if they become holders of the shares covered by the registration rights: APAX Funds Nominees Limited, The Merlin BioSciences Funds, The Merlin Fund L.P., Advent Private Equity Funds, JPMorgan Partners LLC, Merlin Equity Limited, or any subsidiary, affiliate, parent or general partner of any of these parties.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13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Subject to specified limitations and to the lock-up agreements with the underwriters for this offering, holders of these registrations rights may, beginning 90 days after this offering, require that we register all or part of our common stock subject to the registration rights for sale under the Securities Act. These holders may demand registration of our common stock so long as the offering price to the public of the shares requested to be registered is at least $25,000,000. We are required to effect only one demand</w:t>
      </w: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74" w:name="page175"/>
    <w:bookmarkEnd w:id="174"/>
    <w:p>
      <w:pPr>
        <w:ind w:right="80"/>
        <w:spacing w:after="0" w:line="258" w:lineRule="auto"/>
        <w:rPr>
          <w:sz w:val="20"/>
          <w:szCs w:val="20"/>
          <w:color w:val="auto"/>
        </w:rPr>
      </w:pPr>
      <w:r>
        <w:rPr>
          <w:rFonts w:ascii="Arial" w:cs="Arial" w:eastAsia="Arial" w:hAnsi="Arial"/>
          <w:sz w:val="17"/>
          <w:szCs w:val="17"/>
          <w:color w:val="auto"/>
        </w:rPr>
        <w:t>registration, subject to specified exceptions for each of Microscience and the holders of our previously existing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Incidental registration rights</w:t>
      </w:r>
    </w:p>
    <w:p>
      <w:pPr>
        <w:spacing w:after="0" w:line="139" w:lineRule="exact"/>
        <w:rPr>
          <w:sz w:val="20"/>
          <w:szCs w:val="20"/>
          <w:color w:val="auto"/>
        </w:rPr>
      </w:pPr>
    </w:p>
    <w:p>
      <w:pPr>
        <w:ind w:right="340"/>
        <w:spacing w:after="0" w:line="247" w:lineRule="auto"/>
        <w:rPr>
          <w:sz w:val="20"/>
          <w:szCs w:val="20"/>
          <w:color w:val="auto"/>
        </w:rPr>
      </w:pPr>
      <w:r>
        <w:rPr>
          <w:rFonts w:ascii="Arial" w:cs="Arial" w:eastAsia="Arial" w:hAnsi="Arial"/>
          <w:sz w:val="17"/>
          <w:szCs w:val="17"/>
          <w:color w:val="auto"/>
        </w:rPr>
        <w:t>If, after the completion of this offering, we propose to register any of our common stock under the Securities Act, subject to specified exceptions, either for our own account or for the account of other security holders, holders of registration rights are entitled to notice of the registration and to include shares of common stock subject to the registration rights in the registered offering.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and expenses</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With specified exceptions, the right to include shares in a registration is subject to the right of underwriters for the offering to limit the number of shares included in the offering. We are required to pay one-half of all fees, costs and expenses of any demand registration, other than underwriting discounts and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is American Stock Transfer &amp; Trust Company.</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 York Stock Exchange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has been authorized for listing on the New York Stock Exchange under the symbol “EBS.”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175" w:name="page176"/>
    <w:bookmarkEnd w:id="175"/>
    <w:p>
      <w:pPr>
        <w:jc w:val="center"/>
        <w:ind w:right="-39"/>
        <w:spacing w:after="0"/>
        <w:rPr>
          <w:sz w:val="20"/>
          <w:szCs w:val="20"/>
          <w:color w:val="auto"/>
        </w:rPr>
      </w:pPr>
      <w:r>
        <w:rPr>
          <w:rFonts w:ascii="Arial" w:cs="Arial" w:eastAsia="Arial" w:hAnsi="Arial"/>
          <w:sz w:val="28"/>
          <w:szCs w:val="28"/>
          <w:b w:val="1"/>
          <w:bCs w:val="1"/>
          <w:color w:val="auto"/>
        </w:rPr>
        <w:t>Shares eligible for future sale</w:t>
      </w:r>
    </w:p>
    <w:p>
      <w:pPr>
        <w:spacing w:after="0" w:line="16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Prior to this offering, there has been no market for our common stock, and a liquid trading market for our common stock may not develop or be sustained after this offering. Future sales of substantial amounts of common stock, including shares issued upon exercise of outstanding options or in the public market after this offering, or the anticipation of those sales, could adversely affect market prices prevailing from time to time and could impair our ability to raise capital through sales of our equity securities. Our common stock has been authorized for listing on the New York Stock Exchange under the symbol “EBS.”</w:t>
      </w:r>
    </w:p>
    <w:p>
      <w:pPr>
        <w:spacing w:after="0" w:line="102"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Upon the completion of this offering, we will have outstanding 27,420,404 shares of common stock, after giving effect to the issuance of 5,000,000 shares of common stock in this offering.</w:t>
      </w:r>
    </w:p>
    <w:p>
      <w:pPr>
        <w:spacing w:after="0" w:line="90"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Of the shares to be outstanding after the completion of this offering, the 5,000,000 shares of common stock sold in this offering will be freely tradable without restriction under the Securities Act unless purchased by our “affiliates,” as that term is defined in Rule 144 under the Securities Act. The remaining shares of our common stock are “restricted securities” under Rule 144. Substantially all of these restricted securities will be subject to the 180-day lock-up period described below.</w:t>
      </w:r>
    </w:p>
    <w:p>
      <w:pPr>
        <w:spacing w:after="0" w:line="99"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After the 180-day lock-up period, these restricted securities may be sold in the public market only if registered or if they qualify for an exemption from registration under Rule 144 or 701 under the Securities Act.</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144</w:t>
      </w:r>
    </w:p>
    <w:p>
      <w:pPr>
        <w:spacing w:after="0" w:line="14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In general and subject to the lock-up agreements described below, under Rule 144, beginning 90 days after the date of this prospectus, a person who has beneficially owned shares of our common stock for at least one year, including the holding period of any prior owner other than one of our affiliates, would be entitled to sell within any three-month period a number of shares that does not exceed the greater of:</w:t>
      </w:r>
    </w:p>
    <w:p>
      <w:pPr>
        <w:spacing w:after="0" w:line="99" w:lineRule="exact"/>
        <w:rPr>
          <w:sz w:val="20"/>
          <w:szCs w:val="20"/>
          <w:color w:val="auto"/>
        </w:rPr>
      </w:pPr>
    </w:p>
    <w:p>
      <w:pPr>
        <w:ind w:left="220" w:right="860" w:hanging="210"/>
        <w:spacing w:after="0" w:line="258" w:lineRule="auto"/>
        <w:tabs>
          <w:tab w:leader="none" w:pos="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274,204 shares immediately after this offering; and</w:t>
      </w:r>
    </w:p>
    <w:p>
      <w:pPr>
        <w:spacing w:after="0" w:line="90" w:lineRule="exact"/>
        <w:rPr>
          <w:rFonts w:ascii="Arial" w:cs="Arial" w:eastAsia="Arial" w:hAnsi="Arial"/>
          <w:sz w:val="17"/>
          <w:szCs w:val="17"/>
          <w:color w:val="auto"/>
        </w:rPr>
      </w:pPr>
    </w:p>
    <w:p>
      <w:pPr>
        <w:ind w:left="220" w:right="280" w:hanging="210"/>
        <w:spacing w:after="0" w:line="258" w:lineRule="auto"/>
        <w:tabs>
          <w:tab w:leader="none" w:pos="2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on the New York Stock Exchange during the four calendar weeks preceding the date of filing of a Notice of Proposed Sale of Securities Pursuant to Rule 144 with respect to the sale.</w:t>
      </w:r>
    </w:p>
    <w:p>
      <w:pPr>
        <w:spacing w:after="0" w:line="9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Sales under Rule 144 are also subject to manner of sale provisions and notice requirements and to the availability of current public information about us. Beginning 90 days after the date of this prospectus, 21,283 shares of our common stock outstanding as of October 20, 2006 will be eligible for sale under Rule 144. Upon expiration of the 180-day lock-up period described below, an additional 22,335,252 shares of our common stock outstanding as of October 20, 2006 will be eligible for sale under Rule 144, including shares eligible for resale under Rule 144(k) as described below. We cannot estimate the number of shares of common stock that our existing stockholders will elect to sell under Rule 144.</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Rule 144(k)</w:t>
      </w:r>
    </w:p>
    <w:p>
      <w:pPr>
        <w:spacing w:after="0" w:line="14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Subject to the lock-up agreements described below, shares of our common stock eligible for sale under Rule 144(k) may be sold immediately upon the completion of this offering. In general, under Rule 144(k),</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887" w:right="1059" w:bottom="1440" w:gutter="0" w:footer="0" w:header="0"/>
        </w:sectPr>
      </w:pPr>
    </w:p>
    <w:bookmarkStart w:id="176" w:name="page177"/>
    <w:bookmarkEnd w:id="176"/>
    <w:p>
      <w:pPr>
        <w:ind w:right="140"/>
        <w:spacing w:after="0" w:line="258" w:lineRule="auto"/>
        <w:rPr>
          <w:sz w:val="20"/>
          <w:szCs w:val="20"/>
          <w:color w:val="auto"/>
        </w:rPr>
      </w:pPr>
      <w:r>
        <w:rPr>
          <w:rFonts w:ascii="Arial" w:cs="Arial" w:eastAsia="Arial" w:hAnsi="Arial"/>
          <w:sz w:val="17"/>
          <w:szCs w:val="17"/>
          <w:color w:val="auto"/>
        </w:rPr>
        <w:t>a person may sell shares of common stock acquired from us immediately upon the completion of this offering, without regard to manner of sale, the availability of public information about us or volume, if:</w:t>
      </w:r>
    </w:p>
    <w:p>
      <w:pPr>
        <w:spacing w:after="0" w:line="90" w:lineRule="exact"/>
        <w:rPr>
          <w:sz w:val="20"/>
          <w:szCs w:val="20"/>
          <w:color w:val="auto"/>
        </w:rPr>
      </w:pPr>
    </w:p>
    <w:p>
      <w:pPr>
        <w:ind w:left="220" w:hanging="210"/>
        <w:spacing w:after="0"/>
        <w:tabs>
          <w:tab w:leader="none" w:pos="2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three months preceding the sale; and</w:t>
      </w:r>
    </w:p>
    <w:p>
      <w:pPr>
        <w:spacing w:after="0" w:line="105" w:lineRule="exact"/>
        <w:rPr>
          <w:rFonts w:ascii="Arial" w:cs="Arial" w:eastAsia="Arial" w:hAnsi="Arial"/>
          <w:sz w:val="17"/>
          <w:szCs w:val="17"/>
          <w:color w:val="auto"/>
        </w:rPr>
      </w:pPr>
    </w:p>
    <w:p>
      <w:pPr>
        <w:ind w:left="220" w:right="240" w:hanging="210"/>
        <w:spacing w:after="0" w:line="258" w:lineRule="auto"/>
        <w:tabs>
          <w:tab w:leader="none" w:pos="22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person has beneficially owned the shares proposed to be sold for at least two years, including the holding period of any prior owner other than an affiliate.</w:t>
      </w:r>
    </w:p>
    <w:p>
      <w:pPr>
        <w:spacing w:after="0" w:line="90"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Immediately upon the completion of this offering, none of the shares of our common stock outstanding as of October 20, 2006 will be eligible for sale under Rule 144(k). Upon expiration of the 180-day lock-up period described below, 10,932 shares of common stock outstanding as of October 20, 2006 will be eligible for sale under Rule 144(k).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general, under Rule 701 of the Securities Act, any of our employees, consultants or advisors who purchased shares from us in connection with a qualified compensatory stock plan or other written agreement is eligible to resell those shares 90 days after the date of this prospectus in reliance on Rule 144, but without compliance with the various restrictions, including the public information, holding period and volume limitation restrictions, contained in Rule 144. Beginning 90 days after the date of this prospectus, 117,124 shares of our common stock outstanding as of October 20, 2006 will be eligible for sale in accordance with Rule 701.</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holders of substantially all of our currently outstanding capital stock have agreed that, without the prior written consent of J.P. Morgan Securities Inc., they will not, during the period ending 180 days after the date of this prospectus, subject to exceptions specified in the lock-up agreements,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or enter into any swap or other agreement that transfers, in whole or in part, any of the economic consequences of ownership of our common stock. Further, these holders have agreed that, during this period, they will not make any demand for, or exercise any right with respect to, the registration of our common stock or any security convertible into or exercisable or exchangeable for our common stock. The 180-day lock-up period may be extended under specified circumstances. The lock-up restrictions, specified exceptions and the circumstances under which the 180-day lock-up period may be extended are described in more detail under “Underwriting.”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4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Subject to the lock-up agreements described above, upon the completion of this offering, holders of 22,303,280 shares of our common stock outstanding as of October 20, 2006 will have the right to require us to register these shares of common stock under the Securities Act under specified circumstances. After registration pursuant to these rights, these shares will become freely tradable without restriction under the Securities Act. See “Description of capital stock—Registration rights” for additional information regarding these registration rights.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b w:val="1"/>
          <w:bCs w:val="1"/>
          <w:color w:val="auto"/>
        </w:rPr>
        <w:t>Stock options</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As of October 20, 2006, we had outstanding options to purchase 3,109,932 shares of class B common stock, of which options to purchase 2,303,105 shares of class B common stock were vested as of October 20, 2006. As of October 20, 2006, options to purchase 2,607,793 shares of common stock will be vested and eligible for sale within 180 days after the date of this prospectus, subject to any lock-up agreements applicable to these shares. Immediately prior to the completion of this offering, each of these options automatically will become an option to purchase an equal number of shares of our common stock. Promptly following this offering, we intend to file a registration statement on Form S-8 under the Securities Act to register all of the shares subject to outstanding options and options and other awards issuable pursuant to our employee stock option plan and 2006 stock incentive plan. See “Management—Stock option and other compensation plans” for additional information regarding these plans.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3" w:right="1039" w:bottom="1440" w:gutter="0" w:footer="0" w:header="0"/>
        </w:sectPr>
      </w:pPr>
    </w:p>
    <w:bookmarkStart w:id="178" w:name="page179"/>
    <w:bookmarkEnd w:id="178"/>
    <w:p>
      <w:pPr>
        <w:jc w:val="center"/>
        <w:ind w:right="100"/>
        <w:spacing w:after="0"/>
        <w:rPr>
          <w:sz w:val="20"/>
          <w:szCs w:val="20"/>
          <w:color w:val="auto"/>
        </w:rPr>
      </w:pPr>
      <w:r>
        <w:rPr>
          <w:rFonts w:ascii="Arial" w:cs="Arial" w:eastAsia="Arial" w:hAnsi="Arial"/>
          <w:sz w:val="28"/>
          <w:szCs w:val="28"/>
          <w:b w:val="1"/>
          <w:bCs w:val="1"/>
          <w:color w:val="auto"/>
        </w:rPr>
        <w:t>Underwriting</w:t>
      </w:r>
    </w:p>
    <w:p>
      <w:pPr>
        <w:spacing w:after="0" w:line="134" w:lineRule="exact"/>
        <w:rPr>
          <w:sz w:val="20"/>
          <w:szCs w:val="20"/>
          <w:color w:val="auto"/>
        </w:rPr>
      </w:pPr>
    </w:p>
    <w:p>
      <w:pPr>
        <w:ind w:left="680" w:right="800"/>
        <w:spacing w:after="0" w:line="244"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J.P. Morgan Securities Inc., Cowen and Company, LLC and HSBC Securities (USA) Inc. are acting as representatives of the underwriters. We and the selling stockholders have entered into an underwriting agreement with the underwriters.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3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8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838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J.P. Morgan Securities Inc.</w:t>
            </w: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Arial" w:cs="Arial" w:eastAsia="Arial" w:hAnsi="Arial"/>
                <w:sz w:val="17"/>
                <w:szCs w:val="17"/>
                <w:color w:val="auto"/>
              </w:rPr>
              <w:t>Cowen and Company, LLC</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HSBC Securities (USA) Inc.</w:t>
            </w:r>
          </w:p>
        </w:tc>
        <w:tc>
          <w:tcPr>
            <w:tcW w:w="15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80" w:right="980"/>
        <w:spacing w:after="0" w:line="250" w:lineRule="auto"/>
        <w:rPr>
          <w:sz w:val="20"/>
          <w:szCs w:val="20"/>
          <w:color w:val="auto"/>
        </w:rPr>
      </w:pPr>
      <w:r>
        <w:rPr>
          <w:rFonts w:ascii="Arial" w:cs="Arial" w:eastAsia="Arial" w:hAnsi="Arial"/>
          <w:sz w:val="17"/>
          <w:szCs w:val="17"/>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96" w:lineRule="exact"/>
        <w:rPr>
          <w:sz w:val="20"/>
          <w:szCs w:val="20"/>
          <w:color w:val="auto"/>
        </w:rPr>
      </w:pPr>
    </w:p>
    <w:p>
      <w:pPr>
        <w:ind w:left="680" w:right="800"/>
        <w:spacing w:after="0" w:line="241" w:lineRule="auto"/>
        <w:rPr>
          <w:sz w:val="20"/>
          <w:szCs w:val="20"/>
          <w:color w:val="auto"/>
        </w:rPr>
      </w:pPr>
      <w:r>
        <w:rPr>
          <w:rFonts w:ascii="Arial" w:cs="Arial" w:eastAsia="Arial" w:hAnsi="Arial"/>
          <w:sz w:val="17"/>
          <w:szCs w:val="17"/>
          <w:color w:val="auto"/>
        </w:rPr>
        <w:t>The underwriters propose to offer the shares of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w:t>
      </w:r>
    </w:p>
    <w:p>
      <w:pPr>
        <w:ind w:left="680" w:right="840"/>
        <w:spacing w:after="0" w:line="250" w:lineRule="auto"/>
        <w:rPr>
          <w:sz w:val="20"/>
          <w:szCs w:val="20"/>
          <w:color w:val="auto"/>
        </w:rPr>
      </w:pPr>
      <w:r>
        <w:rPr>
          <w:rFonts w:ascii="Arial" w:cs="Arial" w:eastAsia="Arial" w:hAnsi="Arial"/>
          <w:sz w:val="17"/>
          <w:szCs w:val="17"/>
          <w:color w:val="auto"/>
        </w:rPr>
        <w:t>price. After the initial public offering of the shares, the offering price and other selling terms may be changed by the underwriters. The representatives have advised us that the underwriters do not intend to confirm discretionary sales in excess of 5% of the shares of common stock offered in this offering.</w:t>
      </w:r>
    </w:p>
    <w:p>
      <w:pPr>
        <w:spacing w:after="0" w:line="96" w:lineRule="exact"/>
        <w:rPr>
          <w:sz w:val="20"/>
          <w:szCs w:val="20"/>
          <w:color w:val="auto"/>
        </w:rPr>
      </w:pPr>
    </w:p>
    <w:p>
      <w:pPr>
        <w:ind w:left="680" w:right="800"/>
        <w:spacing w:after="0" w:line="244" w:lineRule="auto"/>
        <w:rPr>
          <w:sz w:val="20"/>
          <w:szCs w:val="20"/>
          <w:color w:val="auto"/>
        </w:rPr>
      </w:pPr>
      <w:r>
        <w:rPr>
          <w:rFonts w:ascii="Arial" w:cs="Arial" w:eastAsia="Arial" w:hAnsi="Arial"/>
          <w:sz w:val="17"/>
          <w:szCs w:val="17"/>
          <w:color w:val="auto"/>
        </w:rPr>
        <w:t>The underwriters have an option to purchase up to 480,000 additional shares of common stock from the selling stockholders and up to 270,000 additional shares of common stock from us to cover sales of shares by the underwriters that exceed the number of shares specified in the table above. The underwriters have 30 days from the date of this prospectus to exercise this over-allotment option. If any shares are purchased with this over-allotment option, the underwriters will purchase shares first from the selling stockholders and then from us, in each case, in approximately the same proportion as shown in the table above. If any additional shares of common stock are purchased, the underwriters will offer the additional shares on the same terms as those on which the shares are being offered.</w:t>
      </w:r>
    </w:p>
    <w:p>
      <w:pPr>
        <w:spacing w:after="0" w:line="102" w:lineRule="exact"/>
        <w:rPr>
          <w:sz w:val="20"/>
          <w:szCs w:val="20"/>
          <w:color w:val="auto"/>
        </w:rPr>
      </w:pPr>
    </w:p>
    <w:p>
      <w:pPr>
        <w:ind w:left="680" w:right="820"/>
        <w:spacing w:after="0" w:line="247" w:lineRule="auto"/>
        <w:rPr>
          <w:sz w:val="20"/>
          <w:szCs w:val="20"/>
          <w:color w:val="auto"/>
        </w:rPr>
      </w:pPr>
      <w:r>
        <w:rPr>
          <w:rFonts w:ascii="Arial" w:cs="Arial" w:eastAsia="Arial" w:hAnsi="Arial"/>
          <w:sz w:val="17"/>
          <w:szCs w:val="17"/>
          <w:color w:val="auto"/>
        </w:rPr>
        <w:t>The underwriting fee is equal to the initial public offering price per share of common stock less the amount paid by the underwriters to us and the selling stockholders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3800" w:type="dxa"/>
            <w:vAlign w:val="bottom"/>
            <w:tcBorders>
              <w:top w:val="single" w:sz="8" w:color="auto"/>
            </w:tcBorders>
          </w:tcPr>
          <w:p>
            <w:pPr>
              <w:spacing w:after="0"/>
              <w:rPr>
                <w:sz w:val="16"/>
                <w:szCs w:val="16"/>
                <w:color w:val="auto"/>
              </w:rPr>
            </w:pPr>
          </w:p>
        </w:tc>
        <w:tc>
          <w:tcPr>
            <w:tcW w:w="4560" w:type="dxa"/>
            <w:vAlign w:val="bottom"/>
            <w:tcBorders>
              <w:top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Without over-</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With full over-</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4"/>
        </w:trPr>
        <w:tc>
          <w:tcPr>
            <w:tcW w:w="70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Arial" w:cs="Arial" w:eastAsia="Arial" w:hAnsi="Arial"/>
                <w:sz w:val="14"/>
                <w:szCs w:val="14"/>
                <w:b w:val="1"/>
                <w:bCs w:val="1"/>
                <w:color w:val="auto"/>
              </w:rPr>
              <w:t>Underwriting discounts and commissions</w:t>
            </w:r>
          </w:p>
        </w:tc>
        <w:tc>
          <w:tcPr>
            <w:tcW w:w="4560" w:type="dxa"/>
            <w:vAlign w:val="bottom"/>
          </w:tcPr>
          <w:p>
            <w:pPr>
              <w:jc w:val="right"/>
              <w:ind w:right="120"/>
              <w:spacing w:after="0"/>
              <w:rPr>
                <w:sz w:val="20"/>
                <w:szCs w:val="20"/>
                <w:color w:val="auto"/>
              </w:rPr>
            </w:pPr>
            <w:r>
              <w:rPr>
                <w:rFonts w:ascii="Arial" w:cs="Arial" w:eastAsia="Arial" w:hAnsi="Arial"/>
                <w:sz w:val="14"/>
                <w:szCs w:val="14"/>
                <w:b w:val="1"/>
                <w:bCs w:val="1"/>
                <w:color w:val="auto"/>
              </w:rPr>
              <w:t>allotment exercise</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allotment exercise</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1"/>
        </w:trPr>
        <w:tc>
          <w:tcPr>
            <w:tcW w:w="700" w:type="dxa"/>
            <w:vAlign w:val="bottom"/>
          </w:tcPr>
          <w:p>
            <w:pPr>
              <w:spacing w:after="0"/>
              <w:rPr>
                <w:sz w:val="12"/>
                <w:szCs w:val="12"/>
                <w:color w:val="auto"/>
              </w:rPr>
            </w:pPr>
          </w:p>
        </w:tc>
        <w:tc>
          <w:tcPr>
            <w:tcW w:w="3800" w:type="dxa"/>
            <w:vAlign w:val="bottom"/>
            <w:tcBorders>
              <w:bottom w:val="single" w:sz="8" w:color="auto"/>
            </w:tcBorders>
          </w:tcPr>
          <w:p>
            <w:pPr>
              <w:spacing w:after="0"/>
              <w:rPr>
                <w:sz w:val="12"/>
                <w:szCs w:val="12"/>
                <w:color w:val="auto"/>
              </w:rPr>
            </w:pPr>
          </w:p>
        </w:tc>
        <w:tc>
          <w:tcPr>
            <w:tcW w:w="45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28"/>
        </w:trPr>
        <w:tc>
          <w:tcPr>
            <w:tcW w:w="70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Per share</w:t>
            </w:r>
          </w:p>
        </w:tc>
        <w:tc>
          <w:tcPr>
            <w:tcW w:w="4560" w:type="dxa"/>
            <w:vAlign w:val="bottom"/>
          </w:tcPr>
          <w:p>
            <w:pPr>
              <w:jc w:val="right"/>
              <w:ind w:right="132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121"/>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0"/>
        </w:trPr>
        <w:tc>
          <w:tcPr>
            <w:tcW w:w="700" w:type="dxa"/>
            <w:vAlign w:val="bottom"/>
          </w:tcPr>
          <w:p>
            <w:pPr>
              <w:spacing w:after="0"/>
              <w:rPr>
                <w:sz w:val="18"/>
                <w:szCs w:val="18"/>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4560" w:type="dxa"/>
            <w:vAlign w:val="bottom"/>
            <w:tcBorders>
              <w:bottom w:val="single" w:sz="8" w:color="auto"/>
            </w:tcBorders>
          </w:tcPr>
          <w:p>
            <w:pPr>
              <w:jc w:val="right"/>
              <w:ind w:right="13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121"/>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r>
      <w:tr>
        <w:trPr>
          <w:trHeight w:val="595"/>
        </w:trPr>
        <w:tc>
          <w:tcPr>
            <w:tcW w:w="7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560" w:type="dxa"/>
            <w:vAlign w:val="bottom"/>
          </w:tcPr>
          <w:p>
            <w:pPr>
              <w:jc w:val="right"/>
              <w:ind w:right="3180"/>
              <w:spacing w:after="0"/>
              <w:rPr>
                <w:sz w:val="20"/>
                <w:szCs w:val="20"/>
                <w:color w:val="auto"/>
              </w:rPr>
            </w:pPr>
            <w:r>
              <w:rPr>
                <w:rFonts w:ascii="Arial" w:cs="Arial" w:eastAsia="Arial" w:hAnsi="Arial"/>
                <w:sz w:val="17"/>
                <w:szCs w:val="17"/>
                <w:color w:val="auto"/>
              </w:rPr>
              <w:t>175</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3800" w:type="dxa"/>
            <w:vAlign w:val="bottom"/>
            <w:tcBorders>
              <w:bottom w:val="single" w:sz="8" w:color="808080"/>
            </w:tcBorders>
          </w:tcPr>
          <w:p>
            <w:pPr>
              <w:spacing w:after="0"/>
              <w:rPr>
                <w:sz w:val="17"/>
                <w:szCs w:val="17"/>
                <w:color w:val="auto"/>
              </w:rPr>
            </w:pPr>
          </w:p>
        </w:tc>
        <w:tc>
          <w:tcPr>
            <w:tcW w:w="4560" w:type="dxa"/>
            <w:vAlign w:val="bottom"/>
            <w:tcBorders>
              <w:bottom w:val="single" w:sz="8" w:color="808080"/>
            </w:tcBorders>
          </w:tcPr>
          <w:p>
            <w:pPr>
              <w:spacing w:after="0"/>
              <w:rPr>
                <w:sz w:val="17"/>
                <w:szCs w:val="17"/>
                <w:color w:val="auto"/>
              </w:rPr>
            </w:pPr>
          </w:p>
        </w:tc>
        <w:tc>
          <w:tcPr>
            <w:tcW w:w="14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9" w:name="page180"/>
    <w:bookmarkEnd w:id="179"/>
    <w:p>
      <w:pPr>
        <w:ind w:right="500"/>
        <w:spacing w:after="0" w:line="250" w:lineRule="auto"/>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 expenses, but excluding the underwriting discounts and commissions, will be approximately $3,450,000. Substantially all of these expenses are payable by us.</w:t>
      </w:r>
    </w:p>
    <w:p>
      <w:pPr>
        <w:spacing w:after="0" w:line="96"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agreed, with limited exceptions,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J.P. Morgan Securities Inc. for a period of 180 days after the date of this prospectus. Notwithstanding the foregoing, if (1) during the last 17 days of the 180-day restricted period, we issue an earnings release or material news or a material event relating to us occurs; or (2) prior to the expiration of the 180-day restricted period, we announce that we will release earnings results during the 16-day period beginning on the last day of the 180-day period, the restrictions described above will continue to apply until the expiration of the 18-day period beginning on the issuance of the earnings release or the occurrence of the material news or material event. Notwithstanding the restrictions described above, we are permitted to issue up to an aggregate of</w:t>
      </w:r>
    </w:p>
    <w:p>
      <w:pPr>
        <w:spacing w:after="0" w:line="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1,370,000 shares of our common stock or securities convertible into or exercisable or exchangeable for common stock in connection with transactions with unaffiliated third parties that involve commercial relationships, including joint ventures, marketing or distribution arrangements, collaboration agreements or intellectual property license agreements, or in connection with specified acquisition transactions. The recipients of the common stock or securities issued in connection with such transactions will be bound by the terms of the stockholder lock-up described below.</w:t>
      </w:r>
    </w:p>
    <w:p>
      <w:pPr>
        <w:spacing w:after="0" w:line="102"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Our directors and executive officers and substantially all of our stockholders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Inc.,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or (2) enter into any swap or other agreement that transfers, in whole or in part, any of the economic consequences of ownership of our common stock, whether any such transaction described in clause (1) or (2) above is to be settled by delivery of common stock or such other securities, in cash or otherwise. Notwithstanding the foregoing, if (1) during the last 17 days of the 180-day restricted period, we issue an earnings release or material news or a material event relating to us occurs; or (2) prior to the expiration of the 180-day restricted period, we announce that we will release earnings results during the 16-day period beginning on the last day of the 180-day period, the restrictions described above will continue to apply until the expiration of the 18-day period beginning on the issuance of the earnings release or the occurrence of the material news or material event.</w:t>
      </w:r>
    </w:p>
    <w:p>
      <w:pPr>
        <w:spacing w:after="0" w:line="10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restrictions imposed by these lock-up agreements will not apply to the transfer or disposition of shares of our common stock or any securities convertible into or exercisable or exchangeable for our common stock (1) as a bona fide gift, (2) to any trust for the direct or indirect benefit of the stockholder or the immediate family of the stockholder in a transaction not involving a disposition for value, (3) to any corporation, partnership, limited liability company or other entity all of the beneficial ownership interests of which are held by the stockholder or the immediate family of the stockholder in a transaction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80" w:name="page181"/>
    <w:bookmarkEnd w:id="180"/>
    <w:p>
      <w:pPr>
        <w:spacing w:after="0" w:line="242" w:lineRule="auto"/>
        <w:rPr>
          <w:sz w:val="20"/>
          <w:szCs w:val="20"/>
          <w:color w:val="auto"/>
        </w:rPr>
      </w:pPr>
      <w:r>
        <w:rPr>
          <w:rFonts w:ascii="Arial" w:cs="Arial" w:eastAsia="Arial" w:hAnsi="Arial"/>
          <w:sz w:val="17"/>
          <w:szCs w:val="17"/>
          <w:color w:val="auto"/>
        </w:rPr>
        <w:t>not involving a disposition for value, (4) by will, other testamentary document or intestate succession to the legal representative, heir, beneficiary or a member of the immediate family of the stockholder, (5) as a distribution to partners, members or stockholders of the stockholder in a transaction not involving a disposition for value or (6) to any affiliate of the stockholder or any investment fund or other entity controlled or managed by the stockholder in a transaction not involving a disposition for value; provided that the transferee, distributee or donee agrees in writing to be bound by the terms of the lock-up agreement to the same extent as if a party thereto; and, provided further that, in the case of (3), (5) and (6) above, no filing pursuant to Section 16(a) of the Exchange Act, reporting a reduction in the beneficial ownership of common stock shall be required or shall be voluntarily made in connection with such transfer, other than a filing on a Form 5 made after the expiration of the 180-day restricted period or any extension thereof pursuant to the lock-up agreement. In addition, the restrictions imposed by the lock-up agreement do not apply to the sale of common stock by the stockholder pursuant to the underwriting agreement. Furthermore, notwithstanding the restrictions imposed by the lock-up agreement, the stockholder may, without the prior written consent of J.P. Morgan Securities Inc., (1) exercise an option to purchase shares of common stock granted under any stock incentive plan or stock purchase plan, (2) establish a trading plan pursuant to Rule 10b5-1 under the Exchange Act for the transfer of common stock, provided that such plan does not provide for any transfers of common stock during the 180-day restricted period or any extension thereof pursuant to the lock-up agreement and (3) transfer shares of common stock acquired in this offering or on the open market following this offering.</w:t>
      </w:r>
    </w:p>
    <w:p>
      <w:pPr>
        <w:spacing w:after="0" w:line="304"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has been approved for listing on the New York Stock Exchange under the symbol “EBS.”</w:t>
      </w:r>
    </w:p>
    <w:p>
      <w:pPr>
        <w:spacing w:after="0" w:line="11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 The underwriters may close out any covered short position either by exercising their over-allotment option,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over-allotment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8"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60"/>
          </w:cols>
          <w:pgMar w:left="920" w:top="924" w:right="1119" w:bottom="1440" w:gutter="0" w:footer="0" w:header="0"/>
        </w:sectPr>
      </w:pPr>
    </w:p>
    <w:bookmarkStart w:id="181" w:name="page182"/>
    <w:bookmarkEnd w:id="181"/>
    <w:p>
      <w:pPr>
        <w:ind w:right="140"/>
        <w:spacing w:after="0" w:line="245"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New York Stock Exchange, in the over-the-counter market or otherwise.</w:t>
      </w:r>
    </w:p>
    <w:p>
      <w:pPr>
        <w:spacing w:after="0" w:line="302"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96" w:lineRule="exact"/>
        <w:rPr>
          <w:sz w:val="20"/>
          <w:szCs w:val="20"/>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information set forth in this prospectus and otherwise available to the representatives;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our prospects and the history and prospects for the industry in which we compete;</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 assessment of our management;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our prospects for future earnings;</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general condition of the securities markets at the time of this offering;</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common stock of generally comparable companies;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other factors deemed relevant by the underwriters and us.</w:t>
      </w:r>
    </w:p>
    <w:p>
      <w:pPr>
        <w:spacing w:after="0" w:line="11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common stock, or that the shares of common stock will trade in the public market at or above the initial public offering price.</w:t>
      </w:r>
    </w:p>
    <w:p>
      <w:pPr>
        <w:spacing w:after="0" w:line="9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J.P. Morgan Partners, LLC, an affiliate of J.P. Morgan Securities Inc., through its ownership of various entities, owns approximately 10.9% of the voting securities of Microscience Investments Limited, which owns 16.2% of our common stock prior to this offering. Because J.P. Morgan Securities Inc. may be deemed an affiliate under the National Association of Securities Dealers, Inc.’s Conduct Rules, or the NASD Rules, as a result of J.P. Morgan Partners, LLC’s ownership of more than 10% of the voting securities of Microscience Investments Limited, J.P. Morgan Securities Inc. may be deemed to have a “conflict of interest” with us under Rule 2720 of the NASD Rules. When an NASD member with a conflict of interest participates as an underwriter in a public offering, the NASD Rules require that the initial public offering price can be no higher than that recommended by a “qualified independent underwriter,” as defined by the NASD Rules. In accordance with Rule 2720 of the NASD Rules, Cowen and Company, LLC will assume the responsibility of acting as qualified independent underwriter. In this role, Cowen and Company, LLC will perform a due diligence investigation and review and participate in the preparation of the registration statement, of which this prospectus is a part.</w:t>
      </w:r>
    </w:p>
    <w:p>
      <w:pPr>
        <w:spacing w:after="0" w:line="307"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HSBC Realty Credit Corporation, an affiliate of HSBC Securities (USA) Inc., is the lender under a mortgage loan for $ 8.5 million that we entered into in April 2006 in connection with the purchase of a building in Frederick, Maryland, a term loan for $ 10.0 million that we entered into in August 2006 to finance a portion of the costs of our facility expansion in Lansing, Michigan and a revolving line of credit for up to $5.0 million that we entered into in August 2006. In addition, from time to time, certain of the underwriters and their affiliates may effect transactions for their own account or the account of</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182" w:name="page183"/>
    <w:bookmarkEnd w:id="182"/>
    <w:p>
      <w:pPr>
        <w:ind w:right="120"/>
        <w:spacing w:after="0" w:line="258" w:lineRule="auto"/>
        <w:rPr>
          <w:sz w:val="20"/>
          <w:szCs w:val="20"/>
          <w:color w:val="auto"/>
        </w:rPr>
      </w:pPr>
      <w:r>
        <w:rPr>
          <w:rFonts w:ascii="Arial" w:cs="Arial" w:eastAsia="Arial" w:hAnsi="Arial"/>
          <w:sz w:val="17"/>
          <w:szCs w:val="17"/>
          <w:color w:val="auto"/>
        </w:rPr>
        <w:t>customers, and hold on behalf of themselves or their customers, long or short positions in our debt or equity securities or loans, and may do so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Notices to foreign investors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This prospectus may only be communicated or caused to be communicated in the United Kingdom to persons:</w:t>
      </w:r>
    </w:p>
    <w:p>
      <w:pPr>
        <w:spacing w:after="0" w:line="119" w:lineRule="exact"/>
        <w:rPr>
          <w:sz w:val="20"/>
          <w:szCs w:val="20"/>
          <w:color w:val="auto"/>
        </w:rPr>
      </w:pPr>
    </w:p>
    <w:p>
      <w:pPr>
        <w:ind w:left="320" w:right="140" w:hanging="310"/>
        <w:spacing w:after="0" w:line="258" w:lineRule="auto"/>
        <w:tabs>
          <w:tab w:leader="none" w:pos="3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authorised to carry on a regulated activity, or Authorised Persons, under the Financial Services and Markets Act of 2000, or FSMA;</w:t>
      </w:r>
    </w:p>
    <w:p>
      <w:pPr>
        <w:spacing w:after="0" w:line="90" w:lineRule="exact"/>
        <w:rPr>
          <w:rFonts w:ascii="Arial" w:cs="Arial" w:eastAsia="Arial" w:hAnsi="Arial"/>
          <w:sz w:val="17"/>
          <w:szCs w:val="17"/>
          <w:color w:val="auto"/>
        </w:rPr>
      </w:pPr>
    </w:p>
    <w:p>
      <w:pPr>
        <w:ind w:left="320" w:right="40" w:hanging="310"/>
        <w:spacing w:after="0" w:line="258" w:lineRule="auto"/>
        <w:tabs>
          <w:tab w:leader="none" w:pos="3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having professional experience in matters relating to investments and qualifying as investment professionals under article 19 of the Financial Services and Markets Act 2000 (Financial Promotion) Order 2005, or the Order;</w:t>
      </w:r>
    </w:p>
    <w:p>
      <w:pPr>
        <w:spacing w:after="0" w:line="90" w:lineRule="exact"/>
        <w:rPr>
          <w:rFonts w:ascii="Arial" w:cs="Arial" w:eastAsia="Arial" w:hAnsi="Arial"/>
          <w:sz w:val="17"/>
          <w:szCs w:val="17"/>
          <w:color w:val="auto"/>
        </w:rPr>
      </w:pPr>
    </w:p>
    <w:p>
      <w:pPr>
        <w:ind w:left="320" w:hanging="310"/>
        <w:spacing w:after="0"/>
        <w:tabs>
          <w:tab w:leader="none" w:pos="3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qualifying as high net worth persons under article 49 of the Order; or</w:t>
      </w:r>
    </w:p>
    <w:p>
      <w:pPr>
        <w:spacing w:after="0" w:line="118" w:lineRule="exact"/>
        <w:rPr>
          <w:rFonts w:ascii="Arial" w:cs="Arial" w:eastAsia="Arial" w:hAnsi="Arial"/>
          <w:sz w:val="17"/>
          <w:szCs w:val="17"/>
          <w:color w:val="auto"/>
        </w:rPr>
      </w:pPr>
    </w:p>
    <w:p>
      <w:pPr>
        <w:ind w:left="320" w:hanging="310"/>
        <w:spacing w:after="0"/>
        <w:tabs>
          <w:tab w:leader="none" w:pos="3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whom investments or investment activity of the kind described in this prospectus may lawfully be made available.</w:t>
      </w:r>
    </w:p>
    <w:p>
      <w:pPr>
        <w:spacing w:after="0" w:line="11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This prospectus will only be available to the categories of persons in the United Kingdom described above and no one falling outside such categories is entitled to rely on, and they must not act on, any information in this prospectus. The communication of this prospectus to any person in the United Kingdom falling outside the categories described above is unauthorised and may contravene FSMA. Any individual who is in any doubt about the investment to which this prospectus relates should consult an Authorised Person specialising in advising on investments of this kind. By receiving this document you are deemed to represent and warrant to us and the underwriters that you fall within the categories of persons described above. Persons who do not fall within one of the categories of persons described above should not take any action on the basis of this prospectus and should not act or rely on it. Any individual who is in doubt about the investment to which this prospectus relates should consult an authorised person specialising in advising on investments of this kind.</w:t>
      </w:r>
    </w:p>
    <w:p>
      <w:pPr>
        <w:spacing w:after="0" w:line="10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No approved prospectus relating to the matters referred to in this prospectus has been made available to the public in the United Kingdom and, accordingly, the common stock may not be, and will not be, offered in the United Kingdom except to qualified investors under section 86 of FSMA or except in circumstances which would not result in an offer to the public in the United Kingdom within the meaning of FSMA. No approved prospectus will be registered and published in any other member state of the European Economic Area and common stock will only be offered or sold in any such member state in circumstances which do not require the publication of a prospectus pursuant to the provisions of the Prospectus Directive.</w:t>
      </w:r>
    </w:p>
    <w:p>
      <w:pPr>
        <w:spacing w:after="0" w:line="104"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No prospectus will be approved by any member state of the European Economic Area which has implemented the Prospectus Directive, or Relevant Member State, and no prospectus will be registered or published in any Relevant Member State. Applications will be accepted and common stock will be issued to investors in the Relevant Member States only in circumstances which do not require the publication of a prospectus pursuant to the Prospectus Directive including:</w:t>
      </w:r>
    </w:p>
    <w:p>
      <w:pPr>
        <w:spacing w:after="0" w:line="99" w:lineRule="exact"/>
        <w:rPr>
          <w:sz w:val="20"/>
          <w:szCs w:val="20"/>
          <w:color w:val="auto"/>
        </w:rPr>
      </w:pPr>
    </w:p>
    <w:p>
      <w:pPr>
        <w:ind w:left="320" w:right="280" w:hanging="310"/>
        <w:spacing w:after="0" w:line="258" w:lineRule="auto"/>
        <w:tabs>
          <w:tab w:leader="none" w:pos="3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at any time to legal entities which are authorised or regulated to operate in the financial markets or, if not so authorised or regulated, whose corporate purpose is solely to invest in securities;</w:t>
      </w:r>
    </w:p>
    <w:p>
      <w:pPr>
        <w:spacing w:after="0" w:line="90" w:lineRule="exact"/>
        <w:rPr>
          <w:rFonts w:ascii="Arial" w:cs="Arial" w:eastAsia="Arial" w:hAnsi="Arial"/>
          <w:sz w:val="17"/>
          <w:szCs w:val="17"/>
          <w:color w:val="auto"/>
        </w:rPr>
      </w:pPr>
    </w:p>
    <w:p>
      <w:pPr>
        <w:ind w:left="320" w:right="160" w:hanging="310"/>
        <w:spacing w:after="0" w:line="250" w:lineRule="auto"/>
        <w:tabs>
          <w:tab w:leader="none" w:pos="3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at any time to any legal entity which has two or more of (1) an average of at least 250 employees during the last financial year, (2) a total balance sheet of more than €43 million and (3) an annual turnover of more than €50 million, as shown in its last annual or consolidated accounts; or</w:t>
      </w:r>
    </w:p>
    <w:p>
      <w:pPr>
        <w:spacing w:after="0" w:line="96" w:lineRule="exact"/>
        <w:rPr>
          <w:rFonts w:ascii="Arial" w:cs="Arial" w:eastAsia="Arial" w:hAnsi="Arial"/>
          <w:sz w:val="17"/>
          <w:szCs w:val="17"/>
          <w:color w:val="auto"/>
        </w:rPr>
      </w:pPr>
    </w:p>
    <w:p>
      <w:pPr>
        <w:ind w:left="320" w:right="60" w:hanging="310"/>
        <w:spacing w:after="0" w:line="258" w:lineRule="auto"/>
        <w:tabs>
          <w:tab w:leader="none" w:pos="3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at any time in any other circumstances which do not require the publication by us of a prospectus pursuant to Article 3 of the Prospectus Directive.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83" w:name="page184"/>
    <w:bookmarkEnd w:id="183"/>
    <w:p>
      <w:pPr>
        <w:ind w:right="20"/>
        <w:spacing w:after="0" w:line="247" w:lineRule="auto"/>
        <w:rPr>
          <w:sz w:val="20"/>
          <w:szCs w:val="20"/>
          <w:color w:val="auto"/>
        </w:rPr>
      </w:pPr>
      <w:r>
        <w:rPr>
          <w:rFonts w:ascii="Arial" w:cs="Arial" w:eastAsia="Arial" w:hAnsi="Arial"/>
          <w:sz w:val="17"/>
          <w:szCs w:val="17"/>
          <w:color w:val="auto"/>
        </w:rPr>
        <w:t>No prospectus pursuant to the German Securities Prospectus Act will be filed with the German Federal Financial Supervisory Authority. Consequently the common stock must not be distributed within Germany by way of a public offer, public advertisement or in any similar manner. Applications will only be accepted and common stock will be issued to investors in Germany only in circumstances which do not require the publication of a prospectus pursuant to the German Securities Prospectus Act:</w:t>
      </w:r>
    </w:p>
    <w:p>
      <w:pPr>
        <w:spacing w:after="0" w:line="99" w:lineRule="exact"/>
        <w:rPr>
          <w:sz w:val="20"/>
          <w:szCs w:val="20"/>
          <w:color w:val="auto"/>
        </w:rPr>
      </w:pPr>
    </w:p>
    <w:p>
      <w:pPr>
        <w:ind w:left="320" w:hanging="310"/>
        <w:spacing w:after="0" w:line="250" w:lineRule="auto"/>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at any time to legal entities which are authorised or regulated to operate in the financial markets or, if not so authorised or regulated, whose corporate purpose is solely to invest in securities pursuant to Section 2 no. 6 lit. a of the German Securities Prospectus Act;</w:t>
      </w:r>
    </w:p>
    <w:p>
      <w:pPr>
        <w:spacing w:after="0" w:line="96" w:lineRule="exact"/>
        <w:rPr>
          <w:rFonts w:ascii="Arial" w:cs="Arial" w:eastAsia="Arial" w:hAnsi="Arial"/>
          <w:sz w:val="17"/>
          <w:szCs w:val="17"/>
          <w:color w:val="auto"/>
        </w:rPr>
      </w:pPr>
    </w:p>
    <w:p>
      <w:pPr>
        <w:jc w:val="both"/>
        <w:ind w:left="320" w:right="120" w:hanging="310"/>
        <w:spacing w:after="0" w:line="250" w:lineRule="auto"/>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at any time to a corporate entity which has two or more of (1) an average of at least 250 employees during the last financial year, (2) a total balance sheet of more than €43 million and (3) an annual turnover of more than €50 million, as shown in its last annual or consolidated accounts; or</w:t>
      </w:r>
    </w:p>
    <w:p>
      <w:pPr>
        <w:spacing w:after="0" w:line="96" w:lineRule="exact"/>
        <w:rPr>
          <w:rFonts w:ascii="Arial" w:cs="Arial" w:eastAsia="Arial" w:hAnsi="Arial"/>
          <w:sz w:val="17"/>
          <w:szCs w:val="17"/>
          <w:color w:val="auto"/>
        </w:rPr>
      </w:pPr>
    </w:p>
    <w:p>
      <w:pPr>
        <w:ind w:left="320" w:right="240" w:hanging="310"/>
        <w:spacing w:after="0" w:line="258" w:lineRule="auto"/>
        <w:tabs>
          <w:tab w:leader="none" w:pos="3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at any time in any other circumstances which do not require the publication by us of a prospectus pursuant to Section 3 of the German Securities Prospectus Act.</w:t>
      </w:r>
    </w:p>
    <w:p>
      <w:pPr>
        <w:spacing w:after="0" w:line="9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This prospectus and any other document relating to the common stock, as well as information and statements contained therein, may not be supplied to the public in Germany or used in connection with any offer for subscription of the common stock to the public in Germany or any other means of public marketing. This prospectus and any other related information is strictly private and confidential. It must not be provided to any person or entity other than the original recipient, and may not be reproduced or used for any other purpose.</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common stock has not been registered with the Commissione Nazionale per le Società e la Borsa, or CONSOB, pursuant to Italian securities legislation and, accordingly, the common stock cannot be offered or sold, and shall not be offered or sold in the Republic of Italy in a solicitation to the public at large, and that sales of the common stock in the Republic of Italy shall only be negotiated on an individual basis with “Professional Investors”, as defined under Article 31, paragraph 2, of CONSOB Regulation no. 11522 of 1 July 1998, as amended, and effected in compliance with the requirements of Articles 94 and seq. of Legislative Decree no. 58 of 24 February 1998, as amended, and CONSOB Regulation no. 11971 of 14 May 1999, as amended, and shall in any event be effected in accordance with all Italian securities, tax and exchange control and other applicable laws and regulations.</w:t>
      </w:r>
    </w:p>
    <w:p>
      <w:pPr>
        <w:spacing w:after="0" w:line="304"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This prospectus does not constitute an issue prospectus pursuant to Art 652a of the Swiss Code of Obligations. The common stock will not be listed on the SWX Swiss Exchange and, therefore, the prospectus may not comply with the disclosure standards of the listing rules of the SWX Swiss Exchange. Accordingly, the common stock may not be offered to the public in or from Switzerland, but only to a selected and limited circle of investors which do not subscribe to the common stock with a view to distribution. The investors will be individually approached by the underwriters from time to time.</w:t>
      </w:r>
    </w:p>
    <w:p>
      <w:pPr>
        <w:spacing w:after="0" w:line="102"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This prospectus is personal to each offeree and does not constitute an offer to any other person. The prospectus may only be used by those persons to whom it has been handed out in connection with the offer described therein and may neither directly nor indirectly be distributed or made available to other persons without express consent of the issuer. It may not be used in connection with any other offer and shall in particular not be copied and/or distributed to the public in Switzerland.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38" w:right="1059" w:bottom="1440" w:gutter="0" w:footer="0" w:header="0"/>
        </w:sectPr>
      </w:pPr>
    </w:p>
    <w:bookmarkStart w:id="184" w:name="page185"/>
    <w:bookmarkEnd w:id="184"/>
    <w:p>
      <w:pPr>
        <w:jc w:val="center"/>
        <w:ind w:right="-19"/>
        <w:spacing w:after="0"/>
        <w:rPr>
          <w:sz w:val="20"/>
          <w:szCs w:val="20"/>
          <w:color w:val="auto"/>
        </w:rPr>
      </w:pPr>
      <w:r>
        <w:rPr>
          <w:rFonts w:ascii="Arial" w:cs="Arial" w:eastAsia="Arial" w:hAnsi="Arial"/>
          <w:sz w:val="28"/>
          <w:szCs w:val="28"/>
          <w:b w:val="1"/>
          <w:bCs w:val="1"/>
          <w:color w:val="auto"/>
        </w:rPr>
        <w:t>Legal matters</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validity of the common stock offered hereby is being passed upon by Wilmer Cutler Pickering Hale and Dorr LLP, Washington, D.C. Thelen Reid &amp; Priest LLP, Washington, D.C., is acting as counsel to the selling stockholders in connection with this offering. Dechert LLP, Philadelphia, Pennsylvania is acting as counsel for the underwriters in connection with this offering.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Experts</w:t>
      </w:r>
    </w:p>
    <w:p>
      <w:pPr>
        <w:spacing w:after="0" w:line="160"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at December 31, 2004 and 2005, and for each of the three years in the period ended December 31, 2005,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99"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Ernst &amp; Young LLP, London, England, independent auditors, has audited the financial statements of Emergent Product Development UK Limited for each of the two years in the period ended December 31, 2004, as set forth in their report. We have included these financial statements in the prospectus and elsewhere in the registration statement in reliance on Ernst &amp; Young LLP’s report, given on their authority as experts in accounting and auditing.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Where you can find more information</w:t>
      </w:r>
    </w:p>
    <w:p>
      <w:pPr>
        <w:spacing w:after="0" w:line="160"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We have filed with the Securities and Exchange Commission a registration statement on Form S-1 under the Securities Act with respect to the shares of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or any other document are not necessarily complete, and, in each instance, we refer you to the copy of the contract or other documents filed as an exhibit to the registration statement. Each of theses statements is qualified in all respects by this reference.</w:t>
      </w:r>
    </w:p>
    <w:p>
      <w:pPr>
        <w:spacing w:after="0" w:line="106"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You may read and copy the registration statement of which this prospectus is a part at the Securities and Exchange Commission’s public reference room, which is located at 100 F Street, N.E., Room 1580, Washington, DC 20549. You can request copies of the registration statement by writing to the Securities and Exchange Commission and paying a fee for the copying cost. Please call the Securities and Exchange Commission at 1-800-SEC-0330 for more information about the operation of the Securities and Exchange Commission’s public reference room. In addition, the Securities and Exchange Commission maintains an Internet website, which is located at http://www.sec.gov, that contains reports, proxy and information statements and other information regarding issuers that file electronically with the Securities and Exchange Commission. You may access the registration statement of which this prospectus is a part at the Securities and Exchange Commission’s Internet website. Upon completion of this offering, we will be subject to the information reporting requirements of the Securities Exchange Act of 1934, and we will file reports, proxy statements and other information with the Securities and Exchange Commission.</w:t>
      </w:r>
    </w:p>
    <w:p>
      <w:pPr>
        <w:spacing w:after="0" w:line="103"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This prospectus includes statistical data that were obtained from industry publications. These industry publications generally indicate that the authors of these publications have obtained information from sources believed to be reliable but do not guarantee the accuracy and completeness of their information. While we believe these industry publications to be reliable, we have not independently verified their data.</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7" w:right="1059" w:bottom="1440" w:gutter="0" w:footer="0" w:header="0"/>
        </w:sectPr>
      </w:pPr>
    </w:p>
    <w:bookmarkStart w:id="185" w:name="page186"/>
    <w:bookmarkEnd w:id="185"/>
    <w:p>
      <w:pPr>
        <w:jc w:val="center"/>
        <w:ind w:right="100"/>
        <w:spacing w:after="0"/>
        <w:rPr>
          <w:sz w:val="20"/>
          <w:szCs w:val="20"/>
          <w:color w:val="auto"/>
        </w:rPr>
      </w:pPr>
      <w:r>
        <w:rPr>
          <w:rFonts w:ascii="Arial" w:cs="Arial" w:eastAsia="Arial" w:hAnsi="Arial"/>
          <w:sz w:val="28"/>
          <w:szCs w:val="28"/>
          <w:b w:val="1"/>
          <w:bCs w:val="1"/>
          <w:color w:val="auto"/>
        </w:rPr>
        <w:t>Index to financial statements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713"/>
              <w:spacing w:after="0"/>
              <w:rPr>
                <w:sz w:val="20"/>
                <w:szCs w:val="20"/>
                <w:color w:val="auto"/>
              </w:rPr>
            </w:pPr>
            <w:r>
              <w:rPr>
                <w:rFonts w:ascii="Arial" w:cs="Arial" w:eastAsia="Arial" w:hAnsi="Arial"/>
                <w:sz w:val="16"/>
                <w:szCs w:val="16"/>
                <w:b w:val="1"/>
                <w:bCs w:val="1"/>
                <w:color w:val="auto"/>
              </w:rPr>
              <w:t>Page</w:t>
            </w:r>
          </w:p>
        </w:tc>
      </w:tr>
      <w:tr>
        <w:trPr>
          <w:trHeight w:val="255"/>
        </w:trPr>
        <w:tc>
          <w:tcPr>
            <w:tcW w:w="700" w:type="dxa"/>
            <w:vAlign w:val="bottom"/>
          </w:tcPr>
          <w:p>
            <w:pPr>
              <w:spacing w:after="0"/>
              <w:rPr>
                <w:sz w:val="22"/>
                <w:szCs w:val="22"/>
                <w:color w:val="auto"/>
              </w:rPr>
            </w:pPr>
          </w:p>
        </w:tc>
        <w:tc>
          <w:tcPr>
            <w:tcW w:w="9380" w:type="dxa"/>
            <w:vAlign w:val="bottom"/>
            <w:gridSpan w:val="19"/>
          </w:tcPr>
          <w:p>
            <w:pPr>
              <w:spacing w:after="0"/>
              <w:rPr>
                <w:sz w:val="20"/>
                <w:szCs w:val="20"/>
                <w:color w:val="auto"/>
              </w:rPr>
            </w:pPr>
            <w:r>
              <w:rPr>
                <w:rFonts w:ascii="Arial" w:cs="Arial" w:eastAsia="Arial" w:hAnsi="Arial"/>
                <w:sz w:val="17"/>
                <w:szCs w:val="17"/>
                <w:b w:val="1"/>
                <w:bCs w:val="1"/>
                <w:color w:val="auto"/>
              </w:rPr>
              <w:t>Emergent BioSolutions Inc. and subsidiaries</w:t>
            </w:r>
          </w:p>
        </w:tc>
        <w:tc>
          <w:tcPr>
            <w:tcW w:w="1340" w:type="dxa"/>
            <w:vAlign w:val="bottom"/>
          </w:tcPr>
          <w:p>
            <w:pPr>
              <w:spacing w:after="0"/>
              <w:rPr>
                <w:sz w:val="22"/>
                <w:szCs w:val="22"/>
                <w:color w:val="auto"/>
              </w:rPr>
            </w:pPr>
          </w:p>
        </w:tc>
      </w:tr>
      <w:tr>
        <w:trPr>
          <w:trHeight w:val="262"/>
        </w:trPr>
        <w:tc>
          <w:tcPr>
            <w:tcW w:w="700" w:type="dxa"/>
            <w:vAlign w:val="bottom"/>
          </w:tcPr>
          <w:p>
            <w:pPr>
              <w:spacing w:after="0"/>
              <w:rPr>
                <w:sz w:val="22"/>
                <w:szCs w:val="22"/>
                <w:color w:val="auto"/>
              </w:rPr>
            </w:pPr>
          </w:p>
        </w:tc>
        <w:tc>
          <w:tcPr>
            <w:tcW w:w="9380" w:type="dxa"/>
            <w:vAlign w:val="bottom"/>
            <w:gridSpan w:val="19"/>
          </w:tcPr>
          <w:p>
            <w:pPr>
              <w:spacing w:after="0"/>
              <w:rPr>
                <w:rFonts w:ascii="Arial" w:cs="Arial" w:eastAsia="Arial" w:hAnsi="Arial"/>
                <w:sz w:val="17"/>
                <w:szCs w:val="17"/>
                <w:color w:val="0000EE"/>
              </w:rPr>
            </w:pPr>
            <w:hyperlink w:anchor="page187">
              <w:r>
                <w:rPr>
                  <w:rFonts w:ascii="Arial" w:cs="Arial" w:eastAsia="Arial" w:hAnsi="Arial"/>
                  <w:sz w:val="17"/>
                  <w:szCs w:val="17"/>
                  <w:color w:val="0000EE"/>
                </w:rPr>
                <w:t>Report of independent registered public accounting firm</w:t>
              </w:r>
            </w:hyperlink>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F-2</w:t>
            </w:r>
          </w:p>
        </w:tc>
      </w:tr>
      <w:tr>
        <w:trPr>
          <w:trHeight w:val="202"/>
        </w:trPr>
        <w:tc>
          <w:tcPr>
            <w:tcW w:w="700" w:type="dxa"/>
            <w:vAlign w:val="bottom"/>
          </w:tcPr>
          <w:p>
            <w:pPr>
              <w:spacing w:after="0"/>
              <w:rPr>
                <w:sz w:val="17"/>
                <w:szCs w:val="17"/>
                <w:color w:val="auto"/>
              </w:rPr>
            </w:pPr>
          </w:p>
        </w:tc>
        <w:tc>
          <w:tcPr>
            <w:tcW w:w="4280" w:type="dxa"/>
            <w:vAlign w:val="bottom"/>
            <w:tcBorders>
              <w:top w:val="single" w:sz="8" w:color="0000EE"/>
            </w:tcBorders>
            <w:gridSpan w:val="9"/>
          </w:tcPr>
          <w:p>
            <w:pPr>
              <w:spacing w:after="0"/>
              <w:rPr>
                <w:sz w:val="20"/>
                <w:szCs w:val="20"/>
                <w:color w:val="auto"/>
              </w:rPr>
            </w:pPr>
            <w:r>
              <w:rPr>
                <w:rFonts w:ascii="Arial" w:cs="Arial" w:eastAsia="Arial" w:hAnsi="Arial"/>
                <w:sz w:val="17"/>
                <w:szCs w:val="17"/>
                <w:color w:val="auto"/>
              </w:rPr>
              <w:t>Consolidated financial statements:</w:t>
            </w:r>
          </w:p>
        </w:tc>
        <w:tc>
          <w:tcPr>
            <w:tcW w:w="5100" w:type="dxa"/>
            <w:vAlign w:val="bottom"/>
            <w:gridSpan w:val="10"/>
          </w:tcPr>
          <w:p>
            <w:pPr>
              <w:spacing w:after="0"/>
              <w:rPr>
                <w:sz w:val="17"/>
                <w:szCs w:val="17"/>
                <w:color w:val="auto"/>
              </w:rPr>
            </w:pPr>
          </w:p>
        </w:tc>
        <w:tc>
          <w:tcPr>
            <w:tcW w:w="1340" w:type="dxa"/>
            <w:vAlign w:val="bottom"/>
          </w:tcPr>
          <w:p>
            <w:pPr>
              <w:spacing w:after="0"/>
              <w:rPr>
                <w:sz w:val="17"/>
                <w:szCs w:val="17"/>
                <w:color w:val="auto"/>
              </w:rPr>
            </w:pPr>
          </w:p>
        </w:tc>
      </w:tr>
      <w:tr>
        <w:trPr>
          <w:trHeight w:val="171"/>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940" w:type="dxa"/>
            <w:vAlign w:val="bottom"/>
            <w:tcBorders>
              <w:bottom w:val="single" w:sz="8" w:color="0000EE"/>
            </w:tcBorders>
            <w:gridSpan w:val="11"/>
          </w:tcPr>
          <w:p>
            <w:pPr>
              <w:spacing w:after="0" w:line="172" w:lineRule="exact"/>
              <w:rPr>
                <w:rFonts w:ascii="Arial" w:cs="Arial" w:eastAsia="Arial" w:hAnsi="Arial"/>
                <w:sz w:val="17"/>
                <w:szCs w:val="17"/>
                <w:color w:val="0000EE"/>
              </w:rPr>
            </w:pPr>
            <w:hyperlink w:anchor="page188">
              <w:r>
                <w:rPr>
                  <w:rFonts w:ascii="Arial" w:cs="Arial" w:eastAsia="Arial" w:hAnsi="Arial"/>
                  <w:sz w:val="17"/>
                  <w:szCs w:val="17"/>
                  <w:color w:val="0000EE"/>
                </w:rPr>
                <w:t>Consolidated balance sheets as of December 31, 2004 and 2005 and September 30, 2006 (unaudited)</w:t>
              </w:r>
            </w:hyperlink>
          </w:p>
        </w:tc>
        <w:tc>
          <w:tcPr>
            <w:tcW w:w="1240" w:type="dxa"/>
            <w:vAlign w:val="bottom"/>
            <w:gridSpan w:val="6"/>
          </w:tcPr>
          <w:p>
            <w:pPr>
              <w:spacing w:after="0"/>
              <w:rPr>
                <w:sz w:val="14"/>
                <w:szCs w:val="14"/>
                <w:color w:val="auto"/>
              </w:rPr>
            </w:pPr>
          </w:p>
        </w:tc>
        <w:tc>
          <w:tcPr>
            <w:tcW w:w="1340" w:type="dxa"/>
            <w:vAlign w:val="bottom"/>
          </w:tcPr>
          <w:p>
            <w:pPr>
              <w:jc w:val="right"/>
              <w:ind w:right="713"/>
              <w:spacing w:after="0" w:line="172" w:lineRule="exact"/>
              <w:rPr>
                <w:sz w:val="20"/>
                <w:szCs w:val="20"/>
                <w:color w:val="auto"/>
              </w:rPr>
            </w:pPr>
            <w:r>
              <w:rPr>
                <w:rFonts w:ascii="Arial" w:cs="Arial" w:eastAsia="Arial" w:hAnsi="Arial"/>
                <w:sz w:val="17"/>
                <w:szCs w:val="17"/>
                <w:color w:val="auto"/>
              </w:rPr>
              <w:t>F-3</w:t>
            </w:r>
          </w:p>
        </w:tc>
      </w:tr>
      <w:tr>
        <w:trPr>
          <w:trHeight w:val="176"/>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20" w:type="dxa"/>
            <w:vAlign w:val="bottom"/>
            <w:tcBorders>
              <w:bottom w:val="single" w:sz="8" w:color="0000EE"/>
            </w:tcBorders>
            <w:gridSpan w:val="16"/>
          </w:tcPr>
          <w:p>
            <w:pPr>
              <w:spacing w:after="0" w:line="176" w:lineRule="exact"/>
              <w:rPr>
                <w:rFonts w:ascii="Arial" w:cs="Arial" w:eastAsia="Arial" w:hAnsi="Arial"/>
                <w:sz w:val="17"/>
                <w:szCs w:val="17"/>
                <w:color w:val="0000EE"/>
              </w:rPr>
            </w:pPr>
            <w:hyperlink w:anchor="page189">
              <w:r>
                <w:rPr>
                  <w:rFonts w:ascii="Arial" w:cs="Arial" w:eastAsia="Arial" w:hAnsi="Arial"/>
                  <w:sz w:val="17"/>
                  <w:szCs w:val="17"/>
                  <w:color w:val="0000EE"/>
                </w:rPr>
                <w:t>Consolidated statements of operations for the years ended December 31, 2003, 2004 and 2005 and the nine months</w:t>
              </w:r>
            </w:hyperlink>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40" w:type="dxa"/>
            <w:vAlign w:val="bottom"/>
            <w:tcBorders>
              <w:bottom w:val="single" w:sz="8" w:color="0000EE"/>
            </w:tcBorders>
            <w:gridSpan w:val="5"/>
          </w:tcPr>
          <w:p>
            <w:pPr>
              <w:spacing w:after="0" w:line="176" w:lineRule="exact"/>
              <w:rPr>
                <w:rFonts w:ascii="Arial" w:cs="Arial" w:eastAsia="Arial" w:hAnsi="Arial"/>
                <w:sz w:val="17"/>
                <w:szCs w:val="17"/>
                <w:color w:val="0000EE"/>
              </w:rPr>
            </w:pPr>
            <w:hyperlink w:anchor="page189">
              <w:r>
                <w:rPr>
                  <w:rFonts w:ascii="Arial" w:cs="Arial" w:eastAsia="Arial" w:hAnsi="Arial"/>
                  <w:sz w:val="17"/>
                  <w:szCs w:val="17"/>
                  <w:color w:val="0000EE"/>
                </w:rPr>
                <w:t>ended September 30, 2005 and 2006 (unaudited)</w:t>
              </w:r>
            </w:hyperlink>
          </w:p>
        </w:tc>
        <w:tc>
          <w:tcPr>
            <w:tcW w:w="5160" w:type="dxa"/>
            <w:vAlign w:val="bottom"/>
            <w:gridSpan w:val="11"/>
          </w:tcPr>
          <w:p>
            <w:pPr>
              <w:spacing w:after="0"/>
              <w:rPr>
                <w:sz w:val="15"/>
                <w:szCs w:val="15"/>
                <w:color w:val="auto"/>
              </w:rPr>
            </w:pPr>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F-4</w:t>
            </w:r>
          </w:p>
        </w:tc>
      </w:tr>
      <w:tr>
        <w:trPr>
          <w:trHeight w:val="176"/>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80" w:type="dxa"/>
            <w:vAlign w:val="bottom"/>
            <w:gridSpan w:val="17"/>
          </w:tcPr>
          <w:p>
            <w:pPr>
              <w:spacing w:after="0" w:line="176" w:lineRule="exact"/>
              <w:rPr>
                <w:rFonts w:ascii="Arial" w:cs="Arial" w:eastAsia="Arial" w:hAnsi="Arial"/>
                <w:sz w:val="17"/>
                <w:szCs w:val="17"/>
                <w:color w:val="0000EE"/>
              </w:rPr>
            </w:pPr>
            <w:hyperlink w:anchor="page190">
              <w:r>
                <w:rPr>
                  <w:rFonts w:ascii="Arial" w:cs="Arial" w:eastAsia="Arial" w:hAnsi="Arial"/>
                  <w:sz w:val="17"/>
                  <w:szCs w:val="17"/>
                  <w:color w:val="0000EE"/>
                </w:rPr>
                <w:t>Consolidated statements of changes in stockholders’ equity for the years ended December 31, 2003, 2004 and 2005</w:t>
              </w:r>
            </w:hyperlink>
          </w:p>
        </w:tc>
        <w:tc>
          <w:tcPr>
            <w:tcW w:w="134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680" w:type="dxa"/>
            <w:vAlign w:val="bottom"/>
            <w:tcBorders>
              <w:top w:val="single" w:sz="8" w:color="0000EE"/>
              <w:bottom w:val="single" w:sz="8" w:color="0000EE"/>
            </w:tcBorders>
            <w:gridSpan w:val="7"/>
          </w:tcPr>
          <w:p>
            <w:pPr>
              <w:spacing w:after="0" w:line="176" w:lineRule="exact"/>
              <w:rPr>
                <w:rFonts w:ascii="Arial" w:cs="Arial" w:eastAsia="Arial" w:hAnsi="Arial"/>
                <w:sz w:val="17"/>
                <w:szCs w:val="17"/>
                <w:color w:val="0000EE"/>
              </w:rPr>
            </w:pPr>
            <w:hyperlink w:anchor="page190">
              <w:r>
                <w:rPr>
                  <w:rFonts w:ascii="Arial" w:cs="Arial" w:eastAsia="Arial" w:hAnsi="Arial"/>
                  <w:sz w:val="17"/>
                  <w:szCs w:val="17"/>
                  <w:color w:val="0000EE"/>
                </w:rPr>
                <w:t>and the nine months ended September 30, 2006 (unaudited)</w:t>
              </w:r>
            </w:hyperlink>
          </w:p>
        </w:tc>
        <w:tc>
          <w:tcPr>
            <w:tcW w:w="4120" w:type="dxa"/>
            <w:vAlign w:val="bottom"/>
            <w:tcBorders>
              <w:top w:val="single" w:sz="8" w:color="0000EE"/>
            </w:tcBorders>
            <w:gridSpan w:val="6"/>
          </w:tcPr>
          <w:p>
            <w:pPr>
              <w:spacing w:after="0"/>
              <w:rPr>
                <w:sz w:val="15"/>
                <w:szCs w:val="15"/>
                <w:color w:val="auto"/>
              </w:rPr>
            </w:pPr>
          </w:p>
        </w:tc>
        <w:tc>
          <w:tcPr>
            <w:tcW w:w="200" w:type="dxa"/>
            <w:vAlign w:val="bottom"/>
            <w:gridSpan w:val="3"/>
          </w:tcPr>
          <w:p>
            <w:pPr>
              <w:spacing w:after="0"/>
              <w:rPr>
                <w:sz w:val="15"/>
                <w:szCs w:val="15"/>
                <w:color w:val="auto"/>
              </w:rPr>
            </w:pPr>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F-5</w:t>
            </w:r>
          </w:p>
        </w:tc>
      </w:tr>
      <w:tr>
        <w:trPr>
          <w:trHeight w:val="176"/>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80" w:type="dxa"/>
            <w:vAlign w:val="bottom"/>
            <w:gridSpan w:val="17"/>
          </w:tcPr>
          <w:p>
            <w:pPr>
              <w:spacing w:after="0" w:line="176" w:lineRule="exact"/>
              <w:rPr>
                <w:rFonts w:ascii="Arial" w:cs="Arial" w:eastAsia="Arial" w:hAnsi="Arial"/>
                <w:sz w:val="17"/>
                <w:szCs w:val="17"/>
                <w:color w:val="0000EE"/>
              </w:rPr>
            </w:pPr>
            <w:hyperlink w:anchor="page191">
              <w:r>
                <w:rPr>
                  <w:rFonts w:ascii="Arial" w:cs="Arial" w:eastAsia="Arial" w:hAnsi="Arial"/>
                  <w:sz w:val="17"/>
                  <w:szCs w:val="17"/>
                  <w:color w:val="0000EE"/>
                </w:rPr>
                <w:t>Consolidated statements of cash flows for the years ended December 31, 2003, 2004 and 2005 and the nine months</w:t>
              </w:r>
            </w:hyperlink>
          </w:p>
        </w:tc>
        <w:tc>
          <w:tcPr>
            <w:tcW w:w="1340" w:type="dxa"/>
            <w:vAlign w:val="bottom"/>
          </w:tcPr>
          <w:p>
            <w:pPr>
              <w:spacing w:after="0"/>
              <w:rPr>
                <w:sz w:val="15"/>
                <w:szCs w:val="15"/>
                <w:color w:val="auto"/>
              </w:rPr>
            </w:pPr>
          </w:p>
        </w:tc>
      </w:tr>
      <w:tr>
        <w:trPr>
          <w:trHeight w:val="176"/>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820" w:type="dxa"/>
            <w:vAlign w:val="bottom"/>
            <w:tcBorders>
              <w:top w:val="single" w:sz="8" w:color="0000EE"/>
            </w:tcBorders>
            <w:gridSpan w:val="14"/>
          </w:tcPr>
          <w:p>
            <w:pPr>
              <w:spacing w:after="0" w:line="176" w:lineRule="exact"/>
              <w:rPr>
                <w:rFonts w:ascii="Arial" w:cs="Arial" w:eastAsia="Arial" w:hAnsi="Arial"/>
                <w:sz w:val="17"/>
                <w:szCs w:val="17"/>
                <w:color w:val="0000EE"/>
              </w:rPr>
            </w:pPr>
            <w:hyperlink w:anchor="page191">
              <w:r>
                <w:rPr>
                  <w:rFonts w:ascii="Arial" w:cs="Arial" w:eastAsia="Arial" w:hAnsi="Arial"/>
                  <w:sz w:val="17"/>
                  <w:szCs w:val="17"/>
                  <w:color w:val="0000EE"/>
                </w:rPr>
                <w:t>ended September 30, 2005 and 2006 (unaudited)</w:t>
              </w:r>
            </w:hyperlink>
          </w:p>
        </w:tc>
        <w:tc>
          <w:tcPr>
            <w:tcW w:w="180" w:type="dxa"/>
            <w:vAlign w:val="bottom"/>
            <w:gridSpan w:val="2"/>
          </w:tcPr>
          <w:p>
            <w:pPr>
              <w:spacing w:after="0"/>
              <w:rPr>
                <w:sz w:val="15"/>
                <w:szCs w:val="15"/>
                <w:color w:val="auto"/>
              </w:rPr>
            </w:pPr>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F-6</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9380" w:type="dxa"/>
            <w:vAlign w:val="bottom"/>
            <w:gridSpan w:val="19"/>
          </w:tcPr>
          <w:p>
            <w:pPr>
              <w:spacing w:after="0" w:line="176" w:lineRule="exact"/>
              <w:rPr>
                <w:rFonts w:ascii="Arial" w:cs="Arial" w:eastAsia="Arial" w:hAnsi="Arial"/>
                <w:sz w:val="17"/>
                <w:szCs w:val="17"/>
                <w:color w:val="0000EE"/>
              </w:rPr>
            </w:pPr>
            <w:hyperlink w:anchor="page192">
              <w:r>
                <w:rPr>
                  <w:rFonts w:ascii="Arial" w:cs="Arial" w:eastAsia="Arial" w:hAnsi="Arial"/>
                  <w:sz w:val="17"/>
                  <w:szCs w:val="17"/>
                  <w:color w:val="0000EE"/>
                </w:rPr>
                <w:t>Notes to consolidated financial statements</w:t>
              </w:r>
            </w:hyperlink>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F-7</w:t>
            </w:r>
          </w:p>
        </w:tc>
      </w:tr>
      <w:tr>
        <w:trPr>
          <w:trHeight w:val="20"/>
        </w:trPr>
        <w:tc>
          <w:tcPr>
            <w:tcW w:w="7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Arial" w:cs="Arial" w:eastAsia="Arial" w:hAnsi="Arial"/>
                <w:sz w:val="17"/>
                <w:szCs w:val="17"/>
                <w:b w:val="1"/>
                <w:bCs w:val="1"/>
                <w:color w:val="auto"/>
              </w:rPr>
              <w:t>Emergent Product Development UK Limited</w:t>
            </w:r>
          </w:p>
        </w:tc>
        <w:tc>
          <w:tcPr>
            <w:tcW w:w="1340" w:type="dxa"/>
            <w:vAlign w:val="bottom"/>
          </w:tcPr>
          <w:p>
            <w:pPr>
              <w:spacing w:after="0"/>
              <w:rPr>
                <w:sz w:val="24"/>
                <w:szCs w:val="24"/>
                <w:color w:val="auto"/>
              </w:rPr>
            </w:pPr>
          </w:p>
        </w:tc>
      </w:tr>
      <w:tr>
        <w:trPr>
          <w:trHeight w:val="262"/>
        </w:trPr>
        <w:tc>
          <w:tcPr>
            <w:tcW w:w="700" w:type="dxa"/>
            <w:vAlign w:val="bottom"/>
          </w:tcPr>
          <w:p>
            <w:pPr>
              <w:spacing w:after="0"/>
              <w:rPr>
                <w:sz w:val="22"/>
                <w:szCs w:val="22"/>
                <w:color w:val="auto"/>
              </w:rPr>
            </w:pPr>
          </w:p>
        </w:tc>
        <w:tc>
          <w:tcPr>
            <w:tcW w:w="24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Report of independent auditors</w:t>
            </w:r>
          </w:p>
        </w:tc>
        <w:tc>
          <w:tcPr>
            <w:tcW w:w="6980" w:type="dxa"/>
            <w:vAlign w:val="bottom"/>
            <w:gridSpan w:val="15"/>
          </w:tcPr>
          <w:p>
            <w:pPr>
              <w:spacing w:after="0"/>
              <w:rPr>
                <w:sz w:val="22"/>
                <w:szCs w:val="22"/>
                <w:color w:val="auto"/>
              </w:rPr>
            </w:pPr>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F-32</w:t>
            </w:r>
          </w:p>
        </w:tc>
      </w:tr>
      <w:tr>
        <w:trPr>
          <w:trHeight w:val="202"/>
        </w:trPr>
        <w:tc>
          <w:tcPr>
            <w:tcW w:w="700" w:type="dxa"/>
            <w:vAlign w:val="bottom"/>
          </w:tcPr>
          <w:p>
            <w:pPr>
              <w:spacing w:after="0"/>
              <w:rPr>
                <w:sz w:val="17"/>
                <w:szCs w:val="17"/>
                <w:color w:val="auto"/>
              </w:rPr>
            </w:pPr>
          </w:p>
        </w:tc>
        <w:tc>
          <w:tcPr>
            <w:tcW w:w="9380" w:type="dxa"/>
            <w:vAlign w:val="bottom"/>
            <w:gridSpan w:val="19"/>
          </w:tcPr>
          <w:p>
            <w:pPr>
              <w:spacing w:after="0"/>
              <w:rPr>
                <w:sz w:val="20"/>
                <w:szCs w:val="20"/>
                <w:color w:val="auto"/>
              </w:rPr>
            </w:pPr>
            <w:r>
              <w:rPr>
                <w:rFonts w:ascii="Arial" w:cs="Arial" w:eastAsia="Arial" w:hAnsi="Arial"/>
                <w:sz w:val="17"/>
                <w:szCs w:val="17"/>
                <w:color w:val="auto"/>
              </w:rPr>
              <w:t>Financial statements:</w:t>
            </w:r>
          </w:p>
        </w:tc>
        <w:tc>
          <w:tcPr>
            <w:tcW w:w="1340" w:type="dxa"/>
            <w:vAlign w:val="bottom"/>
          </w:tcPr>
          <w:p>
            <w:pPr>
              <w:spacing w:after="0"/>
              <w:rPr>
                <w:sz w:val="17"/>
                <w:szCs w:val="17"/>
                <w:color w:val="auto"/>
              </w:rPr>
            </w:pPr>
          </w:p>
        </w:tc>
      </w:tr>
      <w:tr>
        <w:trPr>
          <w:trHeight w:val="171"/>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20" w:type="dxa"/>
            <w:vAlign w:val="bottom"/>
            <w:gridSpan w:val="18"/>
          </w:tcPr>
          <w:p>
            <w:pPr>
              <w:spacing w:after="0" w:line="172" w:lineRule="exact"/>
              <w:rPr>
                <w:sz w:val="20"/>
                <w:szCs w:val="20"/>
                <w:color w:val="auto"/>
              </w:rPr>
            </w:pPr>
            <w:r>
              <w:rPr>
                <w:rFonts w:ascii="Arial" w:cs="Arial" w:eastAsia="Arial" w:hAnsi="Arial"/>
                <w:sz w:val="17"/>
                <w:szCs w:val="17"/>
                <w:color w:val="0000EE"/>
              </w:rPr>
              <w:t>Profit and loss account for the years ended December 31, 2003 and 2004</w:t>
            </w:r>
          </w:p>
        </w:tc>
        <w:tc>
          <w:tcPr>
            <w:tcW w:w="1340" w:type="dxa"/>
            <w:vAlign w:val="bottom"/>
          </w:tcPr>
          <w:p>
            <w:pPr>
              <w:jc w:val="right"/>
              <w:ind w:right="713"/>
              <w:spacing w:after="0" w:line="172" w:lineRule="exact"/>
              <w:rPr>
                <w:sz w:val="20"/>
                <w:szCs w:val="20"/>
                <w:color w:val="auto"/>
              </w:rPr>
            </w:pPr>
            <w:r>
              <w:rPr>
                <w:rFonts w:ascii="Arial" w:cs="Arial" w:eastAsia="Arial" w:hAnsi="Arial"/>
                <w:sz w:val="17"/>
                <w:szCs w:val="17"/>
                <w:color w:val="auto"/>
              </w:rPr>
              <w:t>F-33</w:t>
            </w:r>
          </w:p>
        </w:tc>
      </w:tr>
      <w:tr>
        <w:trPr>
          <w:trHeight w:val="20"/>
        </w:trPr>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332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6"/>
        </w:trPr>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780" w:type="dxa"/>
            <w:vAlign w:val="bottom"/>
            <w:tcBorders>
              <w:bottom w:val="single" w:sz="8" w:color="0000EE"/>
            </w:tcBorders>
            <w:gridSpan w:val="11"/>
          </w:tcPr>
          <w:p>
            <w:pPr>
              <w:spacing w:after="0" w:line="176" w:lineRule="exact"/>
              <w:rPr>
                <w:sz w:val="20"/>
                <w:szCs w:val="20"/>
                <w:color w:val="auto"/>
              </w:rPr>
            </w:pPr>
            <w:r>
              <w:rPr>
                <w:rFonts w:ascii="Arial" w:cs="Arial" w:eastAsia="Arial" w:hAnsi="Arial"/>
                <w:sz w:val="17"/>
                <w:szCs w:val="17"/>
                <w:color w:val="0000EE"/>
              </w:rPr>
              <w:t>Statement of cash flows for the years ended December 31, 2003 and 2004</w:t>
            </w:r>
          </w:p>
        </w:tc>
        <w:tc>
          <w:tcPr>
            <w:tcW w:w="3440" w:type="dxa"/>
            <w:vAlign w:val="bottom"/>
            <w:gridSpan w:val="7"/>
          </w:tcPr>
          <w:p>
            <w:pPr>
              <w:spacing w:after="0"/>
              <w:rPr>
                <w:sz w:val="15"/>
                <w:szCs w:val="15"/>
                <w:color w:val="auto"/>
              </w:rPr>
            </w:pPr>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F-34</w:t>
            </w:r>
          </w:p>
        </w:tc>
      </w:tr>
      <w:tr>
        <w:trPr>
          <w:trHeight w:val="176"/>
        </w:trPr>
        <w:tc>
          <w:tcPr>
            <w:tcW w:w="700" w:type="dxa"/>
            <w:vAlign w:val="bottom"/>
          </w:tcPr>
          <w:p>
            <w:pPr>
              <w:spacing w:after="0"/>
              <w:rPr>
                <w:sz w:val="15"/>
                <w:szCs w:val="15"/>
                <w:color w:val="auto"/>
              </w:rPr>
            </w:pPr>
          </w:p>
        </w:tc>
        <w:tc>
          <w:tcPr>
            <w:tcW w:w="9380" w:type="dxa"/>
            <w:vAlign w:val="bottom"/>
            <w:gridSpan w:val="19"/>
          </w:tcPr>
          <w:p>
            <w:pPr>
              <w:spacing w:after="0" w:line="176" w:lineRule="exact"/>
              <w:rPr>
                <w:sz w:val="20"/>
                <w:szCs w:val="20"/>
                <w:color w:val="auto"/>
              </w:rPr>
            </w:pPr>
            <w:r>
              <w:rPr>
                <w:rFonts w:ascii="Arial" w:cs="Arial" w:eastAsia="Arial" w:hAnsi="Arial"/>
                <w:sz w:val="17"/>
                <w:szCs w:val="17"/>
                <w:color w:val="0000EE"/>
              </w:rPr>
              <w:t>Notes to the financial statements</w:t>
            </w:r>
          </w:p>
        </w:tc>
        <w:tc>
          <w:tcPr>
            <w:tcW w:w="1340" w:type="dxa"/>
            <w:vAlign w:val="bottom"/>
          </w:tcPr>
          <w:p>
            <w:pPr>
              <w:jc w:val="right"/>
              <w:ind w:right="713"/>
              <w:spacing w:after="0" w:line="176" w:lineRule="exact"/>
              <w:rPr>
                <w:sz w:val="20"/>
                <w:szCs w:val="20"/>
                <w:color w:val="auto"/>
              </w:rPr>
            </w:pPr>
            <w:r>
              <w:rPr>
                <w:rFonts w:ascii="Arial" w:cs="Arial" w:eastAsia="Arial" w:hAnsi="Arial"/>
                <w:sz w:val="17"/>
                <w:szCs w:val="17"/>
                <w:color w:val="auto"/>
              </w:rPr>
              <w:t>F-35</w:t>
            </w:r>
          </w:p>
        </w:tc>
      </w:tr>
      <w:tr>
        <w:trPr>
          <w:trHeight w:val="20"/>
        </w:trPr>
        <w:tc>
          <w:tcPr>
            <w:tcW w:w="700" w:type="dxa"/>
            <w:vAlign w:val="bottom"/>
          </w:tcPr>
          <w:p>
            <w:pPr>
              <w:spacing w:after="0" w:line="20" w:lineRule="exact"/>
              <w:rPr>
                <w:sz w:val="1"/>
                <w:szCs w:val="1"/>
                <w:color w:val="auto"/>
              </w:rPr>
            </w:pPr>
          </w:p>
        </w:tc>
        <w:tc>
          <w:tcPr>
            <w:tcW w:w="2520" w:type="dxa"/>
            <w:vAlign w:val="bottom"/>
            <w:gridSpan w:val="5"/>
            <w:shd w:val="clear" w:color="auto" w:fill="0000EE"/>
          </w:tcPr>
          <w:p>
            <w:pPr>
              <w:spacing w:after="0" w:line="20" w:lineRule="exact"/>
              <w:rPr>
                <w:sz w:val="1"/>
                <w:szCs w:val="1"/>
                <w:color w:val="auto"/>
              </w:rPr>
            </w:pPr>
          </w:p>
        </w:tc>
        <w:tc>
          <w:tcPr>
            <w:tcW w:w="57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9380" w:type="dxa"/>
            <w:vAlign w:val="bottom"/>
            <w:gridSpan w:val="19"/>
          </w:tcPr>
          <w:p>
            <w:pPr>
              <w:spacing w:after="0"/>
              <w:rPr>
                <w:sz w:val="20"/>
                <w:szCs w:val="20"/>
                <w:color w:val="auto"/>
              </w:rPr>
            </w:pPr>
            <w:r>
              <w:rPr>
                <w:rFonts w:ascii="Arial" w:cs="Arial" w:eastAsia="Arial" w:hAnsi="Arial"/>
                <w:sz w:val="17"/>
                <w:szCs w:val="17"/>
                <w:b w:val="1"/>
                <w:bCs w:val="1"/>
                <w:color w:val="auto"/>
              </w:rPr>
              <w:t>Emergent BioSolutions Inc. and subsidiaries</w:t>
            </w:r>
          </w:p>
        </w:tc>
        <w:tc>
          <w:tcPr>
            <w:tcW w:w="1340" w:type="dxa"/>
            <w:vAlign w:val="bottom"/>
          </w:tcPr>
          <w:p>
            <w:pPr>
              <w:spacing w:after="0"/>
              <w:rPr>
                <w:sz w:val="24"/>
                <w:szCs w:val="24"/>
                <w:color w:val="auto"/>
              </w:rPr>
            </w:pPr>
          </w:p>
        </w:tc>
      </w:tr>
      <w:tr>
        <w:trPr>
          <w:trHeight w:val="262"/>
        </w:trPr>
        <w:tc>
          <w:tcPr>
            <w:tcW w:w="700" w:type="dxa"/>
            <w:vAlign w:val="bottom"/>
          </w:tcPr>
          <w:p>
            <w:pPr>
              <w:spacing w:after="0"/>
              <w:rPr>
                <w:sz w:val="22"/>
                <w:szCs w:val="22"/>
                <w:color w:val="auto"/>
              </w:rPr>
            </w:pPr>
          </w:p>
        </w:tc>
        <w:tc>
          <w:tcPr>
            <w:tcW w:w="8220" w:type="dxa"/>
            <w:vAlign w:val="bottom"/>
            <w:tcBorders>
              <w:bottom w:val="single" w:sz="8" w:color="0000EE"/>
            </w:tcBorders>
            <w:gridSpan w:val="14"/>
          </w:tcPr>
          <w:p>
            <w:pPr>
              <w:spacing w:after="0"/>
              <w:rPr>
                <w:sz w:val="20"/>
                <w:szCs w:val="20"/>
                <w:color w:val="auto"/>
              </w:rPr>
            </w:pPr>
            <w:r>
              <w:rPr>
                <w:rFonts w:ascii="Arial" w:cs="Arial" w:eastAsia="Arial" w:hAnsi="Arial"/>
                <w:sz w:val="17"/>
                <w:szCs w:val="17"/>
                <w:color w:val="0000EE"/>
              </w:rPr>
              <w:t>Unaudited pro forma condensed combined statement of operations for the year ended December 31, 2005</w:t>
            </w:r>
          </w:p>
        </w:tc>
        <w:tc>
          <w:tcPr>
            <w:tcW w:w="1160" w:type="dxa"/>
            <w:vAlign w:val="bottom"/>
            <w:gridSpan w:val="5"/>
          </w:tcPr>
          <w:p>
            <w:pPr>
              <w:spacing w:after="0"/>
              <w:rPr>
                <w:sz w:val="22"/>
                <w:szCs w:val="22"/>
                <w:color w:val="auto"/>
              </w:rPr>
            </w:pPr>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F-51</w:t>
            </w:r>
          </w:p>
        </w:tc>
      </w:tr>
      <w:tr>
        <w:trPr>
          <w:trHeight w:val="281"/>
        </w:trPr>
        <w:tc>
          <w:tcPr>
            <w:tcW w:w="700" w:type="dxa"/>
            <w:vAlign w:val="bottom"/>
          </w:tcPr>
          <w:p>
            <w:pPr>
              <w:spacing w:after="0"/>
              <w:rPr>
                <w:sz w:val="24"/>
                <w:szCs w:val="24"/>
                <w:color w:val="auto"/>
              </w:rPr>
            </w:pPr>
          </w:p>
        </w:tc>
        <w:tc>
          <w:tcPr>
            <w:tcW w:w="880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rPr>
              <w:t>Note to unaudited pro forma condensed combined statement of operations for the year ended December 31, 2005</w:t>
            </w:r>
          </w:p>
        </w:tc>
        <w:tc>
          <w:tcPr>
            <w:tcW w:w="580" w:type="dxa"/>
            <w:vAlign w:val="bottom"/>
            <w:gridSpan w:val="4"/>
          </w:tcPr>
          <w:p>
            <w:pPr>
              <w:spacing w:after="0"/>
              <w:rPr>
                <w:sz w:val="24"/>
                <w:szCs w:val="24"/>
                <w:color w:val="auto"/>
              </w:rPr>
            </w:pPr>
          </w:p>
        </w:tc>
        <w:tc>
          <w:tcPr>
            <w:tcW w:w="1340" w:type="dxa"/>
            <w:vAlign w:val="bottom"/>
          </w:tcPr>
          <w:p>
            <w:pPr>
              <w:jc w:val="right"/>
              <w:ind w:right="713"/>
              <w:spacing w:after="0"/>
              <w:rPr>
                <w:sz w:val="20"/>
                <w:szCs w:val="20"/>
                <w:color w:val="auto"/>
              </w:rPr>
            </w:pPr>
            <w:r>
              <w:rPr>
                <w:rFonts w:ascii="Arial" w:cs="Arial" w:eastAsia="Arial" w:hAnsi="Arial"/>
                <w:sz w:val="17"/>
                <w:szCs w:val="17"/>
                <w:color w:val="auto"/>
              </w:rPr>
              <w:t>F-52</w:t>
            </w:r>
          </w:p>
        </w:tc>
      </w:tr>
      <w:tr>
        <w:trPr>
          <w:trHeight w:val="595"/>
        </w:trPr>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00" w:type="dxa"/>
            <w:vAlign w:val="bottom"/>
            <w:gridSpan w:val="10"/>
          </w:tcPr>
          <w:p>
            <w:pPr>
              <w:ind w:left="540"/>
              <w:spacing w:after="0"/>
              <w:rPr>
                <w:sz w:val="20"/>
                <w:szCs w:val="20"/>
                <w:color w:val="auto"/>
              </w:rPr>
            </w:pPr>
            <w:r>
              <w:rPr>
                <w:rFonts w:ascii="Arial" w:cs="Arial" w:eastAsia="Arial" w:hAnsi="Arial"/>
                <w:sz w:val="17"/>
                <w:szCs w:val="17"/>
                <w:color w:val="auto"/>
              </w:rPr>
              <w:t>F-1</w:t>
            </w:r>
          </w:p>
        </w:tc>
        <w:tc>
          <w:tcPr>
            <w:tcW w:w="1340" w:type="dxa"/>
            <w:vAlign w:val="bottom"/>
          </w:tcPr>
          <w:p>
            <w:pPr>
              <w:spacing w:after="0"/>
              <w:rPr>
                <w:sz w:val="24"/>
                <w:szCs w:val="24"/>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100" w:type="dxa"/>
            <w:vAlign w:val="bottom"/>
            <w:tcBorders>
              <w:bottom w:val="single" w:sz="8" w:color="808080"/>
            </w:tcBorders>
          </w:tcPr>
          <w:p>
            <w:pPr>
              <w:spacing w:after="0"/>
              <w:rPr>
                <w:sz w:val="17"/>
                <w:szCs w:val="17"/>
                <w:color w:val="auto"/>
              </w:rPr>
            </w:pPr>
          </w:p>
        </w:tc>
        <w:tc>
          <w:tcPr>
            <w:tcW w:w="220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Emergent BioSolutions Inc. and Subsidiaries</w:t>
      </w:r>
    </w:p>
    <w:p>
      <w:pPr>
        <w:spacing w:after="0" w:line="11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We have audited the accompanying consolidated balance sheets of Emergent BioSolutions Inc. and Subsidiaries as of December 31, 2004 and 2005, and the related consolidated statements of operations, changes in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9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Emergent BioSolutions Inc. and Subsidiaries at December 31, 2004 and 2005, and the consolidated results of their operations and their cash flows for each of the three years in the period ended December 31, 2005 in conformity with U.S. generally accepted accounting principles.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May 23, 2006,</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except as to Note 17, as to which the date is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October 27, 2006</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McLean, VA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Consolidated balance sheets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gridSpan w:val="4"/>
            <w:vMerge w:val="restart"/>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6"/>
              </w:rPr>
              <w:t>September 30,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20"/>
                <w:szCs w:val="20"/>
                <w:color w:val="auto"/>
              </w:rPr>
            </w:pPr>
            <w:r>
              <w:rPr>
                <w:rFonts w:ascii="Arial" w:cs="Arial" w:eastAsia="Arial" w:hAnsi="Arial"/>
                <w:sz w:val="16"/>
                <w:szCs w:val="16"/>
                <w:b w:val="1"/>
                <w:bCs w:val="1"/>
                <w:color w:val="auto"/>
              </w:rPr>
              <w:t>(in thousands, except</w:t>
            </w:r>
          </w:p>
        </w:tc>
        <w:tc>
          <w:tcPr>
            <w:tcW w:w="460" w:type="dxa"/>
            <w:vAlign w:val="bottom"/>
          </w:tcPr>
          <w:p>
            <w:pPr>
              <w:spacing w:after="0"/>
              <w:rPr>
                <w:sz w:val="16"/>
                <w:szCs w:val="16"/>
                <w:color w:val="auto"/>
              </w:rPr>
            </w:pPr>
          </w:p>
        </w:tc>
        <w:tc>
          <w:tcPr>
            <w:tcW w:w="176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280" w:type="dxa"/>
            <w:vAlign w:val="bottom"/>
          </w:tcPr>
          <w:p>
            <w:pPr>
              <w:spacing w:after="0"/>
              <w:rPr>
                <w:sz w:val="20"/>
                <w:szCs w:val="20"/>
                <w:color w:val="auto"/>
              </w:rPr>
            </w:pPr>
            <w:r>
              <w:rPr>
                <w:rFonts w:ascii="Arial" w:cs="Arial" w:eastAsia="Arial" w:hAnsi="Arial"/>
                <w:sz w:val="16"/>
                <w:szCs w:val="16"/>
                <w:b w:val="1"/>
                <w:bCs w:val="1"/>
                <w:color w:val="auto"/>
              </w:rPr>
              <w:t>share and per share data)</w:t>
            </w:r>
          </w:p>
        </w:tc>
        <w:tc>
          <w:tcPr>
            <w:tcW w:w="4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2004</w:t>
            </w: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158"/>
        </w:trPr>
        <w:tc>
          <w:tcPr>
            <w:tcW w:w="6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shd w:val="clear" w:color="auto" w:fill="CCEEFF"/>
          </w:tcPr>
          <w:p>
            <w:pPr>
              <w:ind w:left="4640"/>
              <w:spacing w:after="0"/>
              <w:rPr>
                <w:sz w:val="20"/>
                <w:szCs w:val="20"/>
                <w:color w:val="auto"/>
              </w:rPr>
            </w:pPr>
            <w:r>
              <w:rPr>
                <w:rFonts w:ascii="Arial" w:cs="Arial" w:eastAsia="Arial" w:hAnsi="Arial"/>
                <w:sz w:val="16"/>
                <w:szCs w:val="16"/>
                <w:b w:val="1"/>
                <w:bCs w:val="1"/>
                <w:color w:val="auto"/>
              </w:rPr>
              <w:t>ASSETS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6,821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18,637</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13,253</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 assets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978</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1,250</w:t>
            </w:r>
          </w:p>
        </w:tc>
        <w:tc>
          <w:tcPr>
            <w:tcW w:w="2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756</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5"/>
                <w:szCs w:val="15"/>
                <w:color w:val="auto"/>
              </w:rPr>
            </w:pPr>
          </w:p>
        </w:tc>
        <w:tc>
          <w:tcPr>
            <w:tcW w:w="7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41,695</w:t>
            </w:r>
          </w:p>
        </w:tc>
        <w:tc>
          <w:tcPr>
            <w:tcW w:w="24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59,116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57,192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27,269</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Deferred tax assets, net of current</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9,981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68</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80" w:type="dxa"/>
            <w:vAlign w:val="bottom"/>
          </w:tcPr>
          <w:p>
            <w:pPr>
              <w:spacing w:after="0"/>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000003"/>
            </w:tcBorders>
          </w:tcPr>
          <w:p>
            <w:pPr>
              <w:jc w:val="right"/>
              <w:ind w:right="3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000003"/>
            </w:tcBorders>
          </w:tcPr>
          <w:p>
            <w:pPr>
              <w:jc w:val="right"/>
              <w:ind w:right="61"/>
              <w:spacing w:after="0"/>
              <w:rPr>
                <w:sz w:val="20"/>
                <w:szCs w:val="20"/>
                <w:color w:val="auto"/>
              </w:rPr>
            </w:pPr>
            <w:r>
              <w:rPr>
                <w:rFonts w:ascii="Arial" w:cs="Arial" w:eastAsia="Arial" w:hAnsi="Arial"/>
                <w:sz w:val="16"/>
                <w:szCs w:val="16"/>
                <w:color w:val="auto"/>
              </w:rPr>
              <w:t>69,056</w:t>
            </w:r>
          </w:p>
        </w:tc>
        <w:tc>
          <w:tcPr>
            <w:tcW w:w="2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96"/>
              </w:rPr>
              <w:t>100,332</w:t>
            </w:r>
          </w:p>
        </w:tc>
        <w:tc>
          <w:tcPr>
            <w:tcW w:w="220" w:type="dxa"/>
            <w:vAlign w:val="bottom"/>
            <w:tcBorders>
              <w:bottom w:val="single" w:sz="8" w:color="000003"/>
            </w:tcBorders>
          </w:tcPr>
          <w:p>
            <w:pPr>
              <w:spacing w:after="0"/>
              <w:rPr>
                <w:sz w:val="16"/>
                <w:szCs w:val="16"/>
                <w:color w:val="auto"/>
              </w:rPr>
            </w:pPr>
          </w:p>
        </w:tc>
        <w:tc>
          <w:tcPr>
            <w:tcW w:w="2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130,831</w:t>
            </w:r>
          </w:p>
        </w:tc>
        <w:tc>
          <w:tcPr>
            <w:tcW w:w="80" w:type="dxa"/>
            <w:vAlign w:val="bottom"/>
            <w:tcBorders>
              <w:bottom w:val="single" w:sz="8" w:color="000003"/>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4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220" w:type="dxa"/>
            <w:vAlign w:val="bottom"/>
            <w:tcBorders>
              <w:bottom w:val="single" w:sz="8" w:color="000003"/>
            </w:tcBorders>
          </w:tcPr>
          <w:p>
            <w:pPr>
              <w:spacing w:after="0" w:line="20" w:lineRule="exact"/>
              <w:rPr>
                <w:sz w:val="1"/>
                <w:szCs w:val="1"/>
                <w:color w:val="auto"/>
              </w:rPr>
            </w:pPr>
          </w:p>
        </w:tc>
        <w:tc>
          <w:tcPr>
            <w:tcW w:w="240" w:type="dxa"/>
            <w:vAlign w:val="bottom"/>
            <w:tcBorders>
              <w:bottom w:val="single" w:sz="8" w:color="000003"/>
            </w:tcBorders>
          </w:tcPr>
          <w:p>
            <w:pPr>
              <w:spacing w:after="0" w:line="20" w:lineRule="exact"/>
              <w:rPr>
                <w:sz w:val="1"/>
                <w:szCs w:val="1"/>
                <w:color w:val="auto"/>
              </w:rPr>
            </w:pPr>
          </w:p>
        </w:tc>
        <w:tc>
          <w:tcPr>
            <w:tcW w:w="110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740" w:type="dxa"/>
            <w:vAlign w:val="bottom"/>
            <w:gridSpan w:val="2"/>
            <w:shd w:val="clear" w:color="auto" w:fill="CCEEFF"/>
          </w:tcPr>
          <w:p>
            <w:pPr>
              <w:ind w:left="3300"/>
              <w:spacing w:after="0"/>
              <w:rPr>
                <w:sz w:val="20"/>
                <w:szCs w:val="20"/>
                <w:color w:val="auto"/>
              </w:rPr>
            </w:pPr>
            <w:r>
              <w:rPr>
                <w:rFonts w:ascii="Arial" w:cs="Arial" w:eastAsia="Arial" w:hAnsi="Arial"/>
                <w:sz w:val="16"/>
                <w:szCs w:val="16"/>
                <w:b w:val="1"/>
                <w:bCs w:val="1"/>
                <w:color w:val="auto"/>
              </w:rPr>
              <w:t>LIABILITIES AND STOCKHOLDERS’ EQUITY</w:t>
            </w: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 related party</w:t>
            </w: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Accounts payable, operations</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5,505</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10,403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compensation</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3,710</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Indebtedness under lines of credit</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indebtedness, current portion</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572</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Notes payable to employees, current portion</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474</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Income taxes payable</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3,761</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Deferred revenue, current portion</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18,256</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7,340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8,978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current liabilities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1,893</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tcPr>
          <w:p>
            <w:pPr>
              <w:spacing w:after="0" w:line="183" w:lineRule="exact"/>
              <w:rPr>
                <w:sz w:val="20"/>
                <w:szCs w:val="20"/>
                <w:color w:val="auto"/>
              </w:rPr>
            </w:pPr>
            <w:r>
              <w:rPr>
                <w:rFonts w:ascii="Arial" w:cs="Arial" w:eastAsia="Arial" w:hAnsi="Arial"/>
                <w:sz w:val="16"/>
                <w:szCs w:val="16"/>
                <w:color w:val="auto"/>
              </w:rPr>
              <w:t>Total current liabilities</w:t>
            </w:r>
          </w:p>
        </w:tc>
        <w:tc>
          <w:tcPr>
            <w:tcW w:w="460" w:type="dxa"/>
            <w:vAlign w:val="bottom"/>
          </w:tcPr>
          <w:p>
            <w:pPr>
              <w:spacing w:after="0"/>
              <w:rPr>
                <w:sz w:val="15"/>
                <w:szCs w:val="15"/>
                <w:color w:val="auto"/>
              </w:rPr>
            </w:pPr>
          </w:p>
        </w:tc>
        <w:tc>
          <w:tcPr>
            <w:tcW w:w="720" w:type="dxa"/>
            <w:vAlign w:val="bottom"/>
          </w:tcPr>
          <w:p>
            <w:pPr>
              <w:jc w:val="right"/>
              <w:ind w:right="61"/>
              <w:spacing w:after="0" w:line="183" w:lineRule="exact"/>
              <w:rPr>
                <w:sz w:val="20"/>
                <w:szCs w:val="20"/>
                <w:color w:val="auto"/>
              </w:rPr>
            </w:pPr>
            <w:r>
              <w:rPr>
                <w:rFonts w:ascii="Arial" w:cs="Arial" w:eastAsia="Arial" w:hAnsi="Arial"/>
                <w:sz w:val="16"/>
                <w:szCs w:val="16"/>
                <w:color w:val="auto"/>
              </w:rPr>
              <w:t>34,186</w:t>
            </w:r>
          </w:p>
        </w:tc>
        <w:tc>
          <w:tcPr>
            <w:tcW w:w="24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30,093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38,466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Long-term indebtedness, net of current portion</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11,347</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200"/>
              <w:spacing w:after="0"/>
              <w:rPr>
                <w:sz w:val="20"/>
                <w:szCs w:val="20"/>
                <w:color w:val="auto"/>
              </w:rPr>
            </w:pPr>
            <w:r>
              <w:rPr>
                <w:rFonts w:ascii="Arial" w:cs="Arial" w:eastAsia="Arial" w:hAnsi="Arial"/>
                <w:sz w:val="16"/>
                <w:szCs w:val="16"/>
                <w:color w:val="auto"/>
              </w:rPr>
              <w:t>Notes payable to employees, net of current portion</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474</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 net of current portion</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46,107</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Stockholders’ equity:</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$0.001 par value; 3,000,000 shares authorized, 0 shares issued</w:t>
            </w: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and outstanding at December 31, 2004 and 2005 and September 30, 2006</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280" w:type="dxa"/>
            <w:vAlign w:val="bottom"/>
          </w:tcPr>
          <w:p>
            <w:pPr>
              <w:ind w:left="200"/>
              <w:spacing w:after="0"/>
              <w:rPr>
                <w:sz w:val="20"/>
                <w:szCs w:val="20"/>
                <w:color w:val="auto"/>
              </w:rPr>
            </w:pPr>
            <w:r>
              <w:rPr>
                <w:rFonts w:ascii="Arial" w:cs="Arial" w:eastAsia="Arial" w:hAnsi="Arial"/>
                <w:sz w:val="16"/>
                <w:szCs w:val="16"/>
                <w:color w:val="auto"/>
              </w:rPr>
              <w:t>Common Stock, Class A, $0.001 par value; 100,000,000 shares authorized,</w:t>
            </w: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80" w:type="dxa"/>
            <w:vAlign w:val="bottom"/>
          </w:tcPr>
          <w:p>
            <w:pPr>
              <w:ind w:left="360"/>
              <w:spacing w:after="0"/>
              <w:rPr>
                <w:sz w:val="20"/>
                <w:szCs w:val="20"/>
                <w:color w:val="auto"/>
              </w:rPr>
            </w:pPr>
            <w:r>
              <w:rPr>
                <w:rFonts w:ascii="Arial" w:cs="Arial" w:eastAsia="Arial" w:hAnsi="Arial"/>
                <w:sz w:val="16"/>
                <w:szCs w:val="16"/>
                <w:color w:val="auto"/>
              </w:rPr>
              <w:t>18,666,479, 22,303,280 and 22,303,280 shares issued and outstanding at</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tcPr>
          <w:p>
            <w:pPr>
              <w:ind w:left="360"/>
              <w:spacing w:after="0" w:line="181" w:lineRule="exact"/>
              <w:rPr>
                <w:sz w:val="20"/>
                <w:szCs w:val="20"/>
                <w:color w:val="auto"/>
              </w:rPr>
            </w:pPr>
            <w:r>
              <w:rPr>
                <w:rFonts w:ascii="Arial" w:cs="Arial" w:eastAsia="Arial" w:hAnsi="Arial"/>
                <w:sz w:val="16"/>
                <w:szCs w:val="16"/>
                <w:color w:val="auto"/>
              </w:rPr>
              <w:t>December 31, 2004 and 2005 and September 30, 2006, respectively</w:t>
            </w:r>
          </w:p>
        </w:tc>
        <w:tc>
          <w:tcPr>
            <w:tcW w:w="460" w:type="dxa"/>
            <w:vAlign w:val="bottom"/>
          </w:tcPr>
          <w:p>
            <w:pPr>
              <w:spacing w:after="0"/>
              <w:rPr>
                <w:sz w:val="15"/>
                <w:szCs w:val="15"/>
                <w:color w:val="auto"/>
              </w:rPr>
            </w:pPr>
          </w:p>
        </w:tc>
        <w:tc>
          <w:tcPr>
            <w:tcW w:w="720" w:type="dxa"/>
            <w:vAlign w:val="bottom"/>
          </w:tcPr>
          <w:p>
            <w:pPr>
              <w:jc w:val="right"/>
              <w:ind w:right="61"/>
              <w:spacing w:after="0" w:line="181" w:lineRule="exact"/>
              <w:rPr>
                <w:sz w:val="20"/>
                <w:szCs w:val="20"/>
                <w:color w:val="auto"/>
              </w:rPr>
            </w:pPr>
            <w:r>
              <w:rPr>
                <w:rFonts w:ascii="Arial" w:cs="Arial" w:eastAsia="Arial" w:hAnsi="Arial"/>
                <w:sz w:val="16"/>
                <w:szCs w:val="16"/>
                <w:color w:val="auto"/>
              </w:rPr>
              <w:t>19</w:t>
            </w:r>
          </w:p>
        </w:tc>
        <w:tc>
          <w:tcPr>
            <w:tcW w:w="240" w:type="dxa"/>
            <w:vAlign w:val="bottom"/>
          </w:tcPr>
          <w:p>
            <w:pPr>
              <w:spacing w:after="0"/>
              <w:rPr>
                <w:sz w:val="15"/>
                <w:szCs w:val="15"/>
                <w:color w:val="auto"/>
              </w:rPr>
            </w:pPr>
          </w:p>
        </w:tc>
        <w:tc>
          <w:tcPr>
            <w:tcW w:w="58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line="181" w:lineRule="exact"/>
              <w:rPr>
                <w:sz w:val="20"/>
                <w:szCs w:val="20"/>
                <w:color w:val="auto"/>
              </w:rPr>
            </w:pPr>
            <w:r>
              <w:rPr>
                <w:rFonts w:ascii="Arial" w:cs="Arial" w:eastAsia="Arial" w:hAnsi="Arial"/>
                <w:sz w:val="16"/>
                <w:szCs w:val="16"/>
                <w:color w:val="auto"/>
              </w:rPr>
              <w:t>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Common Stock, Class B, $0.01 par value; 2,000,000 shares authorized, 0, 21,283</w:t>
            </w:r>
          </w:p>
        </w:tc>
        <w:tc>
          <w:tcPr>
            <w:tcW w:w="4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86,340 shares issued and outstanding at December 31, 2004 and 2005 and</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80" w:type="dxa"/>
            <w:vAlign w:val="bottom"/>
            <w:shd w:val="clear" w:color="auto" w:fill="CCEEFF"/>
          </w:tcPr>
          <w:p>
            <w:pPr>
              <w:ind w:left="360"/>
              <w:spacing w:after="0" w:line="181" w:lineRule="exact"/>
              <w:rPr>
                <w:sz w:val="20"/>
                <w:szCs w:val="20"/>
                <w:color w:val="auto"/>
              </w:rPr>
            </w:pPr>
            <w:r>
              <w:rPr>
                <w:rFonts w:ascii="Arial" w:cs="Arial" w:eastAsia="Arial" w:hAnsi="Arial"/>
                <w:sz w:val="16"/>
                <w:szCs w:val="16"/>
                <w:color w:val="auto"/>
              </w:rPr>
              <w:t>September 30, 2006, respectively</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7,610</w:t>
            </w: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34,595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35,079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(276)</w:t>
            </w: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3"/>
        </w:trPr>
        <w:tc>
          <w:tcPr>
            <w:tcW w:w="6280" w:type="dxa"/>
            <w:vAlign w:val="bottom"/>
          </w:tcPr>
          <w:p>
            <w:pPr>
              <w:spacing w:after="0"/>
              <w:rPr>
                <w:sz w:val="20"/>
                <w:szCs w:val="20"/>
                <w:color w:val="auto"/>
              </w:rPr>
            </w:pPr>
            <w:r>
              <w:rPr>
                <w:rFonts w:ascii="Arial" w:cs="Arial" w:eastAsia="Arial" w:hAnsi="Arial"/>
                <w:sz w:val="16"/>
                <w:szCs w:val="16"/>
                <w:color w:val="auto"/>
              </w:rPr>
              <w:t>Retained earnings</w:t>
            </w: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15,320</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25,396</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21,839</w:t>
            </w: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4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22,949</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56,759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460" w:type="dxa"/>
            <w:vAlign w:val="bottom"/>
            <w:tcBorders>
              <w:bottom w:val="single" w:sz="8" w:color="000003"/>
            </w:tcBorders>
          </w:tcPr>
          <w:p>
            <w:pPr>
              <w:jc w:val="right"/>
              <w:ind w:right="30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000003"/>
            </w:tcBorders>
          </w:tcPr>
          <w:p>
            <w:pPr>
              <w:jc w:val="right"/>
              <w:ind w:right="61"/>
              <w:spacing w:after="0"/>
              <w:rPr>
                <w:sz w:val="20"/>
                <w:szCs w:val="20"/>
                <w:color w:val="auto"/>
              </w:rPr>
            </w:pPr>
            <w:r>
              <w:rPr>
                <w:rFonts w:ascii="Arial" w:cs="Arial" w:eastAsia="Arial" w:hAnsi="Arial"/>
                <w:sz w:val="16"/>
                <w:szCs w:val="16"/>
                <w:color w:val="auto"/>
              </w:rPr>
              <w:t>69,056</w:t>
            </w:r>
          </w:p>
        </w:tc>
        <w:tc>
          <w:tcPr>
            <w:tcW w:w="2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w w:val="96"/>
              </w:rPr>
              <w:t>100,332</w:t>
            </w:r>
          </w:p>
        </w:tc>
        <w:tc>
          <w:tcPr>
            <w:tcW w:w="220" w:type="dxa"/>
            <w:vAlign w:val="bottom"/>
            <w:tcBorders>
              <w:bottom w:val="single" w:sz="8" w:color="000003"/>
            </w:tcBorders>
          </w:tcPr>
          <w:p>
            <w:pPr>
              <w:spacing w:after="0"/>
              <w:rPr>
                <w:sz w:val="16"/>
                <w:szCs w:val="16"/>
                <w:color w:val="auto"/>
              </w:rPr>
            </w:pPr>
          </w:p>
        </w:tc>
        <w:tc>
          <w:tcPr>
            <w:tcW w:w="2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130,831</w:t>
            </w:r>
          </w:p>
        </w:tc>
        <w:tc>
          <w:tcPr>
            <w:tcW w:w="80" w:type="dxa"/>
            <w:vAlign w:val="bottom"/>
            <w:tcBorders>
              <w:bottom w:val="single" w:sz="8" w:color="000003"/>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6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40" w:type="dxa"/>
            <w:vAlign w:val="bottom"/>
            <w:tcBorders>
              <w:bottom w:val="single" w:sz="8" w:color="000003"/>
            </w:tcBorders>
          </w:tcPr>
          <w:p>
            <w:pPr>
              <w:spacing w:after="0" w:line="20" w:lineRule="exact"/>
              <w:rPr>
                <w:sz w:val="1"/>
                <w:szCs w:val="1"/>
                <w:color w:val="auto"/>
              </w:rPr>
            </w:pPr>
          </w:p>
        </w:tc>
        <w:tc>
          <w:tcPr>
            <w:tcW w:w="580" w:type="dxa"/>
            <w:vAlign w:val="bottom"/>
            <w:tcBorders>
              <w:bottom w:val="single" w:sz="8" w:color="000003"/>
            </w:tcBorders>
          </w:tcPr>
          <w:p>
            <w:pPr>
              <w:spacing w:after="0" w:line="20" w:lineRule="exact"/>
              <w:rPr>
                <w:sz w:val="1"/>
                <w:szCs w:val="1"/>
                <w:color w:val="auto"/>
              </w:rPr>
            </w:pPr>
          </w:p>
        </w:tc>
        <w:tc>
          <w:tcPr>
            <w:tcW w:w="220" w:type="dxa"/>
            <w:vAlign w:val="bottom"/>
            <w:tcBorders>
              <w:bottom w:val="single" w:sz="8" w:color="000003"/>
            </w:tcBorders>
          </w:tcPr>
          <w:p>
            <w:pPr>
              <w:spacing w:after="0" w:line="20" w:lineRule="exact"/>
              <w:rPr>
                <w:sz w:val="1"/>
                <w:szCs w:val="1"/>
                <w:color w:val="auto"/>
              </w:rPr>
            </w:pPr>
          </w:p>
        </w:tc>
        <w:tc>
          <w:tcPr>
            <w:tcW w:w="240" w:type="dxa"/>
            <w:vAlign w:val="bottom"/>
            <w:tcBorders>
              <w:bottom w:val="single" w:sz="8" w:color="000003"/>
            </w:tcBorders>
          </w:tcPr>
          <w:p>
            <w:pPr>
              <w:spacing w:after="0" w:line="20" w:lineRule="exact"/>
              <w:rPr>
                <w:sz w:val="1"/>
                <w:szCs w:val="1"/>
                <w:color w:val="auto"/>
              </w:rPr>
            </w:pPr>
          </w:p>
        </w:tc>
        <w:tc>
          <w:tcPr>
            <w:tcW w:w="110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8" w:right="103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Consolidated statements of operations</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7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Nine months</w:t>
            </w:r>
          </w:p>
        </w:tc>
      </w:tr>
      <w:tr>
        <w:trPr>
          <w:trHeight w:val="183"/>
        </w:trPr>
        <w:tc>
          <w:tcPr>
            <w:tcW w:w="3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auto"/>
              </w:rPr>
              <w:t>ended September 30,</w:t>
            </w:r>
          </w:p>
        </w:tc>
      </w:tr>
      <w:tr>
        <w:trPr>
          <w:trHeight w:val="201"/>
        </w:trPr>
        <w:tc>
          <w:tcPr>
            <w:tcW w:w="3700" w:type="dxa"/>
            <w:vAlign w:val="bottom"/>
          </w:tcPr>
          <w:p>
            <w:pPr>
              <w:spacing w:after="0"/>
              <w:rPr>
                <w:sz w:val="20"/>
                <w:szCs w:val="20"/>
                <w:color w:val="auto"/>
              </w:rPr>
            </w:pPr>
            <w:r>
              <w:rPr>
                <w:rFonts w:ascii="Arial" w:cs="Arial" w:eastAsia="Arial" w:hAnsi="Arial"/>
                <w:sz w:val="16"/>
                <w:szCs w:val="16"/>
                <w:b w:val="1"/>
                <w:bCs w:val="1"/>
                <w:color w:val="auto"/>
              </w:rPr>
              <w:t>(in thousands, except</w:t>
            </w:r>
          </w:p>
        </w:tc>
        <w:tc>
          <w:tcPr>
            <w:tcW w:w="13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(unaudited)</w:t>
            </w:r>
          </w:p>
        </w:tc>
      </w:tr>
      <w:tr>
        <w:trPr>
          <w:trHeight w:val="201"/>
        </w:trPr>
        <w:tc>
          <w:tcPr>
            <w:tcW w:w="3700" w:type="dxa"/>
            <w:vAlign w:val="bottom"/>
          </w:tcPr>
          <w:p>
            <w:pPr>
              <w:spacing w:after="0"/>
              <w:rPr>
                <w:sz w:val="20"/>
                <w:szCs w:val="20"/>
                <w:color w:val="auto"/>
              </w:rPr>
            </w:pPr>
            <w:r>
              <w:rPr>
                <w:rFonts w:ascii="Arial" w:cs="Arial" w:eastAsia="Arial" w:hAnsi="Arial"/>
                <w:sz w:val="16"/>
                <w:szCs w:val="16"/>
                <w:b w:val="1"/>
                <w:bCs w:val="1"/>
                <w:color w:val="auto"/>
              </w:rPr>
              <w:t>share and per share data)</w:t>
            </w:r>
          </w:p>
        </w:tc>
        <w:tc>
          <w:tcPr>
            <w:tcW w:w="1340" w:type="dxa"/>
            <w:vAlign w:val="bottom"/>
          </w:tcPr>
          <w:p>
            <w:pPr>
              <w:jc w:val="right"/>
              <w:ind w:right="261"/>
              <w:spacing w:after="0"/>
              <w:rPr>
                <w:sz w:val="20"/>
                <w:szCs w:val="20"/>
                <w:color w:val="auto"/>
              </w:rPr>
            </w:pPr>
            <w:r>
              <w:rPr>
                <w:rFonts w:ascii="Arial" w:cs="Arial" w:eastAsia="Arial" w:hAnsi="Arial"/>
                <w:sz w:val="16"/>
                <w:szCs w:val="16"/>
                <w:b w:val="1"/>
                <w:bCs w:val="1"/>
                <w:color w:val="auto"/>
              </w:rPr>
              <w:t>2003</w:t>
            </w:r>
          </w:p>
        </w:tc>
        <w:tc>
          <w:tcPr>
            <w:tcW w:w="1440" w:type="dxa"/>
            <w:vAlign w:val="bottom"/>
          </w:tcPr>
          <w:p>
            <w:pPr>
              <w:jc w:val="right"/>
              <w:ind w:right="381"/>
              <w:spacing w:after="0"/>
              <w:rPr>
                <w:sz w:val="20"/>
                <w:szCs w:val="20"/>
                <w:color w:val="auto"/>
              </w:rPr>
            </w:pPr>
            <w:r>
              <w:rPr>
                <w:rFonts w:ascii="Arial" w:cs="Arial" w:eastAsia="Arial" w:hAnsi="Arial"/>
                <w:sz w:val="16"/>
                <w:szCs w:val="16"/>
                <w:b w:val="1"/>
                <w:bCs w:val="1"/>
                <w:color w:val="auto"/>
              </w:rPr>
              <w:t>2004</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2005</w:t>
            </w:r>
          </w:p>
        </w:tc>
        <w:tc>
          <w:tcPr>
            <w:tcW w:w="280" w:type="dxa"/>
            <w:vAlign w:val="bottom"/>
          </w:tcPr>
          <w:p>
            <w:pPr>
              <w:spacing w:after="0"/>
              <w:rPr>
                <w:sz w:val="17"/>
                <w:szCs w:val="17"/>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2005</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wp:posOffset>
            </wp:positionV>
            <wp:extent cx="62445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44590" cy="82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p>
      <w:pPr>
        <w:spacing w:after="0" w:line="1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Revenues: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Product sales</w:t>
      </w:r>
    </w:p>
    <w:p>
      <w:pPr>
        <w:ind w:left="220"/>
        <w:spacing w:after="0"/>
        <w:rPr>
          <w:sz w:val="20"/>
          <w:szCs w:val="20"/>
          <w:color w:val="auto"/>
        </w:rPr>
      </w:pPr>
      <w:r>
        <w:rPr>
          <w:rFonts w:ascii="Arial" w:cs="Arial" w:eastAsia="Arial" w:hAnsi="Arial"/>
          <w:sz w:val="16"/>
          <w:szCs w:val="16"/>
          <w:color w:val="auto"/>
        </w:rPr>
        <w:t>Contracts and grants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revenues</w:t>
      </w:r>
    </w:p>
    <w:p>
      <w:pPr>
        <w:spacing w:after="0" w:line="19" w:lineRule="exact"/>
        <w:rPr>
          <w:sz w:val="20"/>
          <w:szCs w:val="20"/>
          <w:color w:val="auto"/>
        </w:rPr>
      </w:pPr>
    </w:p>
    <w:p>
      <w:pPr>
        <w:ind w:left="220" w:right="780" w:hanging="209"/>
        <w:spacing w:after="0" w:line="239" w:lineRule="auto"/>
        <w:rPr>
          <w:sz w:val="20"/>
          <w:szCs w:val="20"/>
          <w:color w:val="auto"/>
        </w:rPr>
      </w:pPr>
      <w:r>
        <w:rPr>
          <w:rFonts w:ascii="Arial" w:cs="Arial" w:eastAsia="Arial" w:hAnsi="Arial"/>
          <w:sz w:val="16"/>
          <w:szCs w:val="16"/>
          <w:b w:val="1"/>
          <w:bCs w:val="1"/>
          <w:color w:val="auto"/>
        </w:rPr>
        <w:t xml:space="preserve">Operating expense (income): </w:t>
      </w:r>
      <w:r>
        <w:rPr>
          <w:rFonts w:ascii="Arial" w:cs="Arial" w:eastAsia="Arial" w:hAnsi="Arial"/>
          <w:sz w:val="16"/>
          <w:szCs w:val="16"/>
          <w:color w:val="auto"/>
        </w:rPr>
        <w:t>Cost of product sales Research and development Selling, general and administrative Purchased in-process research and</w:t>
      </w:r>
    </w:p>
    <w:p>
      <w:pPr>
        <w:ind w:left="380"/>
        <w:spacing w:after="0"/>
        <w:rPr>
          <w:sz w:val="20"/>
          <w:szCs w:val="20"/>
          <w:color w:val="auto"/>
        </w:rPr>
      </w:pPr>
      <w:r>
        <w:rPr>
          <w:rFonts w:ascii="Arial" w:cs="Arial" w:eastAsia="Arial" w:hAnsi="Arial"/>
          <w:sz w:val="16"/>
          <w:szCs w:val="16"/>
          <w:color w:val="auto"/>
        </w:rPr>
        <w:t>development</w:t>
      </w:r>
    </w:p>
    <w:p>
      <w:pPr>
        <w:ind w:left="20" w:right="560"/>
        <w:spacing w:after="0" w:line="244" w:lineRule="auto"/>
        <w:rPr>
          <w:sz w:val="20"/>
          <w:szCs w:val="20"/>
          <w:color w:val="auto"/>
        </w:rPr>
      </w:pPr>
      <w:r>
        <w:rPr>
          <w:rFonts w:ascii="Arial" w:cs="Arial" w:eastAsia="Arial" w:hAnsi="Arial"/>
          <w:sz w:val="16"/>
          <w:szCs w:val="16"/>
          <w:color w:val="auto"/>
        </w:rPr>
        <w:t>Settlement of State of Michigan obligation Litigation settlement</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(loss) from operations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income (expense):</w:t>
      </w:r>
    </w:p>
    <w:p>
      <w:pPr>
        <w:ind w:left="220"/>
        <w:spacing w:after="0"/>
        <w:rPr>
          <w:sz w:val="20"/>
          <w:szCs w:val="20"/>
          <w:color w:val="auto"/>
        </w:rPr>
      </w:pPr>
      <w:r>
        <w:rPr>
          <w:rFonts w:ascii="Arial" w:cs="Arial" w:eastAsia="Arial" w:hAnsi="Arial"/>
          <w:sz w:val="16"/>
          <w:szCs w:val="16"/>
          <w:color w:val="auto"/>
        </w:rPr>
        <w:t>Interest income</w:t>
      </w:r>
    </w:p>
    <w:p>
      <w:pPr>
        <w:ind w:left="220"/>
        <w:spacing w:after="0"/>
        <w:rPr>
          <w:sz w:val="20"/>
          <w:szCs w:val="20"/>
          <w:color w:val="auto"/>
        </w:rPr>
      </w:pPr>
      <w:r>
        <w:rPr>
          <w:rFonts w:ascii="Arial" w:cs="Arial" w:eastAsia="Arial" w:hAnsi="Arial"/>
          <w:sz w:val="16"/>
          <w:szCs w:val="16"/>
          <w:color w:val="auto"/>
        </w:rPr>
        <w:t>Interest expense</w:t>
      </w:r>
    </w:p>
    <w:p>
      <w:pPr>
        <w:ind w:left="220"/>
        <w:spacing w:after="0"/>
        <w:rPr>
          <w:sz w:val="20"/>
          <w:szCs w:val="20"/>
          <w:color w:val="auto"/>
        </w:rPr>
      </w:pPr>
      <w:r>
        <w:rPr>
          <w:rFonts w:ascii="Arial" w:cs="Arial" w:eastAsia="Arial" w:hAnsi="Arial"/>
          <w:sz w:val="16"/>
          <w:szCs w:val="16"/>
          <w:color w:val="auto"/>
        </w:rPr>
        <w:t>Other income (expense), net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income (expense)</w:t>
      </w:r>
    </w:p>
    <w:p>
      <w:pPr>
        <w:spacing w:after="0" w:line="19" w:lineRule="exact"/>
        <w:rPr>
          <w:sz w:val="20"/>
          <w:szCs w:val="20"/>
          <w:color w:val="auto"/>
        </w:rPr>
      </w:pPr>
    </w:p>
    <w:p>
      <w:pPr>
        <w:ind w:left="220" w:right="320" w:hanging="209"/>
        <w:spacing w:after="0" w:line="239" w:lineRule="auto"/>
        <w:rPr>
          <w:sz w:val="20"/>
          <w:szCs w:val="20"/>
          <w:color w:val="auto"/>
        </w:rPr>
      </w:pPr>
      <w:r>
        <w:rPr>
          <w:rFonts w:ascii="Arial" w:cs="Arial" w:eastAsia="Arial" w:hAnsi="Arial"/>
          <w:sz w:val="16"/>
          <w:szCs w:val="16"/>
          <w:b w:val="1"/>
          <w:bCs w:val="1"/>
          <w:color w:val="auto"/>
        </w:rPr>
        <w:t>Income (loss) before provision for (benefit from) income taxes</w:t>
      </w:r>
    </w:p>
    <w:p>
      <w:pPr>
        <w:ind w:left="20" w:right="400"/>
        <w:spacing w:after="0" w:line="294" w:lineRule="auto"/>
        <w:rPr>
          <w:sz w:val="20"/>
          <w:szCs w:val="20"/>
          <w:color w:val="auto"/>
        </w:rPr>
      </w:pPr>
      <w:r>
        <w:rPr>
          <w:rFonts w:ascii="Arial" w:cs="Arial" w:eastAsia="Arial" w:hAnsi="Arial"/>
          <w:sz w:val="16"/>
          <w:szCs w:val="16"/>
          <w:b w:val="1"/>
          <w:bCs w:val="1"/>
          <w:color w:val="auto"/>
        </w:rPr>
        <w:t>Provision for (benefit from) income taxes Net income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(loss) per share — basic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Earnings (loss) per share — diluted</w:t>
      </w:r>
    </w:p>
    <w:p>
      <w:pPr>
        <w:ind w:left="20"/>
        <w:spacing w:after="0"/>
        <w:rPr>
          <w:sz w:val="20"/>
          <w:szCs w:val="20"/>
          <w:color w:val="auto"/>
        </w:rPr>
      </w:pPr>
      <w:r>
        <w:rPr>
          <w:rFonts w:ascii="Arial" w:cs="Arial" w:eastAsia="Arial" w:hAnsi="Arial"/>
          <w:sz w:val="16"/>
          <w:szCs w:val="16"/>
          <w:b w:val="1"/>
          <w:bCs w:val="1"/>
          <w:color w:val="auto"/>
        </w:rPr>
        <w:t>Weighted average number of shares — basic</w:t>
      </w:r>
    </w:p>
    <w:p>
      <w:pPr>
        <w:ind w:left="20"/>
        <w:spacing w:after="0"/>
        <w:rPr>
          <w:sz w:val="20"/>
          <w:szCs w:val="20"/>
          <w:color w:val="auto"/>
        </w:rPr>
      </w:pPr>
      <w:r>
        <w:rPr>
          <w:rFonts w:ascii="Arial" w:cs="Arial" w:eastAsia="Arial" w:hAnsi="Arial"/>
          <w:sz w:val="15"/>
          <w:szCs w:val="15"/>
          <w:b w:val="1"/>
          <w:bCs w:val="1"/>
          <w:color w:val="auto"/>
        </w:rPr>
        <w:t>Weighted average number of shares — diluted</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dividends per share — basic</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55,536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81,014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127,271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85,807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61,263</w:t>
            </w:r>
          </w:p>
        </w:tc>
      </w:tr>
      <w:tr>
        <w:trPr>
          <w:trHeight w:val="191"/>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233</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2,480</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3,417</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1,093</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4,580</w:t>
            </w:r>
          </w:p>
        </w:tc>
      </w:tr>
      <w:tr>
        <w:trPr>
          <w:trHeight w:val="199"/>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55,769</w:t>
            </w:r>
          </w:p>
        </w:tc>
        <w:tc>
          <w:tcPr>
            <w:tcW w:w="280" w:type="dxa"/>
            <w:vAlign w:val="bottom"/>
          </w:tcPr>
          <w:p>
            <w:pPr>
              <w:spacing w:after="0"/>
              <w:rPr>
                <w:sz w:val="17"/>
                <w:szCs w:val="17"/>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83,494</w:t>
            </w:r>
          </w:p>
        </w:tc>
        <w:tc>
          <w:tcPr>
            <w:tcW w:w="260" w:type="dxa"/>
            <w:vAlign w:val="bottom"/>
          </w:tcPr>
          <w:p>
            <w:pPr>
              <w:spacing w:after="0"/>
              <w:rPr>
                <w:sz w:val="17"/>
                <w:szCs w:val="17"/>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130,688</w:t>
            </w:r>
          </w:p>
        </w:tc>
        <w:tc>
          <w:tcPr>
            <w:tcW w:w="260" w:type="dxa"/>
            <w:vAlign w:val="bottom"/>
          </w:tcPr>
          <w:p>
            <w:pPr>
              <w:spacing w:after="0"/>
              <w:rPr>
                <w:sz w:val="17"/>
                <w:szCs w:val="17"/>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86,900</w:t>
            </w:r>
          </w:p>
        </w:tc>
        <w:tc>
          <w:tcPr>
            <w:tcW w:w="260" w:type="dxa"/>
            <w:vAlign w:val="bottom"/>
          </w:tcPr>
          <w:p>
            <w:pPr>
              <w:spacing w:after="0"/>
              <w:rPr>
                <w:sz w:val="17"/>
                <w:szCs w:val="17"/>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65,843</w:t>
            </w:r>
          </w:p>
        </w:tc>
      </w:tr>
      <w:tr>
        <w:trPr>
          <w:trHeight w:val="36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22,342</w:t>
            </w:r>
          </w:p>
        </w:tc>
        <w:tc>
          <w:tcPr>
            <w:tcW w:w="28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30,102</w:t>
            </w:r>
          </w:p>
        </w:tc>
        <w:tc>
          <w:tcPr>
            <w:tcW w:w="26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31,603</w:t>
            </w:r>
          </w:p>
        </w:tc>
        <w:tc>
          <w:tcPr>
            <w:tcW w:w="2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23,147</w:t>
            </w:r>
          </w:p>
        </w:tc>
        <w:tc>
          <w:tcPr>
            <w:tcW w:w="2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11,645</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6,327</w:t>
            </w:r>
          </w:p>
        </w:tc>
        <w:tc>
          <w:tcPr>
            <w:tcW w:w="280" w:type="dxa"/>
            <w:vAlign w:val="bottom"/>
          </w:tcPr>
          <w:p>
            <w:pPr>
              <w:spacing w:after="0"/>
              <w:rPr>
                <w:sz w:val="15"/>
                <w:szCs w:val="15"/>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10,117</w:t>
            </w:r>
          </w:p>
        </w:tc>
        <w:tc>
          <w:tcPr>
            <w:tcW w:w="260" w:type="dxa"/>
            <w:vAlign w:val="bottom"/>
          </w:tcPr>
          <w:p>
            <w:pPr>
              <w:spacing w:after="0"/>
              <w:rPr>
                <w:sz w:val="15"/>
                <w:szCs w:val="15"/>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18,381</w:t>
            </w:r>
          </w:p>
        </w:tc>
        <w:tc>
          <w:tcPr>
            <w:tcW w:w="2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9,632</w:t>
            </w:r>
          </w:p>
        </w:tc>
        <w:tc>
          <w:tcPr>
            <w:tcW w:w="2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26,640</w:t>
            </w:r>
          </w:p>
        </w:tc>
      </w:tr>
      <w:tr>
        <w:trPr>
          <w:trHeight w:val="188"/>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19,547</w:t>
            </w:r>
          </w:p>
        </w:tc>
        <w:tc>
          <w:tcPr>
            <w:tcW w:w="280" w:type="dxa"/>
            <w:vAlign w:val="bottom"/>
          </w:tcPr>
          <w:p>
            <w:pPr>
              <w:spacing w:after="0"/>
              <w:rPr>
                <w:sz w:val="16"/>
                <w:szCs w:val="16"/>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30,323</w:t>
            </w:r>
          </w:p>
        </w:tc>
        <w:tc>
          <w:tcPr>
            <w:tcW w:w="260" w:type="dxa"/>
            <w:vAlign w:val="bottom"/>
          </w:tcPr>
          <w:p>
            <w:pPr>
              <w:spacing w:after="0"/>
              <w:rPr>
                <w:sz w:val="16"/>
                <w:szCs w:val="16"/>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42,793</w:t>
            </w:r>
          </w:p>
        </w:tc>
        <w:tc>
          <w:tcPr>
            <w:tcW w:w="260" w:type="dxa"/>
            <w:vAlign w:val="bottom"/>
          </w:tcPr>
          <w:p>
            <w:pPr>
              <w:spacing w:after="0"/>
              <w:rPr>
                <w:sz w:val="16"/>
                <w:szCs w:val="16"/>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28,924</w:t>
            </w:r>
          </w:p>
        </w:tc>
        <w:tc>
          <w:tcPr>
            <w:tcW w:w="260" w:type="dxa"/>
            <w:vAlign w:val="bottom"/>
          </w:tcPr>
          <w:p>
            <w:pPr>
              <w:spacing w:after="0"/>
              <w:rPr>
                <w:sz w:val="16"/>
                <w:szCs w:val="16"/>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32,952</w:t>
            </w:r>
          </w:p>
        </w:tc>
      </w:tr>
      <w:tr>
        <w:trPr>
          <w:trHeight w:val="36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1,824</w:t>
            </w:r>
          </w:p>
        </w:tc>
        <w:tc>
          <w:tcPr>
            <w:tcW w:w="28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26,575</w:t>
            </w:r>
          </w:p>
        </w:tc>
        <w:tc>
          <w:tcPr>
            <w:tcW w:w="2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26,575</w:t>
            </w:r>
          </w:p>
        </w:tc>
        <w:tc>
          <w:tcPr>
            <w:tcW w:w="2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477</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(3,819)</w:t>
            </w:r>
          </w:p>
        </w:tc>
        <w:tc>
          <w:tcPr>
            <w:tcW w:w="260" w:type="dxa"/>
            <w:vAlign w:val="bottom"/>
          </w:tcPr>
          <w:p>
            <w:pPr>
              <w:spacing w:after="0"/>
              <w:rPr>
                <w:sz w:val="15"/>
                <w:szCs w:val="15"/>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(10,000)</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(10,000)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5,729</w:t>
            </w:r>
          </w:p>
        </w:tc>
        <w:tc>
          <w:tcPr>
            <w:tcW w:w="280" w:type="dxa"/>
            <w:vAlign w:val="bottom"/>
          </w:tcPr>
          <w:p>
            <w:pPr>
              <w:spacing w:after="0"/>
              <w:rPr>
                <w:sz w:val="17"/>
                <w:szCs w:val="17"/>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16,771</w:t>
            </w:r>
          </w:p>
        </w:tc>
        <w:tc>
          <w:tcPr>
            <w:tcW w:w="260" w:type="dxa"/>
            <w:vAlign w:val="bottom"/>
          </w:tcPr>
          <w:p>
            <w:pPr>
              <w:spacing w:after="0"/>
              <w:rPr>
                <w:sz w:val="17"/>
                <w:szCs w:val="17"/>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21,336</w:t>
            </w:r>
          </w:p>
        </w:tc>
        <w:tc>
          <w:tcPr>
            <w:tcW w:w="260" w:type="dxa"/>
            <w:vAlign w:val="bottom"/>
          </w:tcPr>
          <w:p>
            <w:pPr>
              <w:spacing w:after="0"/>
              <w:rPr>
                <w:sz w:val="17"/>
                <w:szCs w:val="17"/>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8,622</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(5,871)</w:t>
            </w:r>
          </w:p>
        </w:tc>
      </w:tr>
      <w:tr>
        <w:trPr>
          <w:trHeight w:val="36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100</w:t>
            </w:r>
          </w:p>
        </w:tc>
        <w:tc>
          <w:tcPr>
            <w:tcW w:w="28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485</w:t>
            </w:r>
          </w:p>
        </w:tc>
        <w:tc>
          <w:tcPr>
            <w:tcW w:w="2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338</w:t>
            </w:r>
          </w:p>
        </w:tc>
        <w:tc>
          <w:tcPr>
            <w:tcW w:w="2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405</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(293)</w:t>
            </w:r>
          </w:p>
        </w:tc>
        <w:tc>
          <w:tcPr>
            <w:tcW w:w="280" w:type="dxa"/>
            <w:vAlign w:val="bottom"/>
          </w:tcPr>
          <w:p>
            <w:pPr>
              <w:spacing w:after="0"/>
              <w:rPr>
                <w:sz w:val="15"/>
                <w:szCs w:val="15"/>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5"/>
                <w:szCs w:val="15"/>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(767)</w:t>
            </w:r>
          </w:p>
        </w:tc>
        <w:tc>
          <w:tcPr>
            <w:tcW w:w="26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(575)</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(778)</w:t>
            </w:r>
          </w:p>
        </w:tc>
      </w:tr>
      <w:tr>
        <w:trPr>
          <w:trHeight w:val="191"/>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168</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55</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291</w:t>
            </w:r>
          </w:p>
        </w:tc>
      </w:tr>
      <w:tr>
        <w:trPr>
          <w:trHeight w:val="199"/>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26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(227)</w:t>
            </w:r>
          </w:p>
        </w:tc>
        <w:tc>
          <w:tcPr>
            <w:tcW w:w="260" w:type="dxa"/>
            <w:vAlign w:val="bottom"/>
          </w:tcPr>
          <w:p>
            <w:pPr>
              <w:spacing w:after="0"/>
              <w:rPr>
                <w:sz w:val="17"/>
                <w:szCs w:val="17"/>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(261)</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6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5,704</w:t>
            </w:r>
          </w:p>
        </w:tc>
        <w:tc>
          <w:tcPr>
            <w:tcW w:w="280" w:type="dxa"/>
            <w:vAlign w:val="bottom"/>
          </w:tcPr>
          <w:p>
            <w:pPr>
              <w:spacing w:after="0"/>
              <w:rPr>
                <w:sz w:val="24"/>
                <w:szCs w:val="24"/>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16,601</w:t>
            </w:r>
          </w:p>
        </w:tc>
        <w:tc>
          <w:tcPr>
            <w:tcW w:w="260" w:type="dxa"/>
            <w:vAlign w:val="bottom"/>
          </w:tcPr>
          <w:p>
            <w:pPr>
              <w:spacing w:after="0"/>
              <w:rPr>
                <w:sz w:val="24"/>
                <w:szCs w:val="24"/>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21,109</w:t>
            </w:r>
          </w:p>
        </w:tc>
        <w:tc>
          <w:tcPr>
            <w:tcW w:w="260" w:type="dxa"/>
            <w:vAlign w:val="bottom"/>
          </w:tcPr>
          <w:p>
            <w:pPr>
              <w:spacing w:after="0"/>
              <w:rPr>
                <w:sz w:val="24"/>
                <w:szCs w:val="24"/>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8,361</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(5,953)</w:t>
            </w:r>
          </w:p>
        </w:tc>
      </w:tr>
      <w:tr>
        <w:trPr>
          <w:trHeight w:val="191"/>
        </w:trPr>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1,250</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5,129</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5,325</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2,109</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(2,617)</w:t>
            </w:r>
          </w:p>
        </w:tc>
      </w:tr>
      <w:tr>
        <w:trPr>
          <w:trHeight w:val="203"/>
        </w:trPr>
        <w:tc>
          <w:tcPr>
            <w:tcW w:w="160" w:type="dxa"/>
            <w:vAlign w:val="bottom"/>
            <w:tcBorders>
              <w:bottom w:val="single" w:sz="8" w:color="000003"/>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000003"/>
            </w:tcBorders>
          </w:tcPr>
          <w:p>
            <w:pPr>
              <w:jc w:val="right"/>
              <w:ind w:right="101"/>
              <w:spacing w:after="0"/>
              <w:rPr>
                <w:sz w:val="20"/>
                <w:szCs w:val="20"/>
                <w:color w:val="auto"/>
              </w:rPr>
            </w:pPr>
            <w:r>
              <w:rPr>
                <w:rFonts w:ascii="Arial" w:cs="Arial" w:eastAsia="Arial" w:hAnsi="Arial"/>
                <w:sz w:val="16"/>
                <w:szCs w:val="16"/>
                <w:color w:val="auto"/>
              </w:rPr>
              <w:t>4,454</w:t>
            </w:r>
          </w:p>
        </w:tc>
        <w:tc>
          <w:tcPr>
            <w:tcW w:w="28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0003"/>
            </w:tcBorders>
          </w:tcPr>
          <w:p>
            <w:pPr>
              <w:jc w:val="right"/>
              <w:ind w:right="81"/>
              <w:spacing w:after="0"/>
              <w:rPr>
                <w:sz w:val="20"/>
                <w:szCs w:val="20"/>
                <w:color w:val="auto"/>
              </w:rPr>
            </w:pPr>
            <w:r>
              <w:rPr>
                <w:rFonts w:ascii="Arial" w:cs="Arial" w:eastAsia="Arial" w:hAnsi="Arial"/>
                <w:sz w:val="16"/>
                <w:szCs w:val="16"/>
                <w:color w:val="auto"/>
              </w:rPr>
              <w:t>11,472</w:t>
            </w:r>
          </w:p>
        </w:tc>
        <w:tc>
          <w:tcPr>
            <w:tcW w:w="2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0003"/>
            </w:tcBorders>
          </w:tcPr>
          <w:p>
            <w:pPr>
              <w:jc w:val="right"/>
              <w:ind w:right="101"/>
              <w:spacing w:after="0"/>
              <w:rPr>
                <w:sz w:val="20"/>
                <w:szCs w:val="20"/>
                <w:color w:val="auto"/>
              </w:rPr>
            </w:pPr>
            <w:r>
              <w:rPr>
                <w:rFonts w:ascii="Arial" w:cs="Arial" w:eastAsia="Arial" w:hAnsi="Arial"/>
                <w:sz w:val="16"/>
                <w:szCs w:val="16"/>
                <w:color w:val="auto"/>
              </w:rPr>
              <w:t>15,784</w:t>
            </w:r>
          </w:p>
        </w:tc>
        <w:tc>
          <w:tcPr>
            <w:tcW w:w="2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0003"/>
            </w:tcBorders>
          </w:tcPr>
          <w:p>
            <w:pPr>
              <w:jc w:val="right"/>
              <w:ind w:right="81"/>
              <w:spacing w:after="0"/>
              <w:rPr>
                <w:sz w:val="20"/>
                <w:szCs w:val="20"/>
                <w:color w:val="auto"/>
              </w:rPr>
            </w:pPr>
            <w:r>
              <w:rPr>
                <w:rFonts w:ascii="Arial" w:cs="Arial" w:eastAsia="Arial" w:hAnsi="Arial"/>
                <w:sz w:val="16"/>
                <w:szCs w:val="16"/>
                <w:color w:val="auto"/>
              </w:rPr>
              <w:t>6,252</w:t>
            </w:r>
          </w:p>
        </w:tc>
        <w:tc>
          <w:tcPr>
            <w:tcW w:w="26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(3,336)</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280" w:type="dxa"/>
            <w:vAlign w:val="bottom"/>
            <w:tcBorders>
              <w:bottom w:val="single" w:sz="8" w:color="000003"/>
            </w:tcBorders>
          </w:tcPr>
          <w:p>
            <w:pPr>
              <w:spacing w:after="0" w:line="20" w:lineRule="exact"/>
              <w:rPr>
                <w:sz w:val="1"/>
                <w:szCs w:val="1"/>
                <w:color w:val="auto"/>
              </w:rPr>
            </w:pPr>
          </w:p>
        </w:tc>
        <w:tc>
          <w:tcPr>
            <w:tcW w:w="10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940" w:type="dxa"/>
            <w:vAlign w:val="bottom"/>
            <w:tcBorders>
              <w:bottom w:val="single" w:sz="8" w:color="000003"/>
            </w:tcBorders>
          </w:tcPr>
          <w:p>
            <w:pPr>
              <w:spacing w:after="0" w:line="20" w:lineRule="exact"/>
              <w:rPr>
                <w:sz w:val="1"/>
                <w:szCs w:val="1"/>
                <w:color w:val="auto"/>
              </w:rPr>
            </w:pPr>
          </w:p>
        </w:tc>
      </w:tr>
      <w:tr>
        <w:trPr>
          <w:trHeight w:val="181"/>
        </w:trPr>
        <w:tc>
          <w:tcPr>
            <w:tcW w:w="160" w:type="dxa"/>
            <w:vAlign w:val="bottom"/>
            <w:gridSpan w:val="2"/>
          </w:tcPr>
          <w:p>
            <w:pPr>
              <w:jc w:val="right"/>
              <w:ind w:right="60"/>
              <w:spacing w:after="0" w:line="181" w:lineRule="exact"/>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1"/>
              <w:spacing w:after="0" w:line="181" w:lineRule="exact"/>
              <w:rPr>
                <w:sz w:val="20"/>
                <w:szCs w:val="20"/>
                <w:color w:val="auto"/>
              </w:rPr>
            </w:pPr>
            <w:r>
              <w:rPr>
                <w:rFonts w:ascii="Arial" w:cs="Arial" w:eastAsia="Arial" w:hAnsi="Arial"/>
                <w:sz w:val="16"/>
                <w:szCs w:val="16"/>
                <w:color w:val="auto"/>
              </w:rPr>
              <w:t>0.24</w:t>
            </w:r>
          </w:p>
        </w:tc>
        <w:tc>
          <w:tcPr>
            <w:tcW w:w="28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line="181" w:lineRule="exact"/>
              <w:rPr>
                <w:sz w:val="20"/>
                <w:szCs w:val="20"/>
                <w:color w:val="auto"/>
              </w:rPr>
            </w:pPr>
            <w:r>
              <w:rPr>
                <w:rFonts w:ascii="Arial" w:cs="Arial" w:eastAsia="Arial" w:hAnsi="Arial"/>
                <w:sz w:val="16"/>
                <w:szCs w:val="16"/>
                <w:color w:val="auto"/>
              </w:rPr>
              <w:t>0.61</w:t>
            </w:r>
          </w:p>
        </w:tc>
        <w:tc>
          <w:tcPr>
            <w:tcW w:w="2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line="181" w:lineRule="exact"/>
              <w:rPr>
                <w:sz w:val="20"/>
                <w:szCs w:val="20"/>
                <w:color w:val="auto"/>
              </w:rPr>
            </w:pPr>
            <w:r>
              <w:rPr>
                <w:rFonts w:ascii="Arial" w:cs="Arial" w:eastAsia="Arial" w:hAnsi="Arial"/>
                <w:sz w:val="16"/>
                <w:szCs w:val="16"/>
                <w:color w:val="auto"/>
              </w:rPr>
              <w:t>0.77</w:t>
            </w:r>
          </w:p>
        </w:tc>
        <w:tc>
          <w:tcPr>
            <w:tcW w:w="2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line="181" w:lineRule="exact"/>
              <w:rPr>
                <w:sz w:val="20"/>
                <w:szCs w:val="20"/>
                <w:color w:val="auto"/>
              </w:rPr>
            </w:pPr>
            <w:r>
              <w:rPr>
                <w:rFonts w:ascii="Arial" w:cs="Arial" w:eastAsia="Arial" w:hAnsi="Arial"/>
                <w:sz w:val="16"/>
                <w:szCs w:val="16"/>
                <w:color w:val="auto"/>
              </w:rPr>
              <w:t>0.31</w:t>
            </w:r>
          </w:p>
        </w:tc>
        <w:tc>
          <w:tcPr>
            <w:tcW w:w="26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(0.15)</w:t>
            </w:r>
          </w:p>
        </w:tc>
      </w:tr>
      <w:tr>
        <w:trPr>
          <w:trHeight w:val="183"/>
        </w:trPr>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0.22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0.56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0.69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0.28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(0.15)</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18,904,992</w:t>
            </w:r>
          </w:p>
        </w:tc>
        <w:tc>
          <w:tcPr>
            <w:tcW w:w="280" w:type="dxa"/>
            <w:vAlign w:val="bottom"/>
          </w:tcPr>
          <w:p>
            <w:pPr>
              <w:spacing w:after="0"/>
              <w:rPr>
                <w:sz w:val="15"/>
                <w:szCs w:val="15"/>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18,919,850</w:t>
            </w:r>
          </w:p>
        </w:tc>
        <w:tc>
          <w:tcPr>
            <w:tcW w:w="260" w:type="dxa"/>
            <w:vAlign w:val="bottom"/>
          </w:tcPr>
          <w:p>
            <w:pPr>
              <w:spacing w:after="0"/>
              <w:rPr>
                <w:sz w:val="15"/>
                <w:szCs w:val="15"/>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20,533,471</w:t>
            </w:r>
          </w:p>
        </w:tc>
        <w:tc>
          <w:tcPr>
            <w:tcW w:w="2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19,930,498</w:t>
            </w:r>
          </w:p>
        </w:tc>
        <w:tc>
          <w:tcPr>
            <w:tcW w:w="2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22,370,191</w:t>
            </w:r>
          </w:p>
        </w:tc>
      </w:tr>
      <w:tr>
        <w:trPr>
          <w:trHeight w:val="183"/>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20,316,752</w:t>
            </w:r>
          </w:p>
        </w:tc>
        <w:tc>
          <w:tcPr>
            <w:tcW w:w="280" w:type="dxa"/>
            <w:vAlign w:val="bottom"/>
          </w:tcPr>
          <w:p>
            <w:pPr>
              <w:spacing w:after="0"/>
              <w:rPr>
                <w:sz w:val="15"/>
                <w:szCs w:val="15"/>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20,439,252</w:t>
            </w:r>
          </w:p>
        </w:tc>
        <w:tc>
          <w:tcPr>
            <w:tcW w:w="260" w:type="dxa"/>
            <w:vAlign w:val="bottom"/>
          </w:tcPr>
          <w:p>
            <w:pPr>
              <w:spacing w:after="0"/>
              <w:rPr>
                <w:sz w:val="15"/>
                <w:szCs w:val="15"/>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22,751,733</w:t>
            </w:r>
          </w:p>
        </w:tc>
        <w:tc>
          <w:tcPr>
            <w:tcW w:w="260" w:type="dxa"/>
            <w:vAlign w:val="bottom"/>
          </w:tcPr>
          <w:p>
            <w:pPr>
              <w:spacing w:after="0"/>
              <w:rPr>
                <w:sz w:val="15"/>
                <w:szCs w:val="15"/>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22,048,412</w:t>
            </w:r>
          </w:p>
        </w:tc>
        <w:tc>
          <w:tcPr>
            <w:tcW w:w="26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22,370,191</w:t>
            </w:r>
          </w:p>
        </w:tc>
      </w:tr>
      <w:tr>
        <w:trPr>
          <w:trHeight w:val="188"/>
        </w:trPr>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color w:val="auto"/>
              </w:rPr>
              <w:t>0.26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0.27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-3288030</wp:posOffset>
            </wp:positionV>
            <wp:extent cx="6303010" cy="1162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-3054985</wp:posOffset>
            </wp:positionV>
            <wp:extent cx="6303010" cy="1162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-2797175</wp:posOffset>
            </wp:positionV>
            <wp:extent cx="6303010" cy="1162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-2564765</wp:posOffset>
            </wp:positionV>
            <wp:extent cx="6303010" cy="1162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-2331720</wp:posOffset>
            </wp:positionV>
            <wp:extent cx="6303010" cy="2330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03010" cy="23304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-1982470</wp:posOffset>
            </wp:positionV>
            <wp:extent cx="6303010" cy="1162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-1724660</wp:posOffset>
            </wp:positionV>
            <wp:extent cx="6303010" cy="1162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-1492250</wp:posOffset>
            </wp:positionV>
            <wp:extent cx="6303010" cy="1162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-1234440</wp:posOffset>
            </wp:positionV>
            <wp:extent cx="6303010" cy="1162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-885190</wp:posOffset>
            </wp:positionV>
            <wp:extent cx="6303010" cy="1162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-585470</wp:posOffset>
            </wp:positionV>
            <wp:extent cx="6303010" cy="1162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-353060</wp:posOffset>
            </wp:positionV>
            <wp:extent cx="6303010" cy="1162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03010" cy="11620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-120015</wp:posOffset>
            </wp:positionV>
            <wp:extent cx="6303010" cy="133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03010" cy="133350"/>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3480" w:space="220"/>
            <w:col w:w="6240"/>
          </w:cols>
          <w:pgMar w:left="920" w:top="887" w:right="1039" w:bottom="1440" w:gutter="0" w:footer="0" w:header="0"/>
          <w:type w:val="continuous"/>
        </w:sect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type w:val="continuous"/>
        </w:sectPr>
      </w:pPr>
    </w:p>
    <w:bookmarkStart w:id="189" w:name="page190"/>
    <w:bookmarkEnd w:id="189"/>
    <w:p>
      <w:pPr>
        <w:jc w:val="center"/>
        <w:ind w:right="100"/>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8"/>
          <w:szCs w:val="28"/>
          <w:b w:val="1"/>
          <w:bCs w:val="1"/>
          <w:color w:val="auto"/>
        </w:rPr>
        <w:t>Consolidated statements of changes in stockholders’ equity</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5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w w:val="95"/>
              </w:rPr>
              <w:t>Class A</w:t>
            </w:r>
          </w:p>
        </w:tc>
        <w:tc>
          <w:tcPr>
            <w:tcW w:w="6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Class B</w:t>
            </w:r>
          </w:p>
        </w:tc>
        <w:tc>
          <w:tcPr>
            <w:tcW w:w="14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Accumulated</w:t>
            </w: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1" w:lineRule="exact"/>
              <w:rPr>
                <w:sz w:val="20"/>
                <w:szCs w:val="20"/>
                <w:color w:val="auto"/>
              </w:rPr>
            </w:pPr>
            <w:r>
              <w:rPr>
                <w:rFonts w:ascii="Arial" w:cs="Arial" w:eastAsia="Arial" w:hAnsi="Arial"/>
                <w:sz w:val="12"/>
                <w:szCs w:val="12"/>
                <w:b w:val="1"/>
                <w:bCs w:val="1"/>
                <w:color w:val="auto"/>
              </w:rPr>
              <w:t>no-par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1" w:lineRule="exact"/>
              <w:rPr>
                <w:sz w:val="20"/>
                <w:szCs w:val="20"/>
                <w:color w:val="auto"/>
              </w:rPr>
            </w:pPr>
            <w:r>
              <w:rPr>
                <w:rFonts w:ascii="Arial" w:cs="Arial" w:eastAsia="Arial" w:hAnsi="Arial"/>
                <w:sz w:val="12"/>
                <w:szCs w:val="12"/>
                <w:b w:val="1"/>
                <w:bCs w:val="1"/>
                <w:color w:val="auto"/>
              </w:rPr>
              <w:t>no-par</w:t>
            </w: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1" w:lineRule="exact"/>
              <w:rPr>
                <w:sz w:val="20"/>
                <w:szCs w:val="20"/>
                <w:color w:val="auto"/>
              </w:rPr>
            </w:pPr>
            <w:r>
              <w:rPr>
                <w:rFonts w:ascii="Arial" w:cs="Arial" w:eastAsia="Arial" w:hAnsi="Arial"/>
                <w:sz w:val="12"/>
                <w:szCs w:val="12"/>
                <w:b w:val="1"/>
                <w:bCs w:val="1"/>
                <w:color w:val="auto"/>
              </w:rPr>
              <w:t>Class A</w:t>
            </w: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1" w:lineRule="exact"/>
              <w:rPr>
                <w:sz w:val="20"/>
                <w:szCs w:val="20"/>
                <w:color w:val="auto"/>
              </w:rPr>
            </w:pPr>
            <w:r>
              <w:rPr>
                <w:rFonts w:ascii="Arial" w:cs="Arial" w:eastAsia="Arial" w:hAnsi="Arial"/>
                <w:sz w:val="12"/>
                <w:szCs w:val="12"/>
                <w:b w:val="1"/>
                <w:bCs w:val="1"/>
                <w:color w:val="auto"/>
              </w:rPr>
              <w:t>Class B</w:t>
            </w:r>
          </w:p>
        </w:tc>
        <w:tc>
          <w:tcPr>
            <w:tcW w:w="6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1"/>
        </w:trPr>
        <w:tc>
          <w:tcPr>
            <w:tcW w:w="1540" w:type="dxa"/>
            <w:vAlign w:val="bottom"/>
          </w:tcPr>
          <w:p>
            <w:pPr>
              <w:spacing w:after="0"/>
              <w:rPr>
                <w:sz w:val="20"/>
                <w:szCs w:val="20"/>
                <w:color w:val="auto"/>
              </w:rPr>
            </w:pPr>
            <w:r>
              <w:rPr>
                <w:rFonts w:ascii="Arial" w:cs="Arial" w:eastAsia="Arial" w:hAnsi="Arial"/>
                <w:sz w:val="12"/>
                <w:szCs w:val="12"/>
                <w:b w:val="1"/>
                <w:bCs w:val="1"/>
                <w:color w:val="auto"/>
              </w:rPr>
              <w:t>(in thousands, except</w:t>
            </w:r>
          </w:p>
        </w:tc>
        <w:tc>
          <w:tcPr>
            <w:tcW w:w="138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common stock</w:t>
            </w:r>
          </w:p>
        </w:tc>
        <w:tc>
          <w:tcPr>
            <w:tcW w:w="124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common stock</w:t>
            </w:r>
          </w:p>
        </w:tc>
        <w:tc>
          <w:tcPr>
            <w:tcW w:w="232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$0.001 par value common stock</w:t>
            </w:r>
          </w:p>
        </w:tc>
        <w:tc>
          <w:tcPr>
            <w:tcW w:w="18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$0.01 par value common stock</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paid-in</w:t>
            </w:r>
          </w:p>
        </w:tc>
        <w:tc>
          <w:tcPr>
            <w:tcW w:w="98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comprehensive</w:t>
            </w:r>
          </w:p>
        </w:tc>
        <w:tc>
          <w:tcPr>
            <w:tcW w:w="66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rPr>
              <w:t>Retained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4"/>
        </w:trPr>
        <w:tc>
          <w:tcPr>
            <w:tcW w:w="1540" w:type="dxa"/>
            <w:vAlign w:val="bottom"/>
          </w:tcPr>
          <w:p>
            <w:pPr>
              <w:spacing w:after="0"/>
              <w:rPr>
                <w:sz w:val="20"/>
                <w:szCs w:val="20"/>
                <w:color w:val="auto"/>
              </w:rPr>
            </w:pPr>
            <w:r>
              <w:rPr>
                <w:rFonts w:ascii="Arial" w:cs="Arial" w:eastAsia="Arial" w:hAnsi="Arial"/>
                <w:sz w:val="12"/>
                <w:szCs w:val="12"/>
                <w:b w:val="1"/>
                <w:bCs w:val="1"/>
                <w:color w:val="auto"/>
              </w:rPr>
              <w:t>share and per share data)</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3"/>
                <w:szCs w:val="13"/>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Shares</w:t>
            </w: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3"/>
                <w:szCs w:val="13"/>
                <w:color w:val="auto"/>
              </w:rPr>
            </w:pPr>
          </w:p>
        </w:tc>
        <w:tc>
          <w:tcPr>
            <w:tcW w:w="940" w:type="dxa"/>
            <w:vAlign w:val="bottom"/>
            <w:tcBorders>
              <w:top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Shares</w:t>
            </w:r>
          </w:p>
        </w:tc>
        <w:tc>
          <w:tcPr>
            <w:tcW w:w="3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loss</w:t>
            </w:r>
          </w:p>
        </w:tc>
        <w:tc>
          <w:tcPr>
            <w:tcW w:w="66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rPr>
              <w:t>earnings</w:t>
            </w:r>
          </w:p>
        </w:tc>
        <w:tc>
          <w:tcPr>
            <w:tcW w:w="26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01"/>
        </w:trPr>
        <w:tc>
          <w:tcPr>
            <w:tcW w:w="1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1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15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Balance at December 31,</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20"/>
              <w:spacing w:after="0" w:line="137" w:lineRule="exact"/>
              <w:rPr>
                <w:sz w:val="20"/>
                <w:szCs w:val="20"/>
                <w:color w:val="auto"/>
              </w:rPr>
            </w:pPr>
            <w:r>
              <w:rPr>
                <w:rFonts w:ascii="Arial" w:cs="Arial" w:eastAsia="Arial" w:hAnsi="Arial"/>
                <w:sz w:val="12"/>
                <w:szCs w:val="12"/>
                <w:color w:val="auto"/>
              </w:rPr>
              <w:t>2002</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18,017,994</w:t>
            </w: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2,940</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731,886</w:t>
            </w: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69</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59"/>
              <w:spacing w:after="0" w:line="137"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1,146</w:t>
            </w:r>
          </w:p>
        </w:tc>
        <w:tc>
          <w:tcPr>
            <w:tcW w:w="2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Redemption of</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(71,927)</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(7)</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(193)</w:t>
            </w:r>
          </w:p>
        </w:tc>
        <w:tc>
          <w:tcPr>
            <w:tcW w:w="260" w:type="dxa"/>
            <w:vAlign w:val="bottom"/>
          </w:tcPr>
          <w:p>
            <w:pPr>
              <w:spacing w:after="0"/>
              <w:rPr>
                <w:sz w:val="11"/>
                <w:szCs w:val="11"/>
                <w:color w:val="auto"/>
              </w:rPr>
            </w:pPr>
          </w:p>
        </w:tc>
        <w:tc>
          <w:tcPr>
            <w:tcW w:w="58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Issuance of common</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stock</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439,264</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39</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4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4,454</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4,454</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Balance at December 31,</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20"/>
              <w:spacing w:after="0" w:line="137" w:lineRule="exact"/>
              <w:rPr>
                <w:sz w:val="20"/>
                <w:szCs w:val="20"/>
                <w:color w:val="auto"/>
              </w:rPr>
            </w:pPr>
            <w:r>
              <w:rPr>
                <w:rFonts w:ascii="Arial" w:cs="Arial" w:eastAsia="Arial" w:hAnsi="Arial"/>
                <w:sz w:val="12"/>
                <w:szCs w:val="12"/>
                <w:color w:val="auto"/>
              </w:rPr>
              <w:t>2003</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18,017,994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2,940</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1,099,223</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101</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5,407</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8,448</w:t>
            </w:r>
          </w:p>
        </w:tc>
        <w:tc>
          <w:tcPr>
            <w:tcW w:w="0" w:type="dxa"/>
            <w:vAlign w:val="bottom"/>
          </w:tcPr>
          <w:p>
            <w:pPr>
              <w:spacing w:after="0"/>
              <w:rPr>
                <w:sz w:val="1"/>
                <w:szCs w:val="1"/>
                <w:color w:val="auto"/>
              </w:rPr>
            </w:pPr>
          </w:p>
        </w:tc>
      </w:tr>
      <w:tr>
        <w:trPr>
          <w:trHeight w:val="20"/>
        </w:trPr>
        <w:tc>
          <w:tcPr>
            <w:tcW w:w="1540" w:type="dxa"/>
            <w:vAlign w:val="bottom"/>
            <w:vMerge w:val="restart"/>
          </w:tcPr>
          <w:p>
            <w:pPr>
              <w:ind w:left="220"/>
              <w:spacing w:after="0"/>
              <w:rPr>
                <w:sz w:val="20"/>
                <w:szCs w:val="20"/>
                <w:color w:val="auto"/>
              </w:rPr>
            </w:pPr>
            <w:r>
              <w:rPr>
                <w:rFonts w:ascii="Arial" w:cs="Arial" w:eastAsia="Arial" w:hAnsi="Arial"/>
                <w:sz w:val="12"/>
                <w:szCs w:val="12"/>
                <w:color w:val="auto"/>
              </w:rPr>
              <w:t>Redemption of</w:t>
            </w: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(573,322)</w:t>
            </w:r>
          </w:p>
        </w:tc>
        <w:tc>
          <w:tcPr>
            <w:tcW w:w="100" w:type="dxa"/>
            <w:vAlign w:val="bottom"/>
          </w:tcPr>
          <w:p>
            <w:pPr>
              <w:spacing w:after="0"/>
              <w:rPr>
                <w:sz w:val="11"/>
                <w:szCs w:val="11"/>
                <w:color w:val="auto"/>
              </w:rPr>
            </w:pPr>
          </w:p>
        </w:tc>
        <w:tc>
          <w:tcPr>
            <w:tcW w:w="4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(53)</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(1,559)</w:t>
            </w:r>
          </w:p>
        </w:tc>
        <w:tc>
          <w:tcPr>
            <w:tcW w:w="260" w:type="dxa"/>
            <w:vAlign w:val="bottom"/>
          </w:tcPr>
          <w:p>
            <w:pPr>
              <w:spacing w:after="0"/>
              <w:rPr>
                <w:sz w:val="11"/>
                <w:szCs w:val="11"/>
                <w:color w:val="auto"/>
              </w:rPr>
            </w:pPr>
          </w:p>
        </w:tc>
        <w:tc>
          <w:tcPr>
            <w:tcW w:w="58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(1,612)</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Issuance of common</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stock</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122,584</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12</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Conversion of class A</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no-par common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stock to class A</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$0.001 par value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(18,017,994)</w:t>
            </w:r>
          </w:p>
        </w:tc>
        <w:tc>
          <w:tcPr>
            <w:tcW w:w="100" w:type="dxa"/>
            <w:vAlign w:val="bottom"/>
          </w:tcPr>
          <w:p>
            <w:pPr>
              <w:spacing w:after="0"/>
              <w:rPr>
                <w:sz w:val="11"/>
                <w:szCs w:val="11"/>
                <w:color w:val="auto"/>
              </w:rPr>
            </w:pPr>
          </w:p>
        </w:tc>
        <w:tc>
          <w:tcPr>
            <w:tcW w:w="52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(2,940)</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18,017,994</w:t>
            </w:r>
          </w:p>
        </w:tc>
        <w:tc>
          <w:tcPr>
            <w:tcW w:w="28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18</w:t>
            </w:r>
          </w:p>
        </w:tc>
        <w:tc>
          <w:tcPr>
            <w:tcW w:w="40" w:type="dxa"/>
            <w:vAlign w:val="bottom"/>
          </w:tcPr>
          <w:p>
            <w:pPr>
              <w:spacing w:after="0"/>
              <w:rPr>
                <w:sz w:val="11"/>
                <w:szCs w:val="11"/>
                <w:color w:val="auto"/>
              </w:rPr>
            </w:pP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2,922</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Conversion of class B</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no-par common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stock to class A</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$0.01 par value</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(648,485)</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(60)</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648,485</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Stock-based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compensation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expense</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4,310</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4,310</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Tax benefit related to</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the disqualifying</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disposition</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319</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319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540" w:type="dxa"/>
            <w:vAlign w:val="bottom"/>
          </w:tcPr>
          <w:p>
            <w:pPr>
              <w:ind w:left="220"/>
              <w:spacing w:after="0"/>
              <w:rPr>
                <w:sz w:val="20"/>
                <w:szCs w:val="20"/>
                <w:color w:val="auto"/>
              </w:rPr>
            </w:pPr>
            <w:r>
              <w:rPr>
                <w:rFonts w:ascii="Arial" w:cs="Arial" w:eastAsia="Arial" w:hAnsi="Arial"/>
                <w:sz w:val="12"/>
                <w:szCs w:val="12"/>
                <w:color w:val="auto"/>
              </w:rPr>
              <w:t>Net income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11,472</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11,472</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Balance at December 31,</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20"/>
              <w:spacing w:after="0" w:line="137" w:lineRule="exact"/>
              <w:rPr>
                <w:sz w:val="20"/>
                <w:szCs w:val="20"/>
                <w:color w:val="auto"/>
              </w:rPr>
            </w:pPr>
            <w:r>
              <w:rPr>
                <w:rFonts w:ascii="Arial" w:cs="Arial" w:eastAsia="Arial" w:hAnsi="Arial"/>
                <w:sz w:val="12"/>
                <w:szCs w:val="12"/>
                <w:color w:val="auto"/>
              </w:rPr>
              <w:t>2004</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18,666,479</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19</w:t>
            </w: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7,610</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15,320</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22,949</w:t>
            </w:r>
          </w:p>
        </w:tc>
        <w:tc>
          <w:tcPr>
            <w:tcW w:w="0" w:type="dxa"/>
            <w:vAlign w:val="bottom"/>
          </w:tcPr>
          <w:p>
            <w:pPr>
              <w:spacing w:after="0"/>
              <w:rPr>
                <w:sz w:val="1"/>
                <w:szCs w:val="1"/>
                <w:color w:val="auto"/>
              </w:rPr>
            </w:pPr>
          </w:p>
        </w:tc>
      </w:tr>
      <w:tr>
        <w:trPr>
          <w:trHeight w:val="20"/>
        </w:trPr>
        <w:tc>
          <w:tcPr>
            <w:tcW w:w="1540" w:type="dxa"/>
            <w:vAlign w:val="bottom"/>
            <w:vMerge w:val="restart"/>
          </w:tcPr>
          <w:p>
            <w:pPr>
              <w:ind w:left="220"/>
              <w:spacing w:after="0"/>
              <w:rPr>
                <w:sz w:val="20"/>
                <w:szCs w:val="20"/>
                <w:color w:val="auto"/>
              </w:rPr>
            </w:pPr>
            <w:r>
              <w:rPr>
                <w:rFonts w:ascii="Arial" w:cs="Arial" w:eastAsia="Arial" w:hAnsi="Arial"/>
                <w:sz w:val="12"/>
                <w:szCs w:val="12"/>
                <w:color w:val="auto"/>
              </w:rPr>
              <w:t>Issuance of common</w:t>
            </w: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340"/>
              <w:spacing w:after="0" w:line="131" w:lineRule="exact"/>
              <w:rPr>
                <w:sz w:val="20"/>
                <w:szCs w:val="20"/>
                <w:color w:val="auto"/>
              </w:rPr>
            </w:pPr>
            <w:r>
              <w:rPr>
                <w:rFonts w:ascii="Arial" w:cs="Arial" w:eastAsia="Arial" w:hAnsi="Arial"/>
                <w:sz w:val="12"/>
                <w:szCs w:val="12"/>
                <w:color w:val="auto"/>
              </w:rPr>
              <w:t>stock to acquire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Microscience Limited</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3,636,801</w:t>
            </w:r>
          </w:p>
        </w:tc>
        <w:tc>
          <w:tcPr>
            <w:tcW w:w="28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2"/>
                <w:szCs w:val="12"/>
                <w:color w:val="auto"/>
              </w:rPr>
              <w:t>3</w:t>
            </w:r>
          </w:p>
        </w:tc>
        <w:tc>
          <w:tcPr>
            <w:tcW w:w="40" w:type="dxa"/>
            <w:vAlign w:val="bottom"/>
          </w:tcPr>
          <w:p>
            <w:pPr>
              <w:spacing w:after="0"/>
              <w:rPr>
                <w:sz w:val="11"/>
                <w:szCs w:val="11"/>
                <w:color w:val="auto"/>
              </w:rPr>
            </w:pP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26,998</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8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27,001</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Exercise of stock</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options</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133,451</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Redemption of</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9"/>
              <w:spacing w:after="0" w:line="137" w:lineRule="exact"/>
              <w:rPr>
                <w:sz w:val="20"/>
                <w:szCs w:val="20"/>
                <w:color w:val="auto"/>
              </w:rPr>
            </w:pPr>
            <w:r>
              <w:rPr>
                <w:rFonts w:ascii="Arial" w:cs="Arial" w:eastAsia="Arial" w:hAnsi="Arial"/>
                <w:sz w:val="12"/>
                <w:szCs w:val="12"/>
                <w:color w:val="auto"/>
              </w:rPr>
              <w:t>(112,168)</w:t>
            </w:r>
          </w:p>
        </w:tc>
        <w:tc>
          <w:tcPr>
            <w:tcW w:w="340" w:type="dxa"/>
            <w:vAlign w:val="bottom"/>
          </w:tcPr>
          <w:p>
            <w:pPr>
              <w:spacing w:after="0"/>
              <w:rPr>
                <w:sz w:val="11"/>
                <w:szCs w:val="11"/>
                <w:color w:val="auto"/>
              </w:rPr>
            </w:pPr>
          </w:p>
        </w:tc>
        <w:tc>
          <w:tcPr>
            <w:tcW w:w="60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(1)</w:t>
            </w: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(28)</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7" w:lineRule="exact"/>
              <w:rPr>
                <w:sz w:val="20"/>
                <w:szCs w:val="20"/>
                <w:color w:val="auto"/>
              </w:rPr>
            </w:pPr>
            <w:r>
              <w:rPr>
                <w:rFonts w:ascii="Arial" w:cs="Arial" w:eastAsia="Arial" w:hAnsi="Arial"/>
                <w:sz w:val="12"/>
                <w:szCs w:val="12"/>
                <w:color w:val="auto"/>
              </w:rPr>
              <w:t>(308)</w:t>
            </w:r>
          </w:p>
        </w:tc>
        <w:tc>
          <w:tcPr>
            <w:tcW w:w="260" w:type="dxa"/>
            <w:vAlign w:val="bottom"/>
          </w:tcPr>
          <w:p>
            <w:pPr>
              <w:spacing w:after="0"/>
              <w:rPr>
                <w:sz w:val="11"/>
                <w:szCs w:val="11"/>
                <w:color w:val="auto"/>
              </w:rPr>
            </w:pPr>
          </w:p>
        </w:tc>
        <w:tc>
          <w:tcPr>
            <w:tcW w:w="58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Forfeiture of stock</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options</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1"/>
        </w:trPr>
        <w:tc>
          <w:tcPr>
            <w:tcW w:w="1540" w:type="dxa"/>
            <w:vAlign w:val="bottom"/>
          </w:tcPr>
          <w:p>
            <w:pPr>
              <w:ind w:left="220"/>
              <w:spacing w:after="0" w:line="131" w:lineRule="exact"/>
              <w:rPr>
                <w:sz w:val="20"/>
                <w:szCs w:val="20"/>
                <w:color w:val="auto"/>
              </w:rPr>
            </w:pPr>
            <w:r>
              <w:rPr>
                <w:rFonts w:ascii="Arial" w:cs="Arial" w:eastAsia="Arial" w:hAnsi="Arial"/>
                <w:sz w:val="12"/>
                <w:szCs w:val="12"/>
                <w:color w:val="auto"/>
              </w:rPr>
              <w:t>Payment of dividend</w:t>
            </w:r>
          </w:p>
        </w:tc>
        <w:tc>
          <w:tcPr>
            <w:tcW w:w="7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1"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2"/>
                <w:szCs w:val="12"/>
                <w:color w:val="auto"/>
              </w:rPr>
              <w:t>(5,400)</w:t>
            </w:r>
          </w:p>
        </w:tc>
        <w:tc>
          <w:tcPr>
            <w:tcW w:w="26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220"/>
              <w:spacing w:after="0" w:line="131" w:lineRule="exact"/>
              <w:rPr>
                <w:sz w:val="20"/>
                <w:szCs w:val="20"/>
                <w:color w:val="auto"/>
              </w:rPr>
            </w:pPr>
            <w:r>
              <w:rPr>
                <w:rFonts w:ascii="Arial" w:cs="Arial" w:eastAsia="Arial" w:hAnsi="Arial"/>
                <w:sz w:val="12"/>
                <w:szCs w:val="12"/>
                <w:color w:val="auto"/>
              </w:rPr>
              <w:t>Net income</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15,784</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2"/>
                <w:szCs w:val="12"/>
                <w:color w:val="auto"/>
              </w:rPr>
              <w:t>15,784</w:t>
            </w: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Foreign currency</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translation</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gridSpan w:val="2"/>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(276)</w:t>
            </w:r>
          </w:p>
        </w:tc>
        <w:tc>
          <w:tcPr>
            <w:tcW w:w="160" w:type="dxa"/>
            <w:vAlign w:val="bottom"/>
          </w:tcPr>
          <w:p>
            <w:pPr>
              <w:spacing w:after="0"/>
              <w:rPr>
                <w:sz w:val="12"/>
                <w:szCs w:val="12"/>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8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220"/>
              <w:spacing w:after="0" w:line="131" w:lineRule="exact"/>
              <w:rPr>
                <w:sz w:val="20"/>
                <w:szCs w:val="20"/>
                <w:color w:val="auto"/>
              </w:rPr>
            </w:pPr>
            <w:r>
              <w:rPr>
                <w:rFonts w:ascii="Arial" w:cs="Arial" w:eastAsia="Arial" w:hAnsi="Arial"/>
                <w:sz w:val="12"/>
                <w:szCs w:val="12"/>
                <w:color w:val="auto"/>
              </w:rPr>
              <w:t>Comprehensive income</w:t>
            </w:r>
          </w:p>
        </w:tc>
        <w:tc>
          <w:tcPr>
            <w:tcW w:w="7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1"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1"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2"/>
                <w:szCs w:val="12"/>
                <w:color w:val="auto"/>
              </w:rPr>
              <w:t>15,508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2"/>
                <w:szCs w:val="12"/>
                <w:color w:val="auto"/>
              </w:rPr>
              <w:t>Balance at December 31,</w:t>
            </w: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540" w:type="dxa"/>
            <w:vAlign w:val="bottom"/>
          </w:tcPr>
          <w:p>
            <w:pPr>
              <w:ind w:left="220"/>
              <w:spacing w:after="0"/>
              <w:rPr>
                <w:sz w:val="20"/>
                <w:szCs w:val="20"/>
                <w:color w:val="auto"/>
              </w:rPr>
            </w:pPr>
            <w:r>
              <w:rPr>
                <w:rFonts w:ascii="Arial" w:cs="Arial" w:eastAsia="Arial" w:hAnsi="Arial"/>
                <w:sz w:val="12"/>
                <w:szCs w:val="12"/>
                <w:color w:val="auto"/>
              </w:rPr>
              <w:t>2005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22,303,280</w:t>
            </w: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21,283</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34,595</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(276)</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25,396</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59,737</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Redemption of</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common stock</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(221)</w:t>
            </w: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125"/>
        </w:trPr>
        <w:tc>
          <w:tcPr>
            <w:tcW w:w="1540" w:type="dxa"/>
            <w:vAlign w:val="bottom"/>
          </w:tcPr>
          <w:p>
            <w:pPr>
              <w:ind w:left="220"/>
              <w:spacing w:after="0" w:line="125" w:lineRule="exact"/>
              <w:rPr>
                <w:sz w:val="20"/>
                <w:szCs w:val="20"/>
                <w:color w:val="auto"/>
              </w:rPr>
            </w:pPr>
            <w:r>
              <w:rPr>
                <w:rFonts w:ascii="Arial" w:cs="Arial" w:eastAsia="Arial" w:hAnsi="Arial"/>
                <w:sz w:val="12"/>
                <w:szCs w:val="12"/>
                <w:color w:val="auto"/>
              </w:rPr>
              <w:t>Issuance of common</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tcPr>
          <w:p>
            <w:pPr>
              <w:ind w:left="340"/>
              <w:spacing w:after="0" w:line="137" w:lineRule="exact"/>
              <w:rPr>
                <w:sz w:val="20"/>
                <w:szCs w:val="20"/>
                <w:color w:val="auto"/>
              </w:rPr>
            </w:pPr>
            <w:r>
              <w:rPr>
                <w:rFonts w:ascii="Arial" w:cs="Arial" w:eastAsia="Arial" w:hAnsi="Arial"/>
                <w:sz w:val="12"/>
                <w:szCs w:val="12"/>
                <w:color w:val="auto"/>
              </w:rPr>
              <w:t>stock</w:t>
            </w:r>
          </w:p>
        </w:tc>
        <w:tc>
          <w:tcPr>
            <w:tcW w:w="7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7" w:lineRule="exact"/>
              <w:rPr>
                <w:sz w:val="20"/>
                <w:szCs w:val="20"/>
                <w:color w:val="auto"/>
              </w:rPr>
            </w:pPr>
            <w:r>
              <w:rPr>
                <w:rFonts w:ascii="Arial" w:cs="Arial" w:eastAsia="Arial" w:hAnsi="Arial"/>
                <w:sz w:val="12"/>
                <w:szCs w:val="12"/>
                <w:color w:val="auto"/>
              </w:rPr>
              <w:t>65,057</w:t>
            </w:r>
          </w:p>
        </w:tc>
        <w:tc>
          <w:tcPr>
            <w:tcW w:w="34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Arial" w:cs="Arial" w:eastAsia="Arial" w:hAnsi="Arial"/>
                <w:sz w:val="12"/>
                <w:szCs w:val="12"/>
                <w:color w:val="auto"/>
              </w:rPr>
              <w:t>42</w:t>
            </w:r>
          </w:p>
        </w:tc>
        <w:tc>
          <w:tcPr>
            <w:tcW w:w="12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Stock-based</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540" w:type="dxa"/>
            <w:vAlign w:val="bottom"/>
            <w:shd w:val="clear" w:color="auto" w:fill="CCEEFF"/>
          </w:tcPr>
          <w:p>
            <w:pPr>
              <w:ind w:left="340"/>
              <w:spacing w:after="0" w:line="131" w:lineRule="exact"/>
              <w:rPr>
                <w:sz w:val="20"/>
                <w:szCs w:val="20"/>
                <w:color w:val="auto"/>
              </w:rPr>
            </w:pPr>
            <w:r>
              <w:rPr>
                <w:rFonts w:ascii="Arial" w:cs="Arial" w:eastAsia="Arial" w:hAnsi="Arial"/>
                <w:sz w:val="12"/>
                <w:szCs w:val="12"/>
                <w:color w:val="auto"/>
              </w:rPr>
              <w:t>compensation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expense</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442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442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540" w:type="dxa"/>
            <w:vAlign w:val="bottom"/>
          </w:tcPr>
          <w:p>
            <w:pPr>
              <w:ind w:left="220"/>
              <w:spacing w:after="0" w:line="131" w:lineRule="exact"/>
              <w:rPr>
                <w:sz w:val="20"/>
                <w:szCs w:val="20"/>
                <w:color w:val="auto"/>
              </w:rPr>
            </w:pPr>
            <w:r>
              <w:rPr>
                <w:rFonts w:ascii="Arial" w:cs="Arial" w:eastAsia="Arial" w:hAnsi="Arial"/>
                <w:sz w:val="12"/>
                <w:szCs w:val="12"/>
                <w:color w:val="auto"/>
              </w:rPr>
              <w:t>Net loss</w:t>
            </w:r>
          </w:p>
        </w:tc>
        <w:tc>
          <w:tcPr>
            <w:tcW w:w="7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80" w:type="dxa"/>
            <w:vAlign w:val="bottom"/>
            <w:gridSpan w:val="2"/>
          </w:tcPr>
          <w:p>
            <w:pPr>
              <w:jc w:val="right"/>
              <w:ind w:right="80"/>
              <w:spacing w:after="0" w:line="131" w:lineRule="exact"/>
              <w:rPr>
                <w:sz w:val="20"/>
                <w:szCs w:val="20"/>
                <w:color w:val="auto"/>
              </w:rPr>
            </w:pPr>
            <w:r>
              <w:rPr>
                <w:rFonts w:ascii="Arial" w:cs="Arial" w:eastAsia="Arial" w:hAnsi="Arial"/>
                <w:sz w:val="12"/>
                <w:szCs w:val="12"/>
                <w:color w:val="auto"/>
              </w:rPr>
              <w:t>—</w:t>
            </w:r>
          </w:p>
        </w:tc>
        <w:tc>
          <w:tcPr>
            <w:tcW w:w="1440" w:type="dxa"/>
            <w:vAlign w:val="bottom"/>
          </w:tcPr>
          <w:p>
            <w:pPr>
              <w:jc w:val="right"/>
              <w:ind w:right="19"/>
              <w:spacing w:after="0" w:line="131" w:lineRule="exact"/>
              <w:rPr>
                <w:sz w:val="20"/>
                <w:szCs w:val="20"/>
                <w:color w:val="auto"/>
              </w:rPr>
            </w:pPr>
            <w:r>
              <w:rPr>
                <w:rFonts w:ascii="Arial" w:cs="Arial" w:eastAsia="Arial" w:hAnsi="Arial"/>
                <w:sz w:val="12"/>
                <w:szCs w:val="12"/>
                <w:color w:val="auto"/>
              </w:rPr>
              <w:t>—</w:t>
            </w:r>
          </w:p>
        </w:tc>
        <w:tc>
          <w:tcPr>
            <w:tcW w:w="280" w:type="dxa"/>
            <w:vAlign w:val="bottom"/>
          </w:tcPr>
          <w:p>
            <w:pPr>
              <w:spacing w:after="0"/>
              <w:rPr>
                <w:sz w:val="11"/>
                <w:szCs w:val="11"/>
                <w:color w:val="auto"/>
              </w:rPr>
            </w:pPr>
          </w:p>
        </w:tc>
        <w:tc>
          <w:tcPr>
            <w:tcW w:w="600" w:type="dxa"/>
            <w:vAlign w:val="bottom"/>
            <w:gridSpan w:val="2"/>
          </w:tcPr>
          <w:p>
            <w:pPr>
              <w:jc w:val="right"/>
              <w:ind w:right="40"/>
              <w:spacing w:after="0" w:line="131"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9"/>
              <w:spacing w:after="0" w:line="131" w:lineRule="exact"/>
              <w:rPr>
                <w:sz w:val="20"/>
                <w:szCs w:val="20"/>
                <w:color w:val="auto"/>
              </w:rPr>
            </w:pPr>
            <w:r>
              <w:rPr>
                <w:rFonts w:ascii="Arial" w:cs="Arial" w:eastAsia="Arial" w:hAnsi="Arial"/>
                <w:sz w:val="12"/>
                <w:szCs w:val="12"/>
                <w:color w:val="auto"/>
              </w:rPr>
              <w:t>—</w:t>
            </w:r>
          </w:p>
        </w:tc>
        <w:tc>
          <w:tcPr>
            <w:tcW w:w="340" w:type="dxa"/>
            <w:vAlign w:val="bottom"/>
          </w:tcPr>
          <w:p>
            <w:pPr>
              <w:spacing w:after="0"/>
              <w:rPr>
                <w:sz w:val="11"/>
                <w:szCs w:val="11"/>
                <w:color w:val="auto"/>
              </w:rPr>
            </w:pPr>
          </w:p>
        </w:tc>
        <w:tc>
          <w:tcPr>
            <w:tcW w:w="600" w:type="dxa"/>
            <w:vAlign w:val="bottom"/>
            <w:gridSpan w:val="2"/>
          </w:tcPr>
          <w:p>
            <w:pPr>
              <w:jc w:val="right"/>
              <w:ind w:right="60"/>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2"/>
                <w:szCs w:val="12"/>
                <w:color w:val="auto"/>
              </w:rPr>
              <w:t>(3,336)</w:t>
            </w:r>
          </w:p>
        </w:tc>
        <w:tc>
          <w:tcPr>
            <w:tcW w:w="26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2"/>
                <w:szCs w:val="12"/>
                <w:color w:val="auto"/>
              </w:rPr>
              <w:t>(3,336)</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ind w:left="220"/>
              <w:spacing w:after="0" w:line="125" w:lineRule="exact"/>
              <w:rPr>
                <w:sz w:val="20"/>
                <w:szCs w:val="20"/>
                <w:color w:val="auto"/>
              </w:rPr>
            </w:pPr>
            <w:r>
              <w:rPr>
                <w:rFonts w:ascii="Arial" w:cs="Arial" w:eastAsia="Arial" w:hAnsi="Arial"/>
                <w:sz w:val="12"/>
                <w:szCs w:val="12"/>
                <w:color w:val="auto"/>
              </w:rPr>
              <w:t>Foreign currency</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340"/>
              <w:spacing w:after="0" w:line="137" w:lineRule="exact"/>
              <w:rPr>
                <w:sz w:val="20"/>
                <w:szCs w:val="20"/>
                <w:color w:val="auto"/>
              </w:rPr>
            </w:pPr>
            <w:r>
              <w:rPr>
                <w:rFonts w:ascii="Arial" w:cs="Arial" w:eastAsia="Arial" w:hAnsi="Arial"/>
                <w:sz w:val="12"/>
                <w:szCs w:val="12"/>
                <w:color w:val="auto"/>
              </w:rPr>
              <w:t>translation</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94</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2"/>
                <w:szCs w:val="12"/>
                <w:color w:val="auto"/>
              </w:rPr>
              <w:t>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540" w:type="dxa"/>
            <w:vAlign w:val="bottom"/>
          </w:tcPr>
          <w:p>
            <w:pPr>
              <w:ind w:left="220"/>
              <w:spacing w:after="0"/>
              <w:rPr>
                <w:sz w:val="20"/>
                <w:szCs w:val="20"/>
                <w:color w:val="auto"/>
              </w:rPr>
            </w:pPr>
            <w:r>
              <w:rPr>
                <w:rFonts w:ascii="Arial" w:cs="Arial" w:eastAsia="Arial" w:hAnsi="Arial"/>
                <w:sz w:val="12"/>
                <w:szCs w:val="12"/>
                <w:color w:val="auto"/>
              </w:rPr>
              <w:t>Comprehensive loss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(3,242)</w:t>
            </w:r>
          </w:p>
        </w:tc>
        <w:tc>
          <w:tcPr>
            <w:tcW w:w="0" w:type="dxa"/>
            <w:vAlign w:val="bottom"/>
          </w:tcPr>
          <w:p>
            <w:pPr>
              <w:spacing w:after="0"/>
              <w:rPr>
                <w:sz w:val="1"/>
                <w:szCs w:val="1"/>
                <w:color w:val="auto"/>
              </w:rPr>
            </w:pPr>
          </w:p>
        </w:tc>
      </w:tr>
      <w:tr>
        <w:trPr>
          <w:trHeight w:val="125"/>
        </w:trPr>
        <w:tc>
          <w:tcPr>
            <w:tcW w:w="15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Balance at September 30,</w:t>
            </w: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1540" w:type="dxa"/>
            <w:vAlign w:val="bottom"/>
            <w:shd w:val="clear" w:color="auto" w:fill="CCEEFF"/>
          </w:tcPr>
          <w:p>
            <w:pPr>
              <w:ind w:left="220"/>
              <w:spacing w:after="0" w:line="137" w:lineRule="exact"/>
              <w:rPr>
                <w:sz w:val="20"/>
                <w:szCs w:val="20"/>
                <w:color w:val="auto"/>
              </w:rPr>
            </w:pPr>
            <w:r>
              <w:rPr>
                <w:rFonts w:ascii="Arial" w:cs="Arial" w:eastAsia="Arial" w:hAnsi="Arial"/>
                <w:sz w:val="12"/>
                <w:szCs w:val="12"/>
                <w:color w:val="auto"/>
              </w:rPr>
              <w:t>2006 (unaudited)</w:t>
            </w:r>
          </w:p>
        </w:tc>
        <w:tc>
          <w:tcPr>
            <w:tcW w:w="7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80"/>
              <w:spacing w:after="0" w:line="137" w:lineRule="exact"/>
              <w:rPr>
                <w:sz w:val="20"/>
                <w:szCs w:val="20"/>
                <w:color w:val="auto"/>
              </w:rPr>
            </w:pPr>
            <w:r>
              <w:rPr>
                <w:rFonts w:ascii="Arial" w:cs="Arial" w:eastAsia="Arial" w:hAnsi="Arial"/>
                <w:sz w:val="12"/>
                <w:szCs w:val="12"/>
                <w:color w:val="auto"/>
              </w:rPr>
              <w:t>—</w:t>
            </w:r>
          </w:p>
        </w:tc>
        <w:tc>
          <w:tcPr>
            <w:tcW w:w="144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22,303,280</w:t>
            </w:r>
          </w:p>
        </w:tc>
        <w:tc>
          <w:tcPr>
            <w:tcW w:w="280" w:type="dxa"/>
            <w:vAlign w:val="bottom"/>
            <w:shd w:val="clear" w:color="auto" w:fill="CCEEFF"/>
          </w:tcPr>
          <w:p>
            <w:pPr>
              <w:jc w:val="right"/>
              <w:ind w:right="59"/>
              <w:spacing w:after="0" w:line="137"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22</w:t>
            </w: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179"/>
              <w:spacing w:after="0" w:line="137" w:lineRule="exact"/>
              <w:rPr>
                <w:sz w:val="20"/>
                <w:szCs w:val="20"/>
                <w:color w:val="auto"/>
              </w:rPr>
            </w:pPr>
            <w:r>
              <w:rPr>
                <w:rFonts w:ascii="Arial" w:cs="Arial" w:eastAsia="Arial" w:hAnsi="Arial"/>
                <w:sz w:val="12"/>
                <w:szCs w:val="12"/>
                <w:color w:val="auto"/>
              </w:rPr>
              <w:t>86,340</w:t>
            </w:r>
          </w:p>
        </w:tc>
        <w:tc>
          <w:tcPr>
            <w:tcW w:w="3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35,079</w:t>
            </w:r>
          </w:p>
        </w:tc>
        <w:tc>
          <w:tcPr>
            <w:tcW w:w="12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(182)</w:t>
            </w:r>
          </w:p>
        </w:tc>
        <w:tc>
          <w:tcPr>
            <w:tcW w:w="160" w:type="dxa"/>
            <w:vAlign w:val="bottom"/>
            <w:shd w:val="clear" w:color="auto" w:fill="CCEEFF"/>
          </w:tcPr>
          <w:p>
            <w:pPr>
              <w:jc w:val="right"/>
              <w:spacing w:after="0" w:line="137"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19"/>
              <w:spacing w:after="0" w:line="137" w:lineRule="exact"/>
              <w:rPr>
                <w:sz w:val="20"/>
                <w:szCs w:val="20"/>
                <w:color w:val="auto"/>
              </w:rPr>
            </w:pPr>
            <w:r>
              <w:rPr>
                <w:rFonts w:ascii="Arial" w:cs="Arial" w:eastAsia="Arial" w:hAnsi="Arial"/>
                <w:sz w:val="12"/>
                <w:szCs w:val="12"/>
                <w:color w:val="auto"/>
              </w:rPr>
              <w:t>21,839</w:t>
            </w:r>
          </w:p>
        </w:tc>
        <w:tc>
          <w:tcPr>
            <w:tcW w:w="260" w:type="dxa"/>
            <w:vAlign w:val="bottom"/>
            <w:shd w:val="clear" w:color="auto" w:fill="CCEEFF"/>
          </w:tcPr>
          <w:p>
            <w:pPr>
              <w:ind w:left="20"/>
              <w:spacing w:after="0" w:line="137"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2"/>
                <w:szCs w:val="12"/>
                <w:color w:val="auto"/>
              </w:rPr>
              <w:t>56,759</w:t>
            </w:r>
          </w:p>
        </w:tc>
        <w:tc>
          <w:tcPr>
            <w:tcW w:w="0" w:type="dxa"/>
            <w:vAlign w:val="bottom"/>
          </w:tcPr>
          <w:p>
            <w:pPr>
              <w:spacing w:after="0"/>
              <w:rPr>
                <w:sz w:val="1"/>
                <w:szCs w:val="1"/>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926" w:right="13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Consolidated statements of cash flows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Nine months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right"/>
              <w:ind w:right="100"/>
              <w:spacing w:after="0" w:line="157" w:lineRule="exact"/>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6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77"/>
        </w:trPr>
        <w:tc>
          <w:tcPr>
            <w:tcW w:w="5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2004</w:t>
            </w:r>
          </w:p>
        </w:tc>
        <w:tc>
          <w:tcPr>
            <w:tcW w:w="2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Net income (loss)</w:t>
            </w:r>
          </w:p>
        </w:tc>
        <w:tc>
          <w:tcPr>
            <w:tcW w:w="2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4,454</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11,472</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15,784</w:t>
            </w:r>
          </w:p>
        </w:tc>
        <w:tc>
          <w:tcPr>
            <w:tcW w:w="160" w:type="dxa"/>
            <w:vAlign w:val="bottom"/>
          </w:tcPr>
          <w:p>
            <w:pPr>
              <w:spacing w:after="0"/>
              <w:rPr>
                <w:sz w:val="13"/>
                <w:szCs w:val="13"/>
                <w:color w:val="auto"/>
              </w:rPr>
            </w:pPr>
          </w:p>
        </w:tc>
        <w:tc>
          <w:tcPr>
            <w:tcW w:w="2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6,252</w:t>
            </w:r>
          </w:p>
        </w:tc>
        <w:tc>
          <w:tcPr>
            <w:tcW w:w="4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(3,336)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(loss) to net cash provided by (used in) operating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00" w:type="dxa"/>
            <w:vAlign w:val="bottom"/>
            <w:shd w:val="clear" w:color="auto" w:fill="CCEEFF"/>
          </w:tcPr>
          <w:p>
            <w:pPr>
              <w:ind w:left="320"/>
              <w:spacing w:after="0" w:line="153" w:lineRule="exact"/>
              <w:rPr>
                <w:sz w:val="20"/>
                <w:szCs w:val="20"/>
                <w:color w:val="auto"/>
              </w:rPr>
            </w:pPr>
            <w:r>
              <w:rPr>
                <w:rFonts w:ascii="Arial" w:cs="Arial" w:eastAsia="Arial" w:hAnsi="Arial"/>
                <w:sz w:val="14"/>
                <w:szCs w:val="14"/>
                <w:color w:val="auto"/>
              </w:rPr>
              <w:t>activities (net of effects of acquisitions):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Stock-based compensation expense (credit)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4,310</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442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Non-cash gain on settlement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(3,819)</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1,214</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1,867</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3,549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2,495</w:t>
            </w:r>
          </w:p>
        </w:tc>
        <w:tc>
          <w:tcPr>
            <w:tcW w:w="4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3,265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(467)</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(418)</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9"/>
              </w:rPr>
              <w:t>(10,968)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95"/>
              </w:rPr>
              <w:t>(10,313)</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Other obligations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3"/>
                <w:szCs w:val="13"/>
                <w:color w:val="auto"/>
              </w:rPr>
            </w:pPr>
          </w:p>
        </w:tc>
        <w:tc>
          <w:tcPr>
            <w:tcW w:w="6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Loss on disposal of property and equipment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31</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Purchased in-process research and development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1,824</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26,575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26,575</w:t>
            </w:r>
          </w:p>
        </w:tc>
        <w:tc>
          <w:tcPr>
            <w:tcW w:w="4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477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400"/>
              <w:spacing w:after="0" w:line="157" w:lineRule="exact"/>
              <w:rPr>
                <w:sz w:val="20"/>
                <w:szCs w:val="20"/>
                <w:color w:val="auto"/>
              </w:rPr>
            </w:pPr>
            <w:r>
              <w:rPr>
                <w:rFonts w:ascii="Arial" w:cs="Arial" w:eastAsia="Arial" w:hAnsi="Arial"/>
                <w:sz w:val="14"/>
                <w:szCs w:val="14"/>
                <w:color w:val="auto"/>
              </w:rPr>
              <w:t>Cash payment on State of Michigan obligation</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540</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400"/>
              <w:spacing w:after="0" w:line="157" w:lineRule="exact"/>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Accounts receivable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(528)</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w w:val="99"/>
              </w:rPr>
              <w:t>(15,664)</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16,107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16,299</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600"/>
              <w:spacing w:after="0" w:line="157" w:lineRule="exact"/>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(4,656)</w:t>
            </w:r>
          </w:p>
        </w:tc>
        <w:tc>
          <w:tcPr>
            <w:tcW w:w="200" w:type="dxa"/>
            <w:vAlign w:val="bottom"/>
          </w:tcPr>
          <w:p>
            <w:pPr>
              <w:spacing w:after="0"/>
              <w:rPr>
                <w:sz w:val="13"/>
                <w:szCs w:val="13"/>
                <w:color w:val="auto"/>
              </w:rPr>
            </w:pPr>
          </w:p>
        </w:tc>
        <w:tc>
          <w:tcPr>
            <w:tcW w:w="660" w:type="dxa"/>
            <w:vAlign w:val="bottom"/>
          </w:tcPr>
          <w:p>
            <w:pPr>
              <w:jc w:val="right"/>
              <w:ind w:right="50"/>
              <w:spacing w:after="0" w:line="157" w:lineRule="exact"/>
              <w:rPr>
                <w:sz w:val="20"/>
                <w:szCs w:val="20"/>
                <w:color w:val="auto"/>
              </w:rPr>
            </w:pPr>
            <w:r>
              <w:rPr>
                <w:rFonts w:ascii="Arial" w:cs="Arial" w:eastAsia="Arial" w:hAnsi="Arial"/>
                <w:sz w:val="14"/>
                <w:szCs w:val="14"/>
                <w:color w:val="auto"/>
              </w:rPr>
              <w:t>(1,609)</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(3,189)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(3,009)</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w w:val="99"/>
              </w:rPr>
              <w:t>(11,627)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Income taxes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(1,713)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5,794</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(2,390)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(2,509)</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600"/>
              <w:spacing w:after="0" w:line="157" w:lineRule="exact"/>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(244)</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(865)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(939)</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(3,653)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983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2,472</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5,463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(1,275)</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6,146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600"/>
              <w:spacing w:after="0" w:line="157" w:lineRule="exact"/>
              <w:rPr>
                <w:sz w:val="20"/>
                <w:szCs w:val="20"/>
                <w:color w:val="auto"/>
              </w:rPr>
            </w:pPr>
            <w:r>
              <w:rPr>
                <w:rFonts w:ascii="Arial" w:cs="Arial" w:eastAsia="Arial" w:hAnsi="Arial"/>
                <w:sz w:val="14"/>
                <w:szCs w:val="14"/>
                <w:color w:val="auto"/>
              </w:rPr>
              <w:t>Accrued compensation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(583)</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585</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2,466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(1,163)</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Other current liabilities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(1,617)</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44</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619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103</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60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97"/>
              </w:rPr>
              <w:t>11,852</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3,869</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99"/>
              </w:rPr>
              <w:t>(10,916)</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(10,916)</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4,639</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w w:val="97"/>
              </w:rPr>
              <w:t>11,072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9,196</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42,250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21,631</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(8,126)</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Purchases of property, plant and equipment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(4,123)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w w:val="99"/>
              </w:rPr>
              <w:t>(17,072)</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(6,532)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(2,300)</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(32,333)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Acquisitions, net of cash received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(3,794)</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(559)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Restricted cash deposits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(1,250)</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1,250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180"/>
              <w:spacing w:after="0"/>
              <w:rPr>
                <w:sz w:val="20"/>
                <w:szCs w:val="20"/>
                <w:color w:val="auto"/>
              </w:rPr>
            </w:pPr>
            <w:r>
              <w:rPr>
                <w:rFonts w:ascii="Arial" w:cs="Arial" w:eastAsia="Arial" w:hAnsi="Arial"/>
                <w:sz w:val="14"/>
                <w:szCs w:val="14"/>
                <w:color w:val="auto"/>
              </w:rPr>
              <w:t>Proceeds from investment maturities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147</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(7,917)</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w w:val="99"/>
              </w:rPr>
              <w:t>(18,175)</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(5,841)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(2,317)</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(32,741)</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Proceeds from long-term debt and lines of credit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172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10,992</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35,853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Proceeds from notes payable to employees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947</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123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123</w:t>
            </w:r>
          </w:p>
        </w:tc>
        <w:tc>
          <w:tcPr>
            <w:tcW w:w="400" w:type="dxa"/>
            <w:vAlign w:val="bottom"/>
          </w:tcPr>
          <w:p>
            <w:pPr>
              <w:spacing w:after="0"/>
              <w:rPr>
                <w:sz w:val="13"/>
                <w:szCs w:val="13"/>
                <w:color w:val="auto"/>
              </w:rPr>
            </w:pPr>
          </w:p>
        </w:tc>
        <w:tc>
          <w:tcPr>
            <w:tcW w:w="5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Repayments on product supply and royalty obligations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(900)</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(2,351)</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Issuance of Class B 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39</w:t>
            </w:r>
          </w:p>
        </w:tc>
        <w:tc>
          <w:tcPr>
            <w:tcW w:w="200" w:type="dxa"/>
            <w:vAlign w:val="bottom"/>
          </w:tcPr>
          <w:p>
            <w:pPr>
              <w:spacing w:after="0"/>
              <w:rPr>
                <w:sz w:val="13"/>
                <w:szCs w:val="13"/>
                <w:color w:val="auto"/>
              </w:rPr>
            </w:pPr>
          </w:p>
        </w:tc>
        <w:tc>
          <w:tcPr>
            <w:tcW w:w="66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12</w:t>
            </w:r>
          </w:p>
        </w:tc>
        <w:tc>
          <w:tcPr>
            <w:tcW w:w="2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33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500" w:type="dxa"/>
            <w:vAlign w:val="bottom"/>
          </w:tcPr>
          <w:p>
            <w:pPr>
              <w:jc w:val="right"/>
              <w:spacing w:after="0" w:line="157" w:lineRule="exact"/>
              <w:rPr>
                <w:sz w:val="20"/>
                <w:szCs w:val="20"/>
                <w:color w:val="auto"/>
              </w:rPr>
            </w:pPr>
            <w:r>
              <w:rPr>
                <w:rFonts w:ascii="Arial" w:cs="Arial" w:eastAsia="Arial" w:hAnsi="Arial"/>
                <w:sz w:val="14"/>
                <w:szCs w:val="14"/>
                <w:color w:val="auto"/>
              </w:rPr>
              <w:t>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Redemption of Class B common stock</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(665)</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(339)</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tcPr>
          <w:p>
            <w:pPr>
              <w:ind w:left="180"/>
              <w:spacing w:after="0" w:line="157" w:lineRule="exact"/>
              <w:rPr>
                <w:sz w:val="20"/>
                <w:szCs w:val="20"/>
                <w:color w:val="auto"/>
              </w:rPr>
            </w:pPr>
            <w:r>
              <w:rPr>
                <w:rFonts w:ascii="Arial" w:cs="Arial" w:eastAsia="Arial" w:hAnsi="Arial"/>
                <w:sz w:val="14"/>
                <w:szCs w:val="14"/>
                <w:color w:val="auto"/>
              </w:rPr>
              <w:t>Principal payments on long-term debt and lines of credit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50"/>
              <w:spacing w:after="0" w:line="157" w:lineRule="exact"/>
              <w:rPr>
                <w:sz w:val="20"/>
                <w:szCs w:val="20"/>
                <w:color w:val="auto"/>
              </w:rPr>
            </w:pPr>
            <w:r>
              <w:rPr>
                <w:rFonts w:ascii="Arial" w:cs="Arial" w:eastAsia="Arial" w:hAnsi="Arial"/>
                <w:sz w:val="14"/>
                <w:szCs w:val="14"/>
                <w:color w:val="auto"/>
              </w:rPr>
              <w:t>(38)</w:t>
            </w:r>
          </w:p>
        </w:tc>
        <w:tc>
          <w:tcPr>
            <w:tcW w:w="200" w:type="dxa"/>
            <w:vAlign w:val="bottom"/>
          </w:tcPr>
          <w:p>
            <w:pPr>
              <w:spacing w:after="0"/>
              <w:rPr>
                <w:sz w:val="13"/>
                <w:szCs w:val="13"/>
                <w:color w:val="auto"/>
              </w:rPr>
            </w:pPr>
          </w:p>
        </w:tc>
        <w:tc>
          <w:tcPr>
            <w:tcW w:w="660" w:type="dxa"/>
            <w:vAlign w:val="bottom"/>
          </w:tcPr>
          <w:p>
            <w:pPr>
              <w:jc w:val="right"/>
              <w:ind w:right="50"/>
              <w:spacing w:after="0" w:line="157" w:lineRule="exact"/>
              <w:rPr>
                <w:sz w:val="20"/>
                <w:szCs w:val="20"/>
                <w:color w:val="auto"/>
              </w:rPr>
            </w:pPr>
            <w:r>
              <w:rPr>
                <w:rFonts w:ascii="Arial" w:cs="Arial" w:eastAsia="Arial" w:hAnsi="Arial"/>
                <w:sz w:val="14"/>
                <w:szCs w:val="14"/>
                <w:color w:val="auto"/>
              </w:rPr>
              <w:t>(184)</w:t>
            </w:r>
          </w:p>
        </w:tc>
        <w:tc>
          <w:tcPr>
            <w:tcW w:w="200" w:type="dxa"/>
            <w:vAlign w:val="bottom"/>
          </w:tcPr>
          <w:p>
            <w:pPr>
              <w:spacing w:after="0"/>
              <w:rPr>
                <w:sz w:val="13"/>
                <w:szCs w:val="13"/>
                <w:color w:val="auto"/>
              </w:rPr>
            </w:pPr>
          </w:p>
        </w:tc>
        <w:tc>
          <w:tcPr>
            <w:tcW w:w="6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(1,110)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(958)</w:t>
            </w:r>
          </w:p>
        </w:tc>
        <w:tc>
          <w:tcPr>
            <w:tcW w:w="40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w w:val="99"/>
              </w:rPr>
              <w:t>(11,290)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00" w:type="dxa"/>
            <w:vAlign w:val="bottom"/>
          </w:tcPr>
          <w:p>
            <w:pPr>
              <w:ind w:left="180"/>
              <w:spacing w:after="0"/>
              <w:rPr>
                <w:sz w:val="20"/>
                <w:szCs w:val="20"/>
                <w:color w:val="auto"/>
              </w:rPr>
            </w:pPr>
            <w:r>
              <w:rPr>
                <w:rFonts w:ascii="Arial" w:cs="Arial" w:eastAsia="Arial" w:hAnsi="Arial"/>
                <w:sz w:val="14"/>
                <w:szCs w:val="14"/>
                <w:color w:val="auto"/>
              </w:rPr>
              <w:t>Payment of dividend</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(5,400)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(5,400)</w:t>
            </w: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ind w:left="600"/>
              <w:spacing w:after="0" w:line="157"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(927)</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8,681</w:t>
            </w: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(6,660)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(6,574)</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24,385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gridSpan w:val="2"/>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2,228</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29,473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12,690</w:t>
            </w:r>
          </w:p>
        </w:tc>
        <w:tc>
          <w:tcPr>
            <w:tcW w:w="4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(16,388)</w:t>
            </w:r>
          </w:p>
        </w:tc>
        <w:tc>
          <w:tcPr>
            <w:tcW w:w="0" w:type="dxa"/>
            <w:vAlign w:val="bottom"/>
          </w:tcPr>
          <w:p>
            <w:pPr>
              <w:spacing w:after="0"/>
              <w:rPr>
                <w:sz w:val="1"/>
                <w:szCs w:val="1"/>
                <w:color w:val="auto"/>
              </w:rPr>
            </w:pPr>
          </w:p>
        </w:tc>
      </w:tr>
      <w:tr>
        <w:trPr>
          <w:trHeight w:val="176"/>
        </w:trPr>
        <w:tc>
          <w:tcPr>
            <w:tcW w:w="5620" w:type="dxa"/>
            <w:vAlign w:val="bottom"/>
            <w:gridSpan w:val="2"/>
          </w:tcPr>
          <w:p>
            <w:pPr>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4,891</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7,119</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6,821</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36,294</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Cash and cash equivalents at end of period</w:t>
            </w:r>
          </w:p>
        </w:tc>
        <w:tc>
          <w:tcPr>
            <w:tcW w:w="2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7,119</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6,821</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36,294</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19,511</w:t>
            </w: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19,906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Cash paid during the year for interest</w:t>
            </w:r>
          </w:p>
        </w:tc>
        <w:tc>
          <w:tcPr>
            <w:tcW w:w="2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rPr>
              <w:t>99</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170</w:t>
            </w:r>
          </w:p>
        </w:tc>
        <w:tc>
          <w:tcPr>
            <w:tcW w:w="2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696</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line="157" w:lineRule="exact"/>
              <w:rPr>
                <w:sz w:val="20"/>
                <w:szCs w:val="20"/>
                <w:color w:val="auto"/>
              </w:rPr>
            </w:pPr>
            <w:r>
              <w:rPr>
                <w:rFonts w:ascii="Arial" w:cs="Arial" w:eastAsia="Arial" w:hAnsi="Arial"/>
                <w:sz w:val="14"/>
                <w:szCs w:val="14"/>
                <w:color w:val="auto"/>
              </w:rPr>
              <w:t>501</w:t>
            </w:r>
          </w:p>
        </w:tc>
        <w:tc>
          <w:tcPr>
            <w:tcW w:w="4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gridSpan w:val="2"/>
          </w:tcPr>
          <w:p>
            <w:pPr>
              <w:spacing w:after="0"/>
              <w:rPr>
                <w:sz w:val="20"/>
                <w:szCs w:val="20"/>
                <w:color w:val="auto"/>
              </w:rPr>
            </w:pPr>
            <w:r>
              <w:rPr>
                <w:rFonts w:ascii="Arial" w:cs="Arial" w:eastAsia="Arial" w:hAnsi="Arial"/>
                <w:sz w:val="14"/>
                <w:szCs w:val="14"/>
                <w:color w:val="auto"/>
              </w:rPr>
              <w:t>Cash paid during the year for income taxes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10"/>
              <w:spacing w:after="0"/>
              <w:rPr>
                <w:sz w:val="20"/>
                <w:szCs w:val="20"/>
                <w:color w:val="auto"/>
              </w:rPr>
            </w:pPr>
            <w:r>
              <w:rPr>
                <w:rFonts w:ascii="Arial" w:cs="Arial" w:eastAsia="Arial" w:hAnsi="Arial"/>
                <w:sz w:val="14"/>
                <w:szCs w:val="14"/>
                <w:color w:val="auto"/>
              </w:rPr>
              <w:t>4,280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17,985</w:t>
            </w:r>
          </w:p>
        </w:tc>
        <w:tc>
          <w:tcPr>
            <w:tcW w:w="16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3,835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60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Supplemental information on non cash investing and financing activities:</w:t>
            </w: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Issuance of common stock to acquire Microscience Limited</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27,001</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27,001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Notes to consolidated financial statements</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(dollars in thousands, except per share data)</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Nature of the business and organization</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Emergent Biosolutions Inc. (the Company or Emergent) is a biopharmaceutical company focused on the development, manufacture and commercialization of immunobiotics. The Company operates in two business segments: biodefense and commercial. The Company commenced operations as BioPort Corporation (BioPort) in September 1998 through an acquisition from the Michigan Biologic Products Institute of rights to the marketed product, BioThrax, vaccine manufacturing facilities at a multi-building campus on approximately 12.5 acres in Lansing, Michigan and vaccine development and production know-how. Following this acquisition, the Company completed renovations at the Lansing facilities that had been initiated by the State of Michigan. In December 2001, the U.S. Food and Drug Administration (FDA) approved a supplement to the Company’s manufacturing facility license for the manufacture of BioThrax at the renovated facilities. In June 2004, the Company completed a corporate reorganization (Reorganization) in which:</w:t>
      </w:r>
    </w:p>
    <w:p>
      <w:pPr>
        <w:spacing w:after="0" w:line="104" w:lineRule="exact"/>
        <w:rPr>
          <w:sz w:val="20"/>
          <w:szCs w:val="20"/>
          <w:color w:val="auto"/>
        </w:rPr>
      </w:pPr>
    </w:p>
    <w:p>
      <w:pPr>
        <w:ind w:left="220" w:right="680" w:hanging="210"/>
        <w:spacing w:after="0" w:line="258" w:lineRule="auto"/>
        <w:tabs>
          <w:tab w:leader="none" w:pos="2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Emergent issued 18,666,479 shares of Class A Common Stock in exchange for 18,017,994 shares of BioPort class A common stock and 648,485 shares of BioPort class B common stock;</w:t>
      </w:r>
    </w:p>
    <w:p>
      <w:pPr>
        <w:spacing w:after="0" w:line="90" w:lineRule="exact"/>
        <w:rPr>
          <w:rFonts w:ascii="Arial" w:cs="Arial" w:eastAsia="Arial" w:hAnsi="Arial"/>
          <w:sz w:val="17"/>
          <w:szCs w:val="17"/>
          <w:color w:val="auto"/>
        </w:rPr>
      </w:pPr>
    </w:p>
    <w:p>
      <w:pPr>
        <w:ind w:left="220" w:hanging="210"/>
        <w:spacing w:after="0"/>
        <w:tabs>
          <w:tab w:leader="none" w:pos="2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other issued and outstanding shares of BioPort class B common stock were repurchased and retired; and</w:t>
      </w:r>
    </w:p>
    <w:p>
      <w:pPr>
        <w:spacing w:after="0" w:line="105" w:lineRule="exact"/>
        <w:rPr>
          <w:rFonts w:ascii="Arial" w:cs="Arial" w:eastAsia="Arial" w:hAnsi="Arial"/>
          <w:sz w:val="17"/>
          <w:szCs w:val="17"/>
          <w:color w:val="auto"/>
        </w:rPr>
      </w:pPr>
    </w:p>
    <w:p>
      <w:pPr>
        <w:ind w:left="220" w:right="20" w:hanging="210"/>
        <w:spacing w:after="0" w:line="258" w:lineRule="auto"/>
        <w:tabs>
          <w:tab w:leader="none" w:pos="2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outstanding stock options to purchase BioPort class B common stock were assumed by Emergent and option holders were granted replacement stock options to purchase an equal number of shares of Class B Common Stock of Emergent.</w:t>
      </w:r>
    </w:p>
    <w:p>
      <w:pPr>
        <w:spacing w:after="0" w:line="9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As a result of the Reorganization, BioPort became a wholly owned subsidiary of Emergent. The Company has renamed BioPort as Emergent BioDefense Operations Lansing Inc. (Emergent BioDefense Operations). The Company acquired its portfolio of commercial vaccine candidates through an acquisition of Microscience Limited (Microscience) in a share exchange in June 2005 and an acquisition of substantially all of the assets of Antex Biologics Inc. (Antex) for cash in May 2003. The Company has renamed Microscience as Emergent Product Development UK Limited.</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141"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The accompanying consolidated financial statements include the accounts of Emergent and its wholly owned subsidiaries. All significant intercompany accounts and transactions have been eliminated in consolidation.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financial information</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accompanying interim consolidated balance sheet as of September 30, 2006, the statements of operations and cash flows for the nine months ended September 30, 2005 and 2006 and the consolidated statement of changes in stockholders’ equity for the nine months ended September 30, 2006 are unaudited. These unaudited interim consolidated financial statements have been prepared in accordance with accounting principles generally accepted in the United States. In the opinion of the Company’s management, the unaudited interim consolidated financial statements have been prepared on the same basis as the audited consolidated financial statements and include all adjustments necessary for the fair presentation of the Company’s statement of financial position, results of operations and its cash flows for the nine months ended September 30, 2005 and 2006. The results for the nine months ended September 30, 2006 are not necessarily indicative of the results to be expected for the year ending</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7" w:right="1039" w:bottom="1440" w:gutter="0" w:footer="0" w:header="0"/>
        </w:sectPr>
      </w:pPr>
    </w:p>
    <w:bookmarkStart w:id="192" w:name="page193"/>
    <w:bookmarkEnd w:id="192"/>
    <w:p>
      <w:pPr>
        <w:ind w:right="300"/>
        <w:spacing w:after="0" w:line="258" w:lineRule="auto"/>
        <w:rPr>
          <w:sz w:val="20"/>
          <w:szCs w:val="20"/>
          <w:color w:val="auto"/>
        </w:rPr>
      </w:pPr>
      <w:r>
        <w:rPr>
          <w:rFonts w:ascii="Arial" w:cs="Arial" w:eastAsia="Arial" w:hAnsi="Arial"/>
          <w:sz w:val="17"/>
          <w:szCs w:val="17"/>
          <w:color w:val="auto"/>
        </w:rPr>
        <w:t>December 31, 2006. All references to September 30, 2006 or to the nine months ended September 30, 2005 and 2006 in the notes to the consolidated financial statements are unaudited.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41"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4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Cash equivalents are highly liquid investments with a maturity of 90 days or less at the date of purchase and consist of time deposits and investments in money market funds with commercial banks and financial institutions and high-quality corporate bonds. Also, the Company maintains cash balances with financial institutions in excess of insured limits. The Company does not anticipate any losses with such cash balances. At December 31, 2004 and 2005 and September 30, 2006, the Company maintained all of its cash and cash equivalents in three financial institutions.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4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carrying amounts of the Company’s short-term financial instruments, which include cash and cash equivalents, accounts receivable and accounts payable, approximate their fair values due to their short maturities. The carrying value and fair value of long-term indebtedness were $11,821 and $11,409, respectively, at December 31, 2004 and $10,502 and $10,089, respectively, at December 31, 2005. The carrying value and fair value of long-term indebtedness were $35,606 and $34,998, respectively, at September 30, 2006.</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cash</w:t>
      </w:r>
    </w:p>
    <w:p>
      <w:pPr>
        <w:spacing w:after="0" w:line="141" w:lineRule="exact"/>
        <w:rPr>
          <w:sz w:val="20"/>
          <w:szCs w:val="20"/>
          <w:color w:val="auto"/>
        </w:rPr>
      </w:pPr>
    </w:p>
    <w:p>
      <w:pPr>
        <w:jc w:val="both"/>
        <w:ind w:right="60"/>
        <w:spacing w:after="0" w:line="250" w:lineRule="auto"/>
        <w:rPr>
          <w:sz w:val="20"/>
          <w:szCs w:val="20"/>
          <w:color w:val="auto"/>
        </w:rPr>
      </w:pPr>
      <w:r>
        <w:rPr>
          <w:rFonts w:ascii="Arial" w:cs="Arial" w:eastAsia="Arial" w:hAnsi="Arial"/>
          <w:sz w:val="17"/>
          <w:szCs w:val="17"/>
          <w:color w:val="auto"/>
        </w:rPr>
        <w:t>Restricted cash at December 31, 2004 and September 30, 2006 consists, in each case, of a certificate of deposit held by a bank as collateral for a letter of credit acting as a security deposit on a loan. The certificate of deposit outstanding as of December 31, 2004 was redeemed by the Company in October 2005.</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customers and accounts receivable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primary customers are the U.S. Department of Defense (DoD) and U.S. Department of Health and Human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Services (HHS). For the years ended December 31, 2003, 2004 and 2005 and the nine months ended September 30, 2005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2006, sales of BioThrax to the DoD and HHS comprised 100%, 99% and 96% and 96% and 92% of total revenues,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2004 and 2005 and September 30, 2006, the Company’s receivable balances were comprised of 96%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38% and 98%, respectively, from these customers. Unbilled accounts receivable, included in accounts receivable, totaling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$3,772 and $1,418 and $107 as of December 31, 2004 and 2005 and September 30, 2006, respectively, relate to various service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contracts for which product has been delivered or work has been performed, though invoicing has not yet occurred. Accounts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receivable are stated at invoice amounts and consist primarily of amounts due from the DoD and HHS as well as amounts due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 reimbursement contracts with other government entities and non-government and philanthropic organizations. If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necessary, the Company records a provision for doubtful receivables to allow for any amounts which may be unrecoverable.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provision is based upon an analysis of the Company’s prior collection experience, customer creditworthiness and current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economic trends. As of December 31, 2004 and 2005 and September 30, 2006, an allowance for doubtful accounts was not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recorded, as the prior collection history from these customers indicates collection is likely.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b w:val="1"/>
          <w:bCs w:val="1"/>
          <w:color w:val="auto"/>
        </w:rPr>
        <w:t>Concentrations of credit risk</w:t>
      </w:r>
    </w:p>
    <w:p>
      <w:pPr>
        <w:spacing w:after="0" w:line="141"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and cash equivalents and accounts receivable. The Company places its cash and cash equivalents with high quality financial institutions. Management believes that the financial risks associated with its cash and cash equivalents are minimal. Because accounts receivable consist of amounts due from the U.S. federal government for product sales and from government agencies under government grants, management deems there to be minimal credit risk.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4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141"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Property, plant and equipment are stated at cost. Depreciation is computed using the straight-line method over the following estimated useful lives: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4280" w:type="dxa"/>
            <w:vAlign w:val="bottom"/>
            <w:shd w:val="clear" w:color="auto" w:fill="000000"/>
          </w:tcPr>
          <w:p>
            <w:pPr>
              <w:spacing w:after="0"/>
              <w:rPr>
                <w:sz w:val="3"/>
                <w:szCs w:val="3"/>
                <w:color w:val="auto"/>
              </w:rPr>
            </w:pPr>
          </w:p>
        </w:tc>
        <w:tc>
          <w:tcPr>
            <w:tcW w:w="5480" w:type="dxa"/>
            <w:vAlign w:val="bottom"/>
            <w:shd w:val="clear" w:color="auto" w:fill="000000"/>
          </w:tcPr>
          <w:p>
            <w:pPr>
              <w:spacing w:after="0"/>
              <w:rPr>
                <w:sz w:val="3"/>
                <w:szCs w:val="3"/>
                <w:color w:val="auto"/>
              </w:rPr>
            </w:pPr>
          </w:p>
        </w:tc>
      </w:tr>
      <w:tr>
        <w:trPr>
          <w:trHeight w:val="196"/>
        </w:trPr>
        <w:tc>
          <w:tcPr>
            <w:tcW w:w="4440" w:type="dxa"/>
            <w:vAlign w:val="bottom"/>
            <w:gridSpan w:val="2"/>
          </w:tcPr>
          <w:p>
            <w:pPr>
              <w:spacing w:after="0"/>
              <w:rPr>
                <w:sz w:val="20"/>
                <w:szCs w:val="20"/>
                <w:color w:val="auto"/>
              </w:rPr>
            </w:pPr>
            <w:r>
              <w:rPr>
                <w:rFonts w:ascii="Arial" w:cs="Arial" w:eastAsia="Arial" w:hAnsi="Arial"/>
                <w:sz w:val="17"/>
                <w:szCs w:val="17"/>
                <w:color w:val="auto"/>
              </w:rPr>
              <w:t>Buildings</w:t>
            </w:r>
          </w:p>
        </w:tc>
        <w:tc>
          <w:tcPr>
            <w:tcW w:w="5480" w:type="dxa"/>
            <w:vAlign w:val="bottom"/>
          </w:tcPr>
          <w:p>
            <w:pPr>
              <w:jc w:val="right"/>
              <w:ind w:right="13"/>
              <w:spacing w:after="0"/>
              <w:rPr>
                <w:sz w:val="20"/>
                <w:szCs w:val="20"/>
                <w:color w:val="auto"/>
              </w:rPr>
            </w:pPr>
            <w:r>
              <w:rPr>
                <w:rFonts w:ascii="Arial" w:cs="Arial" w:eastAsia="Arial" w:hAnsi="Arial"/>
                <w:sz w:val="17"/>
                <w:szCs w:val="17"/>
                <w:color w:val="auto"/>
              </w:rPr>
              <w:t>39 years</w:t>
            </w:r>
          </w:p>
        </w:tc>
      </w:tr>
      <w:tr>
        <w:trPr>
          <w:trHeight w:val="196"/>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5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3-7 years</w:t>
            </w:r>
          </w:p>
        </w:tc>
      </w:tr>
      <w:tr>
        <w:trPr>
          <w:trHeight w:val="196"/>
        </w:trPr>
        <w:tc>
          <w:tcPr>
            <w:tcW w:w="4440" w:type="dxa"/>
            <w:vAlign w:val="bottom"/>
            <w:gridSpan w:val="2"/>
          </w:tcPr>
          <w:p>
            <w:pPr>
              <w:spacing w:after="0"/>
              <w:rPr>
                <w:sz w:val="20"/>
                <w:szCs w:val="20"/>
                <w:color w:val="auto"/>
              </w:rPr>
            </w:pPr>
            <w:r>
              <w:rPr>
                <w:rFonts w:ascii="Arial" w:cs="Arial" w:eastAsia="Arial" w:hAnsi="Arial"/>
                <w:sz w:val="17"/>
                <w:szCs w:val="17"/>
                <w:color w:val="auto"/>
              </w:rPr>
              <w:t>Internal-use software</w:t>
            </w:r>
          </w:p>
        </w:tc>
        <w:tc>
          <w:tcPr>
            <w:tcW w:w="5480" w:type="dxa"/>
            <w:vAlign w:val="bottom"/>
          </w:tcPr>
          <w:p>
            <w:pPr>
              <w:jc w:val="right"/>
              <w:ind w:right="13"/>
              <w:spacing w:after="0"/>
              <w:rPr>
                <w:sz w:val="20"/>
                <w:szCs w:val="20"/>
                <w:color w:val="auto"/>
              </w:rPr>
            </w:pPr>
            <w:r>
              <w:rPr>
                <w:rFonts w:ascii="Arial" w:cs="Arial" w:eastAsia="Arial" w:hAnsi="Arial"/>
                <w:sz w:val="17"/>
                <w:szCs w:val="17"/>
                <w:color w:val="auto"/>
              </w:rPr>
              <w:t>Lesser of 3 years or product life</w:t>
            </w:r>
          </w:p>
        </w:tc>
      </w:tr>
      <w:tr>
        <w:trPr>
          <w:trHeight w:val="196"/>
        </w:trPr>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5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Lesser of the asset life or life of lease</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The Company capitalizes costs associated with purchased software from the time the preliminary project stage is completed until the software is ready for use. Under the provisions of the Statement of Position No. 98-1, </w:t>
      </w:r>
      <w:r>
        <w:rPr>
          <w:rFonts w:ascii="Arial" w:cs="Arial" w:eastAsia="Arial" w:hAnsi="Arial"/>
          <w:sz w:val="17"/>
          <w:szCs w:val="17"/>
          <w:i w:val="1"/>
          <w:iCs w:val="1"/>
          <w:color w:val="auto"/>
        </w:rPr>
        <w:t>Accounting for the Costs of Computer</w:t>
      </w:r>
      <w:r>
        <w:rPr>
          <w:rFonts w:ascii="Arial" w:cs="Arial" w:eastAsia="Arial" w:hAnsi="Arial"/>
          <w:sz w:val="17"/>
          <w:szCs w:val="17"/>
          <w:color w:val="auto"/>
        </w:rPr>
        <w:t xml:space="preserve"> </w:t>
      </w:r>
      <w:r>
        <w:rPr>
          <w:rFonts w:ascii="Arial" w:cs="Arial" w:eastAsia="Arial" w:hAnsi="Arial"/>
          <w:sz w:val="17"/>
          <w:szCs w:val="17"/>
          <w:i w:val="1"/>
          <w:iCs w:val="1"/>
          <w:color w:val="auto"/>
        </w:rPr>
        <w:t>Software Developed or Obtained for Internal Use</w:t>
      </w:r>
      <w:r>
        <w:rPr>
          <w:rFonts w:ascii="Arial" w:cs="Arial" w:eastAsia="Arial" w:hAnsi="Arial"/>
          <w:sz w:val="17"/>
          <w:szCs w:val="17"/>
          <w:color w:val="auto"/>
        </w:rPr>
        <w:t>, the Company capitalizes costs associated with software developed or</w:t>
      </w:r>
      <w:r>
        <w:rPr>
          <w:rFonts w:ascii="Arial" w:cs="Arial" w:eastAsia="Arial" w:hAnsi="Arial"/>
          <w:sz w:val="17"/>
          <w:szCs w:val="17"/>
          <w:i w:val="1"/>
          <w:iCs w:val="1"/>
          <w:color w:val="auto"/>
        </w:rPr>
        <w:t xml:space="preserve"> </w:t>
      </w:r>
      <w:r>
        <w:rPr>
          <w:rFonts w:ascii="Arial" w:cs="Arial" w:eastAsia="Arial" w:hAnsi="Arial"/>
          <w:sz w:val="17"/>
          <w:szCs w:val="17"/>
          <w:color w:val="auto"/>
        </w:rPr>
        <w:t>obtained for internal use when the preliminary project stage is completed. Capitalized costs include only: (1) external direct costs of materials and services consumed in developing or obtaining internal use software and (2) payroll and payroll-related costs for employees who are directly associated with and who devote time to the internal use software project during the development stage. Capitalization of such costs ceases before training and other post implementation software activities occur. Computer software maintenance costs related to software development are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4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operating loss carryforwards. Deferred tax assets and liabilities are measured using enacted tax rates expected to apply to taxable income in the year in which those temporary differences are expected to be recovered or settled.</w:t>
      </w:r>
    </w:p>
    <w:p>
      <w:pPr>
        <w:spacing w:after="0" w:line="9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Company records valuation allowances to reduce deferred tax assets to the amounts that it anticipates will be realized. The Company considers future taxable income and ongoing tax planning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3" w:right="1039" w:bottom="1440" w:gutter="0" w:footer="0" w:header="0"/>
        </w:sectPr>
      </w:pPr>
    </w:p>
    <w:bookmarkStart w:id="194" w:name="page195"/>
    <w:bookmarkEnd w:id="194"/>
    <w:p>
      <w:pPr>
        <w:spacing w:after="0" w:line="245" w:lineRule="auto"/>
        <w:rPr>
          <w:sz w:val="20"/>
          <w:szCs w:val="20"/>
          <w:color w:val="auto"/>
        </w:rPr>
      </w:pPr>
      <w:r>
        <w:rPr>
          <w:rFonts w:ascii="Arial" w:cs="Arial" w:eastAsia="Arial" w:hAnsi="Arial"/>
          <w:sz w:val="17"/>
          <w:szCs w:val="17"/>
          <w:color w:val="auto"/>
        </w:rPr>
        <w:t>strategies in assessing the need for valuation allowances. In general, if the Company determines that it is able to realize more than the recorded amounts of net deferred tax assets in the future, net income will increase in the period in which the determination is made. Likewise, if the Company determines that it is not able to realize all or part of the net deferred tax asset in the future, net income will decrease in the period in which the determination is made. The Company applies any reversals of valuation allowance related to an acquired deferred tax asset against other intangibles before impacting net income.</w:t>
      </w:r>
    </w:p>
    <w:p>
      <w:pPr>
        <w:spacing w:after="0" w:line="102"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Under sections 382 and 383 of the Internal Revenue Code, if an ownership change occurs with respect to a “loss corporation”, as defined, there are annual limitations on the amount of net operating losses and deductions that are available. Due to the acquisition of Microscience in 2005, the Company believes the use of the operating losses will be significantly limited.</w:t>
      </w:r>
    </w:p>
    <w:p>
      <w:pPr>
        <w:spacing w:after="0" w:line="96" w:lineRule="exact"/>
        <w:rPr>
          <w:sz w:val="20"/>
          <w:szCs w:val="20"/>
          <w:color w:val="auto"/>
        </w:rPr>
      </w:pPr>
    </w:p>
    <w:p>
      <w:pPr>
        <w:jc w:val="both"/>
        <w:ind w:right="240"/>
        <w:spacing w:after="0" w:line="250" w:lineRule="auto"/>
        <w:rPr>
          <w:sz w:val="20"/>
          <w:szCs w:val="20"/>
          <w:color w:val="auto"/>
        </w:rPr>
      </w:pPr>
      <w:r>
        <w:rPr>
          <w:rFonts w:ascii="Arial" w:cs="Arial" w:eastAsia="Arial" w:hAnsi="Arial"/>
          <w:sz w:val="17"/>
          <w:szCs w:val="17"/>
          <w:color w:val="auto"/>
        </w:rPr>
        <w:t>The Company’s ability to realize deferred tax assets depends upon future taxable income as well as the limitations discussed above. For financial reporting purposes, a deferred tax asset must be reduced by a valuation allowance if it is more likely than not that some portion or all of the deferred tax assets will not be realized prior to expiration.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3" w:lineRule="exact"/>
        <w:rPr>
          <w:sz w:val="20"/>
          <w:szCs w:val="20"/>
          <w:color w:val="auto"/>
        </w:rPr>
      </w:pPr>
    </w:p>
    <w:p>
      <w:pPr>
        <w:ind w:right="680"/>
        <w:spacing w:after="0" w:line="261" w:lineRule="auto"/>
        <w:rPr>
          <w:sz w:val="20"/>
          <w:szCs w:val="20"/>
          <w:color w:val="auto"/>
        </w:rPr>
      </w:pPr>
      <w:r>
        <w:rPr>
          <w:rFonts w:ascii="Arial" w:cs="Arial" w:eastAsia="Arial" w:hAnsi="Arial"/>
          <w:sz w:val="17"/>
          <w:szCs w:val="17"/>
          <w:color w:val="auto"/>
        </w:rPr>
        <w:t xml:space="preserve">The Company recognizes revenues from product sales in accordance with Staff Accounting Bulletin No. 104,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w:t>
      </w:r>
      <w:r>
        <w:rPr>
          <w:rFonts w:ascii="Arial" w:cs="Arial" w:eastAsia="Arial" w:hAnsi="Arial"/>
          <w:sz w:val="17"/>
          <w:szCs w:val="17"/>
          <w:color w:val="auto"/>
        </w:rPr>
        <w:t>(SAB No. 104). SAB No. 104 requires recognition of revenues from product sales that require no continuing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by the Company if four basic criteria have been met:</w:t>
      </w:r>
    </w:p>
    <w:p>
      <w:pPr>
        <w:spacing w:after="0" w:line="87" w:lineRule="exact"/>
        <w:rPr>
          <w:sz w:val="20"/>
          <w:szCs w:val="20"/>
          <w:color w:val="auto"/>
        </w:rPr>
      </w:pPr>
    </w:p>
    <w:p>
      <w:pPr>
        <w:ind w:left="220" w:hanging="210"/>
        <w:spacing w:after="0"/>
        <w:tabs>
          <w:tab w:leader="none" w:pos="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there is persuasive evidence of an arrangement;</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delivery has occurred and title has passed to the Company’s customer;</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fee is fixed and determinable and no further obligation exists; and</w:t>
      </w:r>
    </w:p>
    <w:p>
      <w:pPr>
        <w:spacing w:after="0" w:line="105" w:lineRule="exact"/>
        <w:rPr>
          <w:rFonts w:ascii="Arial" w:cs="Arial" w:eastAsia="Arial" w:hAnsi="Arial"/>
          <w:sz w:val="17"/>
          <w:szCs w:val="17"/>
          <w:color w:val="auto"/>
        </w:rPr>
      </w:pPr>
    </w:p>
    <w:p>
      <w:pPr>
        <w:ind w:left="220" w:hanging="210"/>
        <w:spacing w:after="0"/>
        <w:tabs>
          <w:tab w:leader="none" w:pos="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collectibility is reasonably assured.</w:t>
      </w:r>
    </w:p>
    <w:p>
      <w:pPr>
        <w:spacing w:after="0" w:line="119" w:lineRule="exact"/>
        <w:rPr>
          <w:sz w:val="20"/>
          <w:szCs w:val="20"/>
          <w:color w:val="auto"/>
        </w:rPr>
      </w:pPr>
    </w:p>
    <w:p>
      <w:pPr>
        <w:ind w:right="180"/>
        <w:spacing w:after="0" w:line="247" w:lineRule="auto"/>
        <w:rPr>
          <w:sz w:val="20"/>
          <w:szCs w:val="20"/>
          <w:color w:val="auto"/>
        </w:rPr>
      </w:pPr>
      <w:r>
        <w:rPr>
          <w:rFonts w:ascii="Arial" w:cs="Arial" w:eastAsia="Arial" w:hAnsi="Arial"/>
          <w:sz w:val="17"/>
          <w:szCs w:val="17"/>
          <w:color w:val="auto"/>
        </w:rPr>
        <w:t>All revenues from product sales are recorded net of applicable allowances for sales returns, rebates, special promotional programs, and discounts. For arrangements where the risk of loss has not passed to the customer, the Company defers the recognition of revenue until such time that risk of loss has passed. Also, the cost of revenue associated with amounts recorded as deferred revenue is recorded in inventory until such time as risk of loss has passed.</w:t>
      </w:r>
    </w:p>
    <w:p>
      <w:pPr>
        <w:spacing w:after="0" w:line="99"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Under the Company’s contract with the DoD, title to the product passes to the DoD upon submission of the first invoice. The earnings process is complete upon FDA release of the product for sale and distribution. Following FDA release of the product, the product is segregated for later shipment, and all deferred revenue related to the released product is recognized in accordance with the “bill and hold” requirements under SAB 104.</w:t>
      </w:r>
    </w:p>
    <w:p>
      <w:pPr>
        <w:spacing w:after="0" w:line="9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 xml:space="preserve">In December 2005, the Securities and Exchange Commission released an interpretation with respect to the accounting for sales of vaccines and bioterror countermeasures to the federal government for placement into the strategic national stockpile. This interpretation provides for revenue recognition for specifically identified products purchased for the strategic national stockpile in the event that all requirements for revenue recognition, as specified in Statement of Financial Accounting Concepts No. 5, </w:t>
      </w:r>
      <w:r>
        <w:rPr>
          <w:rFonts w:ascii="Arial" w:cs="Arial" w:eastAsia="Arial" w:hAnsi="Arial"/>
          <w:sz w:val="17"/>
          <w:szCs w:val="17"/>
          <w:i w:val="1"/>
          <w:iCs w:val="1"/>
          <w:color w:val="auto"/>
        </w:rPr>
        <w:t>Recognition and Measurement in Financial Statements of Business Enterprises</w:t>
      </w:r>
      <w:r>
        <w:rPr>
          <w:rFonts w:ascii="Arial" w:cs="Arial" w:eastAsia="Arial" w:hAnsi="Arial"/>
          <w:sz w:val="17"/>
          <w:szCs w:val="17"/>
          <w:color w:val="auto"/>
        </w:rPr>
        <w:t>, are not met. This interpretation is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contracts with HHS, but because the Company recognizes revenue upon delivery of product, the Company has not applied this guidance.</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 xml:space="preserve">The Company recognizes revenue from upfront and milestone payments in accordance with Emerging Issues Task Force (EITF) Issue No. 00-21, </w:t>
      </w:r>
      <w:r>
        <w:rPr>
          <w:rFonts w:ascii="Arial" w:cs="Arial" w:eastAsia="Arial" w:hAnsi="Arial"/>
          <w:sz w:val="17"/>
          <w:szCs w:val="17"/>
          <w:i w:val="1"/>
          <w:iCs w:val="1"/>
          <w:color w:val="auto"/>
        </w:rPr>
        <w:t>Accounting for Revenue Arrangements with Multiple Deliverables</w:t>
      </w:r>
      <w:r>
        <w:rPr>
          <w:rFonts w:ascii="Arial" w:cs="Arial" w:eastAsia="Arial" w:hAnsi="Arial"/>
          <w:sz w:val="17"/>
          <w:szCs w:val="17"/>
          <w:color w:val="auto"/>
        </w:rPr>
        <w:t xml:space="preserve"> (EITF No. 00-21), which addresses whether, for revenue recognition purposes, there is one or several elements in an arrangement. The Company recognizes revenue from milestone payments upon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95" w:name="page196"/>
    <w:bookmarkEnd w:id="195"/>
    <w:p>
      <w:pPr>
        <w:ind w:right="540"/>
        <w:spacing w:after="0" w:line="258" w:lineRule="auto"/>
        <w:rPr>
          <w:sz w:val="20"/>
          <w:szCs w:val="20"/>
          <w:color w:val="auto"/>
        </w:rPr>
      </w:pPr>
      <w:r>
        <w:rPr>
          <w:rFonts w:ascii="Arial" w:cs="Arial" w:eastAsia="Arial" w:hAnsi="Arial"/>
          <w:sz w:val="17"/>
          <w:szCs w:val="17"/>
          <w:color w:val="auto"/>
        </w:rPr>
        <w:t>achievement of pre-defined scientific events that require substantive effort if achievement of the milestone was not readily assured at the inception of the agreement.</w:t>
      </w:r>
    </w:p>
    <w:p>
      <w:pPr>
        <w:spacing w:after="0" w:line="90"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 xml:space="preserve">Payments received by the Company for the reimbursement of expenses for research and development activities are recorded in accordance with EITF Issue No. 99-19, </w:t>
      </w:r>
      <w:r>
        <w:rPr>
          <w:rFonts w:ascii="Arial" w:cs="Arial" w:eastAsia="Arial" w:hAnsi="Arial"/>
          <w:sz w:val="17"/>
          <w:szCs w:val="17"/>
          <w:i w:val="1"/>
          <w:iCs w:val="1"/>
          <w:color w:val="auto"/>
        </w:rPr>
        <w:t>Reporting Revenue Gross as Principal Versus Net as an Agent</w:t>
      </w:r>
      <w:r>
        <w:rPr>
          <w:rFonts w:ascii="Arial" w:cs="Arial" w:eastAsia="Arial" w:hAnsi="Arial"/>
          <w:sz w:val="17"/>
          <w:szCs w:val="17"/>
          <w:color w:val="auto"/>
        </w:rPr>
        <w:t xml:space="preserve"> (EITF No. 99-19). Pursuant to EITF No. 99-19, for transactions in which the Company acts as principal, with discretion to choose suppliers, bears credit risk and performs a substantive part of the services, revenue is recorded at the gross amount of the reimbursement. Costs associated with these reimbursements are reflected as a component of research and development expenses.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12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 xml:space="preserve">In accordance with Statement of Financial Accounting Standards No. 144, </w:t>
      </w:r>
      <w:r>
        <w:rPr>
          <w:rFonts w:ascii="Arial" w:cs="Arial" w:eastAsia="Arial" w:hAnsi="Arial"/>
          <w:sz w:val="17"/>
          <w:szCs w:val="17"/>
          <w:i w:val="1"/>
          <w:iCs w:val="1"/>
          <w:color w:val="auto"/>
        </w:rPr>
        <w:t xml:space="preserve">Accounting for the Impairment or Disposal of Long-Lived Assets </w:t>
      </w:r>
      <w:r>
        <w:rPr>
          <w:rFonts w:ascii="Arial" w:cs="Arial" w:eastAsia="Arial" w:hAnsi="Arial"/>
          <w:sz w:val="17"/>
          <w:szCs w:val="17"/>
          <w:color w:val="auto"/>
        </w:rPr>
        <w:t>(SFAS No. 144), the Company assesses the recoverability of its long-lived assets by determining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 of such assets can be recovered through undiscounted future operating cash flows. If impairment is indicated, the Company measures the amount of such impairment by comparing the fair value to the carrying value. The Company has recorded no impairment losses for the years ended December 31, 2003, 2004 and 2005 and the nine months ended September 30, 2006.</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4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Research and development costs are expensed as incurred. Research and development costs primarily consist of salaries, materials and related expenses for personnel and facility expenses. Other research and development expenses include fees paid to consultants and outside service providers and the costs of materials used in clinical trials and research and development.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Purchased in-process research and development</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The Company accounts for purchased in-process research and development in accordance with the Statement of Financial Accounting Standards No. 2, </w:t>
      </w:r>
      <w:r>
        <w:rPr>
          <w:rFonts w:ascii="Arial" w:cs="Arial" w:eastAsia="Arial" w:hAnsi="Arial"/>
          <w:sz w:val="17"/>
          <w:szCs w:val="17"/>
          <w:i w:val="1"/>
          <w:iCs w:val="1"/>
          <w:color w:val="auto"/>
        </w:rPr>
        <w:t>Accounting for Research and Development Costs</w:t>
      </w:r>
      <w:r>
        <w:rPr>
          <w:rFonts w:ascii="Arial" w:cs="Arial" w:eastAsia="Arial" w:hAnsi="Arial"/>
          <w:sz w:val="17"/>
          <w:szCs w:val="17"/>
          <w:color w:val="auto"/>
        </w:rPr>
        <w:t xml:space="preserve"> (SFAS No. 2) along with Financial Accounting Standards Board (FASB) Interpretation No. 4, </w:t>
      </w:r>
      <w:r>
        <w:rPr>
          <w:rFonts w:ascii="Arial" w:cs="Arial" w:eastAsia="Arial" w:hAnsi="Arial"/>
          <w:sz w:val="17"/>
          <w:szCs w:val="17"/>
          <w:i w:val="1"/>
          <w:iCs w:val="1"/>
          <w:color w:val="auto"/>
        </w:rPr>
        <w:t>Applicability of FASB Statement No. 2 to Business Combinations Accounted for by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Purchase Method — an interpretation of FASB Statement No. 2 </w:t>
      </w:r>
      <w:r>
        <w:rPr>
          <w:rFonts w:ascii="Arial" w:cs="Arial" w:eastAsia="Arial" w:hAnsi="Arial"/>
          <w:sz w:val="17"/>
          <w:szCs w:val="17"/>
          <w:color w:val="auto"/>
        </w:rPr>
        <w:t>(FIN 4). Under these standards, the Company is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the technology relating to a particular research and development project acquired through an acquisition has an alternative future use. If the determination is that the technology has no alternative future use, the acquisition amount not directly attributed to fixed assets is expensed. Otherwise, the Company capitalizes and amortizes the costs incurred over their estimated useful lives of the technology acquired.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 (loss)</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 xml:space="preserve">Statement of Financial Accounting Standards No.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xml:space="preserve"> (SFAS No. 130), requires the presentation of the comprehensive income (loss) and its components as part of the financial statements. Comprehensive income is comprised of net income (loss) and other changes in equity that are excluded from net income (loss). The Company includes gains and losses on intercompany transactions with foreign subsidiaries that are considered to be long-term investments and translation gains and losses incurred when converting its subsidiaries’ financial statements from their functional currency to the U.S. dollar in accumulated other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currencies</w:t>
      </w:r>
    </w:p>
    <w:p>
      <w:pPr>
        <w:spacing w:after="0" w:line="141" w:lineRule="exact"/>
        <w:rPr>
          <w:sz w:val="20"/>
          <w:szCs w:val="20"/>
          <w:color w:val="auto"/>
        </w:rPr>
      </w:pPr>
    </w:p>
    <w:p>
      <w:pPr>
        <w:ind w:right="500"/>
        <w:spacing w:after="0" w:line="258" w:lineRule="auto"/>
        <w:rPr>
          <w:sz w:val="20"/>
          <w:szCs w:val="20"/>
          <w:color w:val="auto"/>
        </w:rPr>
      </w:pPr>
      <w:r>
        <w:rPr>
          <w:rFonts w:ascii="Arial" w:cs="Arial" w:eastAsia="Arial" w:hAnsi="Arial"/>
          <w:sz w:val="17"/>
          <w:szCs w:val="17"/>
          <w:color w:val="auto"/>
        </w:rPr>
        <w:t>The local currency is the functional currency for the Company’s foreign subsidiaries and, as such, assets and liabilities are translated into U.S. dollars at year-end exchange rates. Income and expense items are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24" w:right="1059" w:bottom="1440" w:gutter="0" w:footer="0" w:header="0"/>
        </w:sectPr>
      </w:pPr>
    </w:p>
    <w:bookmarkStart w:id="196" w:name="page197"/>
    <w:bookmarkEnd w:id="196"/>
    <w:p>
      <w:pPr>
        <w:ind w:right="580"/>
        <w:spacing w:after="0" w:line="258" w:lineRule="auto"/>
        <w:rPr>
          <w:sz w:val="20"/>
          <w:szCs w:val="20"/>
          <w:color w:val="auto"/>
        </w:rPr>
      </w:pPr>
      <w:r>
        <w:rPr>
          <w:rFonts w:ascii="Arial" w:cs="Arial" w:eastAsia="Arial" w:hAnsi="Arial"/>
          <w:sz w:val="17"/>
          <w:szCs w:val="17"/>
          <w:color w:val="auto"/>
        </w:rPr>
        <w:t>translated at average exchange rates during the year. Translation adjustments resulting from this process are charged or credited to other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risks and uncertainties</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Company has derived substantially all of its revenue from sales of BioThrax under contracts with the DoD and HHS. The Company’s ongoing U.S. government contracts do not necessarily increase the likelihood that it will secure future comparable contracts with the U.S. government. The Company expects that a significant portion of the business that it will seek in the near future, in particular for BioThrax, will be under government contracts that present a number of risks that are not typically present in the commercial contracting process. U.S. government contracts for BioThrax require annual funding decisions by the government and are subject to unilateral termination or modification by the government. The Company may fail to achieve significant sales of BioThrax to customers in addition to the U.S. government, which would harm its growth opportunities. The Company may not be able to sustain or increase profitability. The Company is spending significant amounts for the expansion of its manufacturing facilities. The Company may not be able to manufacture BioThrax consistently in accordance with FDA specifications. Other than BioThrax, all of the Company’s product candidates are undergoing clinical trials or are in early stages of development, and failure is common and can occur at any stage of development. None of the Company’s product candidates other than BioThrax has received regulatory approval.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14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Basic net income (loss) attributable to common stockholders per share of common stock excludes dilution for potential common stock issuances and is computed by dividing net income (loss) attributable to common stockholders by the weighted average number of shares outstanding for the period. Diluted net income (loss) attributable to common stockholders per share reflects the potential dilution that could occur if securities or other contracts to issue common stock were exercised or converted into common stock.</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80"/>
          </w:cols>
          <w:pgMar w:left="920" w:top="924" w:right="109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color w:val="auto"/>
        </w:rPr>
        <w:t>The following table presents the calculation of basic and diluted net income per share:</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4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4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2004</w:t>
            </w:r>
          </w:p>
        </w:tc>
        <w:tc>
          <w:tcPr>
            <w:tcW w:w="4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18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Net income (loss)</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4,454</w:t>
            </w:r>
          </w:p>
        </w:tc>
        <w:tc>
          <w:tcPr>
            <w:tcW w:w="46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11,472</w:t>
            </w:r>
          </w:p>
        </w:tc>
        <w:tc>
          <w:tcPr>
            <w:tcW w:w="46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15,784</w:t>
            </w:r>
          </w:p>
        </w:tc>
        <w:tc>
          <w:tcPr>
            <w:tcW w:w="5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6,252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(3,336)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spacing w:after="0"/>
              <w:rPr>
                <w:sz w:val="20"/>
                <w:szCs w:val="20"/>
                <w:color w:val="auto"/>
              </w:rPr>
            </w:pPr>
            <w:r>
              <w:rPr>
                <w:rFonts w:ascii="Arial" w:cs="Arial" w:eastAsia="Arial" w:hAnsi="Arial"/>
                <w:sz w:val="17"/>
                <w:szCs w:val="17"/>
                <w:color w:val="auto"/>
              </w:rPr>
              <w:t>Weighted-average</w:t>
            </w: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Pr>
          <w:p>
            <w:pPr>
              <w:ind w:left="140"/>
              <w:spacing w:after="0"/>
              <w:rPr>
                <w:sz w:val="20"/>
                <w:szCs w:val="20"/>
                <w:color w:val="auto"/>
              </w:rPr>
            </w:pPr>
            <w:r>
              <w:rPr>
                <w:rFonts w:ascii="Arial" w:cs="Arial" w:eastAsia="Arial" w:hAnsi="Arial"/>
                <w:sz w:val="17"/>
                <w:szCs w:val="17"/>
                <w:color w:val="auto"/>
              </w:rPr>
              <w:t>number of shares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tcPr>
          <w:p>
            <w:pPr>
              <w:ind w:left="14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18,904,992</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18,919,850</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20,533,471</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19,930,498</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22,370,191</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Dilutive securities —</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options</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1,411,761</w:t>
            </w: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1,519,402</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2,218,262</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2,117,914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80" w:type="dxa"/>
            <w:vAlign w:val="bottom"/>
            <w:gridSpan w:val="2"/>
            <w:vMerge w:val="restart"/>
          </w:tcPr>
          <w:p>
            <w:pPr>
              <w:spacing w:after="0"/>
              <w:rPr>
                <w:sz w:val="20"/>
                <w:szCs w:val="20"/>
                <w:color w:val="auto"/>
              </w:rPr>
            </w:pPr>
            <w:r>
              <w:rPr>
                <w:rFonts w:ascii="Arial" w:cs="Arial" w:eastAsia="Arial" w:hAnsi="Arial"/>
                <w:sz w:val="17"/>
                <w:szCs w:val="17"/>
                <w:color w:val="auto"/>
              </w:rPr>
              <w:t>Weighted-average</w:t>
            </w: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Pr>
          <w:p>
            <w:pPr>
              <w:ind w:left="140"/>
              <w:spacing w:after="0"/>
              <w:rPr>
                <w:sz w:val="20"/>
                <w:szCs w:val="20"/>
                <w:color w:val="auto"/>
              </w:rPr>
            </w:pPr>
            <w:r>
              <w:rPr>
                <w:rFonts w:ascii="Arial" w:cs="Arial" w:eastAsia="Arial" w:hAnsi="Arial"/>
                <w:sz w:val="17"/>
                <w:szCs w:val="17"/>
                <w:color w:val="auto"/>
              </w:rPr>
              <w:t>number of shares —</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60" w:type="dxa"/>
            <w:vAlign w:val="bottom"/>
          </w:tcPr>
          <w:p>
            <w:pPr>
              <w:ind w:left="14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20,316,752</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20,439,252</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22,751,733</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22,048,412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22,370,191</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per</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 — basic</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4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0.61</w:t>
            </w:r>
          </w:p>
        </w:tc>
        <w:tc>
          <w:tcPr>
            <w:tcW w:w="46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tcPr>
          <w:p>
            <w:pPr>
              <w:spacing w:after="0"/>
              <w:rPr>
                <w:sz w:val="20"/>
                <w:szCs w:val="20"/>
                <w:color w:val="auto"/>
              </w:rPr>
            </w:pPr>
            <w:r>
              <w:rPr>
                <w:rFonts w:ascii="Arial" w:cs="Arial" w:eastAsia="Arial" w:hAnsi="Arial"/>
                <w:sz w:val="17"/>
                <w:szCs w:val="17"/>
                <w:color w:val="auto"/>
              </w:rPr>
              <w:t>Earnings (loss) per</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share — diluted</w:t>
            </w:r>
          </w:p>
        </w:tc>
        <w:tc>
          <w:tcPr>
            <w:tcW w:w="5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0.22</w:t>
            </w:r>
          </w:p>
        </w:tc>
        <w:tc>
          <w:tcPr>
            <w:tcW w:w="4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0.56</w:t>
            </w:r>
          </w:p>
        </w:tc>
        <w:tc>
          <w:tcPr>
            <w:tcW w:w="4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0.69</w:t>
            </w:r>
          </w:p>
        </w:tc>
        <w:tc>
          <w:tcPr>
            <w:tcW w:w="5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The Company has taken into consideration the disclosure required by the Participating Securities and the Two-Class Method under FASB Statement No. 128 (EITF No. 03-6).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2006, the Company has one stock-based employee compensation plan, the Emergent BioSolutions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Employee Stock Option Plan (the Emergent Plan), described more fully in Note 10 — Stockholders’ Equity. Through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2005, the Company accounted for grants under the Emergent Plan using the intrinsic value method in accordance</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 xml:space="preserve">with the provisions of Accounting Principles Board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(APB No. 25) and has provided the pro forma disclosures of net income (loss) and net income (loss) per share in accordance with SFAS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(SFAS No. 123) using the fair value method. Under APB No. 25, compensation expense is based on the difference, if any, on the date of the grant between the fair value of the Company’s stock and the exercise price of the option and is recognized ratably over the vesting period of the option. The Company accounted for equity instruments issued to non-employees in accordance with SFAS No. 123 and EITF Issue No. 96-18, </w:t>
      </w:r>
      <w:r>
        <w:rPr>
          <w:rFonts w:ascii="Arial" w:cs="Arial" w:eastAsia="Arial" w:hAnsi="Arial"/>
          <w:sz w:val="17"/>
          <w:szCs w:val="17"/>
          <w:i w:val="1"/>
          <w:iCs w:val="1"/>
          <w:color w:val="auto"/>
        </w:rPr>
        <w:t>Accounting for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That Are Issued to Other Than Employees for Acquiring, or in Conjunction with Selling Goods or Services </w:t>
      </w:r>
      <w:r>
        <w:rPr>
          <w:rFonts w:ascii="Arial" w:cs="Arial" w:eastAsia="Arial" w:hAnsi="Arial"/>
          <w:sz w:val="17"/>
          <w:szCs w:val="17"/>
          <w:color w:val="auto"/>
        </w:rPr>
        <w:t>(EITF</w:t>
      </w:r>
      <w:r>
        <w:rPr>
          <w:rFonts w:ascii="Arial" w:cs="Arial" w:eastAsia="Arial" w:hAnsi="Arial"/>
          <w:sz w:val="17"/>
          <w:szCs w:val="17"/>
          <w:i w:val="1"/>
          <w:iCs w:val="1"/>
          <w:color w:val="auto"/>
        </w:rPr>
        <w:t xml:space="preserve"> </w:t>
      </w:r>
      <w:r>
        <w:rPr>
          <w:rFonts w:ascii="Arial" w:cs="Arial" w:eastAsia="Arial" w:hAnsi="Arial"/>
          <w:sz w:val="17"/>
          <w:szCs w:val="17"/>
          <w:color w:val="auto"/>
        </w:rPr>
        <w:t>No. 96-18).</w:t>
      </w:r>
    </w:p>
    <w:p>
      <w:pPr>
        <w:spacing w:after="0" w:line="286" w:lineRule="exact"/>
        <w:rPr>
          <w:sz w:val="20"/>
          <w:szCs w:val="20"/>
          <w:color w:val="auto"/>
        </w:rPr>
      </w:pPr>
    </w:p>
    <w:p>
      <w:pPr>
        <w:ind w:right="640"/>
        <w:spacing w:after="0" w:line="261" w:lineRule="auto"/>
        <w:rPr>
          <w:sz w:val="20"/>
          <w:szCs w:val="20"/>
          <w:color w:val="auto"/>
        </w:rPr>
      </w:pPr>
      <w:r>
        <w:rPr>
          <w:rFonts w:ascii="Arial" w:cs="Arial" w:eastAsia="Arial" w:hAnsi="Arial"/>
          <w:sz w:val="17"/>
          <w:szCs w:val="17"/>
          <w:color w:val="auto"/>
        </w:rPr>
        <w:t xml:space="preserve">Effective January 1, 2006, the Company adopted the fair value provisions of SFAS No. 123 (revised 2004), </w:t>
      </w:r>
      <w:r>
        <w:rPr>
          <w:rFonts w:ascii="Arial" w:cs="Arial" w:eastAsia="Arial" w:hAnsi="Arial"/>
          <w:sz w:val="17"/>
          <w:szCs w:val="17"/>
          <w:i w:val="1"/>
          <w:iCs w:val="1"/>
          <w:color w:val="auto"/>
        </w:rPr>
        <w:t>Share 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w:t>
      </w:r>
      <w:r>
        <w:rPr>
          <w:rFonts w:ascii="Arial" w:cs="Arial" w:eastAsia="Arial" w:hAnsi="Arial"/>
          <w:sz w:val="17"/>
          <w:szCs w:val="17"/>
          <w:color w:val="auto"/>
        </w:rPr>
        <w:t>(SFAS No. 123(R)), using the modified prospective method. Under the fair value recognition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SFAS No. 123(R), the Company recognizes stock-based compensation net of an estimated forfeiture rate.</w:t>
      </w:r>
    </w:p>
    <w:p>
      <w:pPr>
        <w:spacing w:after="0" w:line="87" w:lineRule="exact"/>
        <w:rPr>
          <w:sz w:val="20"/>
          <w:szCs w:val="20"/>
          <w:color w:val="auto"/>
        </w:rPr>
      </w:pPr>
    </w:p>
    <w:p>
      <w:pPr>
        <w:jc w:val="both"/>
        <w:ind w:right="280"/>
        <w:spacing w:after="0" w:line="250" w:lineRule="auto"/>
        <w:rPr>
          <w:sz w:val="20"/>
          <w:szCs w:val="20"/>
          <w:color w:val="auto"/>
        </w:rPr>
      </w:pPr>
      <w:r>
        <w:rPr>
          <w:rFonts w:ascii="Arial" w:cs="Arial" w:eastAsia="Arial" w:hAnsi="Arial"/>
          <w:sz w:val="17"/>
          <w:szCs w:val="17"/>
          <w:color w:val="auto"/>
        </w:rPr>
        <w:t>Under the modified prospective method, compensation cost recognized in 2006 includes: (1) compensation cost for all share-based payments granted prior to but not yet vested as of December 31, 2005, based on the grant date fair value estimated in accordance with the original provisions of SFAS No. 123, and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198" w:name="page199"/>
    <w:bookmarkEnd w:id="198"/>
    <w:p>
      <w:pPr>
        <w:ind w:right="140" w:firstLine="10"/>
        <w:spacing w:after="0" w:line="243" w:lineRule="auto"/>
        <w:tabs>
          <w:tab w:leader="none" w:pos="26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compensation cost for all share-based payments granted subsequent to December 31, 2005, based on the grant date fair value estimated in accordance with the provisions of SFAS No. 123(R). As a result of adopting SFAS No. 123(R) on January 1, 2006, the Company’s loss before income taxes and net loss for the nine months ended September 30, 2006 is approximately $442 higher than if it had continued to account for share-based compensation under APB No. 25. Both basic and diluted losses per share for the nine months ended September 30, 2006 are $0.01 lower than if the Company had continued to account for share-based compensation under APB No. 25. Results for prior periods have not been restated. Based on options granted to employees as of September 30, 2006, total compensation expense not yet recognized related to unvested options is approximately $970, after tax. The Company expects to recognize that expense over a weighted average period of 2.8 years.</w:t>
      </w:r>
    </w:p>
    <w:p>
      <w:pPr>
        <w:spacing w:after="0" w:line="10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 has utilized the Black-Scholes valuation model for estimating the fair value of all stock options granted. The fair value of each option is estimated on the date of grant. Set forth below are the weighted-average assumptions used in valuing the stock options granted and a discussion of the Company’s methodology for developing each of the assumptions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194945</wp:posOffset>
            </wp:positionV>
            <wp:extent cx="6203315" cy="247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03315" cy="24765"/>
                    </a:xfrm>
                    <a:prstGeom prst="rect">
                      <a:avLst/>
                    </a:prstGeom>
                    <a:noFill/>
                  </pic:spPr>
                </pic:pic>
              </a:graphicData>
            </a:graphic>
          </wp:anchor>
        </w:drawing>
      </w:r>
    </w:p>
    <w:p>
      <w:pPr>
        <w:spacing w:after="0" w:line="308"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auto"/>
        </w:rPr>
        <w:t>Nine months</w:t>
      </w:r>
    </w:p>
    <w:p>
      <w:pPr>
        <w:spacing w:after="0" w:line="19" w:lineRule="exact"/>
        <w:rPr>
          <w:sz w:val="20"/>
          <w:szCs w:val="20"/>
          <w:color w:val="auto"/>
        </w:rPr>
      </w:pPr>
    </w:p>
    <w:p>
      <w:pPr>
        <w:jc w:val="right"/>
        <w:ind w:right="160"/>
        <w:spacing w:after="0"/>
        <w:rPr>
          <w:sz w:val="20"/>
          <w:szCs w:val="20"/>
          <w:color w:val="auto"/>
        </w:rPr>
      </w:pPr>
      <w:r>
        <w:rPr>
          <w:rFonts w:ascii="Arial" w:cs="Arial" w:eastAsia="Arial" w:hAnsi="Arial"/>
          <w:sz w:val="16"/>
          <w:szCs w:val="16"/>
          <w:b w:val="1"/>
          <w:bCs w:val="1"/>
          <w:color w:val="auto"/>
        </w:rPr>
        <w:t>ended</w:t>
      </w:r>
    </w:p>
    <w:p>
      <w:pPr>
        <w:ind w:left="6040"/>
        <w:spacing w:after="0"/>
        <w:tabs>
          <w:tab w:leader="none" w:pos="8680" w:val="left"/>
        </w:tabs>
        <w:rPr>
          <w:sz w:val="20"/>
          <w:szCs w:val="20"/>
          <w:color w:val="auto"/>
        </w:rPr>
      </w:pPr>
      <w:r>
        <w:rPr>
          <w:rFonts w:ascii="Arial" w:cs="Arial" w:eastAsia="Arial" w:hAnsi="Arial"/>
          <w:sz w:val="16"/>
          <w:szCs w:val="16"/>
          <w:b w:val="1"/>
          <w:bCs w:val="1"/>
          <w:color w:val="auto"/>
        </w:rPr>
        <w:t>Year ended December 31,</w:t>
      </w:r>
      <w:r>
        <w:rPr>
          <w:sz w:val="20"/>
          <w:szCs w:val="20"/>
          <w:color w:val="auto"/>
        </w:rPr>
        <w:tab/>
      </w:r>
      <w:r>
        <w:rPr>
          <w:rFonts w:ascii="Arial" w:cs="Arial" w:eastAsia="Arial" w:hAnsi="Arial"/>
          <w:sz w:val="15"/>
          <w:szCs w:val="15"/>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3695700</wp:posOffset>
            </wp:positionH>
            <wp:positionV relativeFrom="paragraph">
              <wp:posOffset>-635</wp:posOffset>
            </wp:positionV>
            <wp:extent cx="25196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19680" cy="8255"/>
                    </a:xfrm>
                    <a:prstGeom prst="rect">
                      <a:avLst/>
                    </a:prstGeom>
                    <a:noFill/>
                  </pic:spPr>
                </pic:pic>
              </a:graphicData>
            </a:graphic>
          </wp:anchor>
        </w:drawing>
      </w:r>
    </w:p>
    <w:p>
      <w:pPr>
        <w:ind w:left="5900"/>
        <w:spacing w:after="0"/>
        <w:tabs>
          <w:tab w:leader="none" w:pos="6720" w:val="left"/>
          <w:tab w:leader="none" w:pos="7580" w:val="left"/>
          <w:tab w:leader="none" w:pos="8440" w:val="left"/>
          <w:tab w:leader="none" w:pos="9420" w:val="left"/>
        </w:tabs>
        <w:rPr>
          <w:sz w:val="20"/>
          <w:szCs w:val="20"/>
          <w:color w:val="auto"/>
        </w:rPr>
      </w:pPr>
      <w:r>
        <w:rPr>
          <w:rFonts w:ascii="Arial" w:cs="Arial" w:eastAsia="Arial" w:hAnsi="Arial"/>
          <w:sz w:val="16"/>
          <w:szCs w:val="16"/>
          <w:b w:val="1"/>
          <w:bCs w:val="1"/>
          <w:color w:val="auto"/>
        </w:rPr>
        <w:t>2003</w:t>
      </w:r>
      <w:r>
        <w:rPr>
          <w:sz w:val="20"/>
          <w:szCs w:val="20"/>
          <w:color w:val="auto"/>
        </w:rPr>
        <w:tab/>
      </w:r>
      <w:r>
        <w:rPr>
          <w:rFonts w:ascii="Arial" w:cs="Arial" w:eastAsia="Arial" w:hAnsi="Arial"/>
          <w:sz w:val="16"/>
          <w:szCs w:val="16"/>
          <w:b w:val="1"/>
          <w:bCs w:val="1"/>
          <w:color w:val="auto"/>
        </w:rPr>
        <w:t>2004</w:t>
      </w:r>
      <w:r>
        <w:rPr>
          <w:sz w:val="20"/>
          <w:szCs w:val="20"/>
          <w:color w:val="auto"/>
        </w:rPr>
        <w:tab/>
      </w:r>
      <w:r>
        <w:rPr>
          <w:rFonts w:ascii="Arial" w:cs="Arial" w:eastAsia="Arial" w:hAnsi="Arial"/>
          <w:sz w:val="16"/>
          <w:szCs w:val="16"/>
          <w:b w:val="1"/>
          <w:bCs w:val="1"/>
          <w:color w:val="auto"/>
        </w:rPr>
        <w:t>2005</w:t>
      </w:r>
      <w:r>
        <w:rPr>
          <w:sz w:val="20"/>
          <w:szCs w:val="20"/>
          <w:color w:val="auto"/>
        </w:rPr>
        <w:tab/>
      </w:r>
      <w:r>
        <w:rPr>
          <w:rFonts w:ascii="Arial" w:cs="Arial" w:eastAsia="Arial" w:hAnsi="Arial"/>
          <w:sz w:val="16"/>
          <w:szCs w:val="16"/>
          <w:b w:val="1"/>
          <w:bCs w:val="1"/>
          <w:color w:val="auto"/>
        </w:rPr>
        <w:t>2005</w:t>
      </w:r>
      <w:r>
        <w:rPr>
          <w:sz w:val="20"/>
          <w:szCs w:val="20"/>
          <w:color w:val="auto"/>
        </w:rPr>
        <w:tab/>
      </w:r>
      <w:r>
        <w:rPr>
          <w:rFonts w:ascii="Arial" w:cs="Arial" w:eastAsia="Arial" w:hAnsi="Arial"/>
          <w:sz w:val="15"/>
          <w:szCs w:val="15"/>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62033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03315" cy="8255"/>
                    </a:xfrm>
                    <a:prstGeom prst="rect">
                      <a:avLst/>
                    </a:prstGeom>
                    <a:noFill/>
                  </pic:spPr>
                </pic:pic>
              </a:graphicData>
            </a:graphic>
          </wp:anchor>
        </w:drawing>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2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480" w:type="dxa"/>
            <w:vAlign w:val="bottom"/>
          </w:tcPr>
          <w:p>
            <w:pPr>
              <w:spacing w:after="0"/>
              <w:rPr>
                <w:sz w:val="20"/>
                <w:szCs w:val="20"/>
                <w:color w:val="auto"/>
              </w:rPr>
            </w:pPr>
            <w:r>
              <w:rPr>
                <w:rFonts w:ascii="Arial" w:cs="Arial" w:eastAsia="Arial" w:hAnsi="Arial"/>
                <w:sz w:val="17"/>
                <w:szCs w:val="17"/>
                <w:color w:val="auto"/>
              </w:rPr>
              <w:t>Expected volatility</w:t>
            </w:r>
          </w:p>
        </w:tc>
        <w:tc>
          <w:tcPr>
            <w:tcW w:w="2080" w:type="dxa"/>
            <w:vAlign w:val="bottom"/>
          </w:tcPr>
          <w:p>
            <w:pPr>
              <w:jc w:val="right"/>
              <w:ind w:right="93"/>
              <w:spacing w:after="0"/>
              <w:rPr>
                <w:sz w:val="20"/>
                <w:szCs w:val="20"/>
                <w:color w:val="auto"/>
              </w:rPr>
            </w:pPr>
            <w:r>
              <w:rPr>
                <w:rFonts w:ascii="Arial" w:cs="Arial" w:eastAsia="Arial" w:hAnsi="Arial"/>
                <w:sz w:val="17"/>
                <w:szCs w:val="17"/>
                <w:color w:val="auto"/>
              </w:rPr>
              <w:t>100%</w:t>
            </w:r>
          </w:p>
        </w:tc>
        <w:tc>
          <w:tcPr>
            <w:tcW w:w="860" w:type="dxa"/>
            <w:vAlign w:val="bottom"/>
          </w:tcPr>
          <w:p>
            <w:pPr>
              <w:jc w:val="right"/>
              <w:ind w:right="93"/>
              <w:spacing w:after="0"/>
              <w:rPr>
                <w:sz w:val="20"/>
                <w:szCs w:val="20"/>
                <w:color w:val="auto"/>
              </w:rPr>
            </w:pPr>
            <w:r>
              <w:rPr>
                <w:rFonts w:ascii="Arial" w:cs="Arial" w:eastAsia="Arial" w:hAnsi="Arial"/>
                <w:sz w:val="17"/>
                <w:szCs w:val="17"/>
                <w:color w:val="auto"/>
              </w:rPr>
              <w:t>52%</w:t>
            </w:r>
          </w:p>
        </w:tc>
        <w:tc>
          <w:tcPr>
            <w:tcW w:w="840" w:type="dxa"/>
            <w:vAlign w:val="bottom"/>
          </w:tcPr>
          <w:p>
            <w:pPr>
              <w:jc w:val="right"/>
              <w:ind w:right="93"/>
              <w:spacing w:after="0"/>
              <w:rPr>
                <w:sz w:val="20"/>
                <w:szCs w:val="20"/>
                <w:color w:val="auto"/>
              </w:rPr>
            </w:pPr>
            <w:r>
              <w:rPr>
                <w:rFonts w:ascii="Arial" w:cs="Arial" w:eastAsia="Arial" w:hAnsi="Arial"/>
                <w:sz w:val="17"/>
                <w:szCs w:val="17"/>
                <w:color w:val="auto"/>
              </w:rPr>
              <w:t>50%</w:t>
            </w:r>
          </w:p>
        </w:tc>
        <w:tc>
          <w:tcPr>
            <w:tcW w:w="920" w:type="dxa"/>
            <w:vAlign w:val="bottom"/>
          </w:tcPr>
          <w:p>
            <w:pPr>
              <w:jc w:val="right"/>
              <w:ind w:right="153"/>
              <w:spacing w:after="0"/>
              <w:rPr>
                <w:sz w:val="20"/>
                <w:szCs w:val="20"/>
                <w:color w:val="auto"/>
              </w:rPr>
            </w:pPr>
            <w:r>
              <w:rPr>
                <w:rFonts w:ascii="Arial" w:cs="Arial" w:eastAsia="Arial" w:hAnsi="Arial"/>
                <w:sz w:val="17"/>
                <w:szCs w:val="17"/>
                <w:color w:val="auto"/>
              </w:rPr>
              <w:t>50%</w:t>
            </w:r>
          </w:p>
        </w:tc>
        <w:tc>
          <w:tcPr>
            <w:tcW w:w="7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19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3.15%</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2.93%</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3.68%</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4.18%</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r>
      <w:tr>
        <w:trPr>
          <w:trHeight w:val="196"/>
        </w:trPr>
        <w:tc>
          <w:tcPr>
            <w:tcW w:w="4480" w:type="dxa"/>
            <w:vAlign w:val="bottom"/>
          </w:tcPr>
          <w:p>
            <w:pPr>
              <w:spacing w:after="0"/>
              <w:rPr>
                <w:sz w:val="20"/>
                <w:szCs w:val="20"/>
                <w:color w:val="auto"/>
              </w:rPr>
            </w:pPr>
            <w:r>
              <w:rPr>
                <w:rFonts w:ascii="Arial" w:cs="Arial" w:eastAsia="Arial" w:hAnsi="Arial"/>
                <w:sz w:val="17"/>
                <w:szCs w:val="17"/>
                <w:color w:val="auto"/>
              </w:rPr>
              <w:t>Expected average life of options (years)</w:t>
            </w:r>
          </w:p>
        </w:tc>
        <w:tc>
          <w:tcPr>
            <w:tcW w:w="2080" w:type="dxa"/>
            <w:vAlign w:val="bottom"/>
          </w:tcPr>
          <w:p>
            <w:pPr>
              <w:jc w:val="right"/>
              <w:ind w:right="253"/>
              <w:spacing w:after="0"/>
              <w:rPr>
                <w:sz w:val="20"/>
                <w:szCs w:val="20"/>
                <w:color w:val="auto"/>
              </w:rPr>
            </w:pPr>
            <w:r>
              <w:rPr>
                <w:rFonts w:ascii="Arial" w:cs="Arial" w:eastAsia="Arial" w:hAnsi="Arial"/>
                <w:sz w:val="17"/>
                <w:szCs w:val="17"/>
                <w:color w:val="auto"/>
              </w:rPr>
              <w:t>2.7</w:t>
            </w:r>
          </w:p>
        </w:tc>
        <w:tc>
          <w:tcPr>
            <w:tcW w:w="860" w:type="dxa"/>
            <w:vAlign w:val="bottom"/>
          </w:tcPr>
          <w:p>
            <w:pPr>
              <w:jc w:val="right"/>
              <w:ind w:right="253"/>
              <w:spacing w:after="0"/>
              <w:rPr>
                <w:sz w:val="20"/>
                <w:szCs w:val="20"/>
                <w:color w:val="auto"/>
              </w:rPr>
            </w:pPr>
            <w:r>
              <w:rPr>
                <w:rFonts w:ascii="Arial" w:cs="Arial" w:eastAsia="Arial" w:hAnsi="Arial"/>
                <w:sz w:val="17"/>
                <w:szCs w:val="17"/>
                <w:color w:val="auto"/>
              </w:rPr>
              <w:t>2.5</w:t>
            </w:r>
          </w:p>
        </w:tc>
        <w:tc>
          <w:tcPr>
            <w:tcW w:w="840" w:type="dxa"/>
            <w:vAlign w:val="bottom"/>
          </w:tcPr>
          <w:p>
            <w:pPr>
              <w:jc w:val="right"/>
              <w:ind w:right="253"/>
              <w:spacing w:after="0"/>
              <w:rPr>
                <w:sz w:val="20"/>
                <w:szCs w:val="20"/>
                <w:color w:val="auto"/>
              </w:rPr>
            </w:pPr>
            <w:r>
              <w:rPr>
                <w:rFonts w:ascii="Arial" w:cs="Arial" w:eastAsia="Arial" w:hAnsi="Arial"/>
                <w:sz w:val="17"/>
                <w:szCs w:val="17"/>
                <w:color w:val="auto"/>
              </w:rPr>
              <w:t>2.9</w:t>
            </w:r>
          </w:p>
        </w:tc>
        <w:tc>
          <w:tcPr>
            <w:tcW w:w="920" w:type="dxa"/>
            <w:vAlign w:val="bottom"/>
          </w:tcPr>
          <w:p>
            <w:pPr>
              <w:jc w:val="right"/>
              <w:ind w:right="313"/>
              <w:spacing w:after="0"/>
              <w:rPr>
                <w:sz w:val="20"/>
                <w:szCs w:val="20"/>
                <w:color w:val="auto"/>
              </w:rPr>
            </w:pPr>
            <w:r>
              <w:rPr>
                <w:rFonts w:ascii="Arial" w:cs="Arial" w:eastAsia="Arial" w:hAnsi="Arial"/>
                <w:sz w:val="17"/>
                <w:szCs w:val="17"/>
                <w:color w:val="auto"/>
              </w:rPr>
              <w:t>2.7</w:t>
            </w:r>
          </w:p>
        </w:tc>
        <w:tc>
          <w:tcPr>
            <w:tcW w:w="740" w:type="dxa"/>
            <w:vAlign w:val="bottom"/>
          </w:tcPr>
          <w:p>
            <w:pPr>
              <w:jc w:val="right"/>
              <w:ind w:right="73"/>
              <w:spacing w:after="0"/>
              <w:rPr>
                <w:sz w:val="20"/>
                <w:szCs w:val="20"/>
                <w:color w:val="auto"/>
              </w:rPr>
            </w:pPr>
            <w:r>
              <w:rPr>
                <w:rFonts w:ascii="Arial" w:cs="Arial" w:eastAsia="Arial" w:hAnsi="Arial"/>
                <w:sz w:val="17"/>
                <w:szCs w:val="17"/>
                <w:color w:val="auto"/>
              </w:rPr>
              <w:t>2.9</w:t>
            </w:r>
          </w:p>
        </w:tc>
      </w:tr>
      <w:tr>
        <w:trPr>
          <w:trHeight w:val="196"/>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Forfeiture rate</w:t>
            </w:r>
          </w:p>
        </w:tc>
        <w:tc>
          <w:tcPr>
            <w:tcW w:w="20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44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20" w:right="40" w:hanging="210"/>
        <w:spacing w:after="0" w:line="281" w:lineRule="auto"/>
        <w:tabs>
          <w:tab w:leader="none" w:pos="22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yield </w:t>
      </w:r>
      <w:r>
        <w:rPr>
          <w:rFonts w:ascii="Arial" w:cs="Arial" w:eastAsia="Arial" w:hAnsi="Arial"/>
          <w:sz w:val="17"/>
          <w:szCs w:val="17"/>
          <w:color w:val="auto"/>
        </w:rPr>
        <w:t>— The Company does not pay regular dividends on its common stock and does not anticipate paying</w:t>
      </w:r>
      <w:r>
        <w:rPr>
          <w:rFonts w:ascii="Arial" w:cs="Arial" w:eastAsia="Arial" w:hAnsi="Arial"/>
          <w:sz w:val="17"/>
          <w:szCs w:val="17"/>
          <w:i w:val="1"/>
          <w:iCs w:val="1"/>
          <w:color w:val="auto"/>
        </w:rPr>
        <w:t xml:space="preserve"> </w:t>
      </w:r>
      <w:r>
        <w:rPr>
          <w:rFonts w:ascii="Arial" w:cs="Arial" w:eastAsia="Arial" w:hAnsi="Arial"/>
          <w:sz w:val="17"/>
          <w:szCs w:val="17"/>
          <w:color w:val="auto"/>
        </w:rPr>
        <w:t>any dividends in the foreseeable future.</w:t>
      </w:r>
    </w:p>
    <w:p>
      <w:pPr>
        <w:spacing w:after="0" w:line="39" w:lineRule="exact"/>
        <w:rPr>
          <w:rFonts w:ascii="Arial" w:cs="Arial" w:eastAsia="Arial" w:hAnsi="Arial"/>
          <w:sz w:val="17"/>
          <w:szCs w:val="17"/>
          <w:color w:val="auto"/>
        </w:rPr>
      </w:pPr>
    </w:p>
    <w:p>
      <w:pPr>
        <w:ind w:left="220" w:right="140" w:hanging="210"/>
        <w:spacing w:after="0" w:line="254" w:lineRule="auto"/>
        <w:tabs>
          <w:tab w:leader="none" w:pos="22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Volatility is a measure of the amount by which a financial variable, such as share price, has fluctuated</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volatility) or is expected to fluctuate (expected volatility) during a period. The Company uses the historical volatility of similar companies over the preceding three-year period to estimate expected volatility. Since 2003, the annual volatility of these similar companies has ranged from 18.4% to 29.4%, with an average of 23.4%.</w:t>
      </w:r>
    </w:p>
    <w:p>
      <w:pPr>
        <w:spacing w:after="0" w:line="62" w:lineRule="exact"/>
        <w:rPr>
          <w:rFonts w:ascii="Arial" w:cs="Arial" w:eastAsia="Arial" w:hAnsi="Arial"/>
          <w:sz w:val="17"/>
          <w:szCs w:val="17"/>
          <w:color w:val="auto"/>
        </w:rPr>
      </w:pPr>
    </w:p>
    <w:p>
      <w:pPr>
        <w:ind w:left="220" w:right="220" w:hanging="210"/>
        <w:spacing w:after="0" w:line="281" w:lineRule="auto"/>
        <w:tabs>
          <w:tab w:leader="none" w:pos="22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 This is the average U.S. Treasury rate with a term that most closely resembles the expected life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option for the quarter in which the option was granted.</w:t>
      </w:r>
    </w:p>
    <w:p>
      <w:pPr>
        <w:spacing w:after="0" w:line="39" w:lineRule="exact"/>
        <w:rPr>
          <w:rFonts w:ascii="Arial" w:cs="Arial" w:eastAsia="Arial" w:hAnsi="Arial"/>
          <w:sz w:val="17"/>
          <w:szCs w:val="17"/>
          <w:color w:val="auto"/>
        </w:rPr>
      </w:pPr>
    </w:p>
    <w:p>
      <w:pPr>
        <w:ind w:left="220" w:right="120" w:hanging="210"/>
        <w:spacing w:after="0" w:line="261" w:lineRule="auto"/>
        <w:tabs>
          <w:tab w:leader="none" w:pos="22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Expected average life of options </w:t>
      </w:r>
      <w:r>
        <w:rPr>
          <w:rFonts w:ascii="Arial" w:cs="Arial" w:eastAsia="Arial" w:hAnsi="Arial"/>
          <w:sz w:val="17"/>
          <w:szCs w:val="17"/>
          <w:color w:val="auto"/>
        </w:rPr>
        <w:t>— This is the period of time that the options granted are expected to remain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This estimate is based primarily on the employee position profile of option holders and the trading lock out periods that result from the employees access to stock price sensitive information.</w:t>
      </w:r>
    </w:p>
    <w:p>
      <w:pPr>
        <w:spacing w:after="0" w:line="56" w:lineRule="exact"/>
        <w:rPr>
          <w:rFonts w:ascii="Arial" w:cs="Arial" w:eastAsia="Arial" w:hAnsi="Arial"/>
          <w:sz w:val="17"/>
          <w:szCs w:val="17"/>
          <w:color w:val="auto"/>
        </w:rPr>
      </w:pPr>
    </w:p>
    <w:p>
      <w:pPr>
        <w:ind w:left="220" w:right="400" w:hanging="210"/>
        <w:spacing w:after="0" w:line="261" w:lineRule="auto"/>
        <w:tabs>
          <w:tab w:leader="none" w:pos="22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Forfeiture rate </w:t>
      </w:r>
      <w:r>
        <w:rPr>
          <w:rFonts w:ascii="Arial" w:cs="Arial" w:eastAsia="Arial" w:hAnsi="Arial"/>
          <w:sz w:val="17"/>
          <w:szCs w:val="17"/>
          <w:color w:val="auto"/>
        </w:rPr>
        <w:t>— This is the estimated percentage of options granted that are expected to be forfeited or cancelled on an</w:t>
      </w:r>
      <w:r>
        <w:rPr>
          <w:rFonts w:ascii="Arial" w:cs="Arial" w:eastAsia="Arial" w:hAnsi="Arial"/>
          <w:sz w:val="17"/>
          <w:szCs w:val="17"/>
          <w:i w:val="1"/>
          <w:iCs w:val="1"/>
          <w:color w:val="auto"/>
        </w:rPr>
        <w:t xml:space="preserve"> </w:t>
      </w:r>
      <w:r>
        <w:rPr>
          <w:rFonts w:ascii="Arial" w:cs="Arial" w:eastAsia="Arial" w:hAnsi="Arial"/>
          <w:sz w:val="17"/>
          <w:szCs w:val="17"/>
          <w:color w:val="auto"/>
        </w:rPr>
        <w:t>annual basis before becoming fully vested. The Company estimates the forfeiture rate based on past turnover data with further consideration given to the level of the employees to whom the options were granted.</w:t>
      </w:r>
    </w:p>
    <w:p>
      <w:pPr>
        <w:spacing w:after="0" w:line="8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Prior to the adoption of SFAS No. 123(R), the Company presented all tax benefits of deductions resulting from the exercise of stock options as operating cash flows in the statement of cash flows. SFAS No. 123(R) requires the cash flows resulting from the tax benefits of deductions in excess of the compensation cost recognized for those options (excess tax benefits) to be classified as financing cash flows. There were no excess tax benefits classified as a financing cash inflow in the period ended September 30, 2006.</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199" w:name="page200"/>
    <w:bookmarkEnd w:id="199"/>
    <w:p>
      <w:pPr>
        <w:ind w:right="40"/>
        <w:spacing w:after="0" w:line="245" w:lineRule="auto"/>
        <w:rPr>
          <w:sz w:val="20"/>
          <w:szCs w:val="20"/>
          <w:color w:val="auto"/>
        </w:rPr>
      </w:pPr>
      <w:r>
        <w:rPr>
          <w:rFonts w:ascii="Arial" w:cs="Arial" w:eastAsia="Arial" w:hAnsi="Arial"/>
          <w:sz w:val="17"/>
          <w:szCs w:val="17"/>
          <w:color w:val="auto"/>
        </w:rPr>
        <w:t>The following table illustrates the effect on net income (loss) and net income (loss) per share if the Company had applied the fair value recognition provisions of SFAS No. 123 to stock-based employee compensation for the three years ended December 31, 2003, 2004 and 2005 and for the nine months ended September 30, 2005 and 2006. The reported and pro forma net income (loss) and net income (loss) per share for the nine month period ended September 30, 2006 are the same because stock-based compensation expense is recorded under the provisions of SFAS No. 123(R) for that period.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6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w w:val="98"/>
              </w:rPr>
              <w:t>Year ended December 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center"/>
              <w:ind w:left="174"/>
              <w:spacing w:after="0"/>
              <w:rPr>
                <w:sz w:val="20"/>
                <w:szCs w:val="20"/>
                <w:color w:val="auto"/>
              </w:rPr>
            </w:pPr>
            <w:r>
              <w:rPr>
                <w:rFonts w:ascii="Arial" w:cs="Arial" w:eastAsia="Arial" w:hAnsi="Arial"/>
                <w:sz w:val="16"/>
                <w:szCs w:val="16"/>
                <w:b w:val="1"/>
                <w:bCs w:val="1"/>
                <w:color w:val="auto"/>
                <w:w w:val="96"/>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2003</w:t>
            </w:r>
          </w:p>
        </w:tc>
        <w:tc>
          <w:tcPr>
            <w:tcW w:w="3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Net income, as reported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4,454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9"/>
              </w:rPr>
              <w:t>11,472</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15,784</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8"/>
              </w:rPr>
              <w:t>6,252</w:t>
            </w:r>
          </w:p>
        </w:tc>
        <w:tc>
          <w:tcPr>
            <w:tcW w:w="26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Add: Stock-based compensation in reported net income, net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Arial" w:cs="Arial" w:eastAsia="Arial" w:hAnsi="Arial"/>
                <w:sz w:val="17"/>
                <w:szCs w:val="17"/>
                <w:color w:val="auto"/>
              </w:rPr>
              <w:t>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2,801</w:t>
            </w:r>
          </w:p>
        </w:tc>
        <w:tc>
          <w:tcPr>
            <w:tcW w:w="2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Deduct: Total stock-based compensation expense determined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under the fair value based method for all awards, net of taxes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(3,185)</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(161)</w:t>
            </w:r>
          </w:p>
        </w:tc>
        <w:tc>
          <w:tcPr>
            <w:tcW w:w="2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7"/>
                <w:szCs w:val="17"/>
                <w:color w:val="auto"/>
              </w:rPr>
              <w:t>Pro forma net income</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4,321</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4"/>
              <w:spacing w:after="0"/>
              <w:rPr>
                <w:sz w:val="20"/>
                <w:szCs w:val="20"/>
                <w:color w:val="auto"/>
              </w:rPr>
            </w:pPr>
            <w:r>
              <w:rPr>
                <w:rFonts w:ascii="Arial" w:cs="Arial" w:eastAsia="Arial" w:hAnsi="Arial"/>
                <w:sz w:val="17"/>
                <w:szCs w:val="17"/>
                <w:color w:val="auto"/>
                <w:w w:val="99"/>
              </w:rPr>
              <w:t>11,088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15,526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w w:val="98"/>
              </w:rPr>
              <w:t>6,091</w:t>
            </w:r>
          </w:p>
        </w:tc>
        <w:tc>
          <w:tcPr>
            <w:tcW w:w="260" w:type="dxa"/>
            <w:vAlign w:val="bottom"/>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(3,336)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attributable to common stockholders per</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share — 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0.61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0.31</w:t>
            </w:r>
          </w:p>
        </w:tc>
        <w:tc>
          <w:tcPr>
            <w:tcW w:w="26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Net income (loss) attributable to common stockholders per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ind w:left="140"/>
              <w:spacing w:after="0"/>
              <w:rPr>
                <w:sz w:val="20"/>
                <w:szCs w:val="20"/>
                <w:color w:val="auto"/>
              </w:rPr>
            </w:pPr>
            <w:r>
              <w:rPr>
                <w:rFonts w:ascii="Arial" w:cs="Arial" w:eastAsia="Arial" w:hAnsi="Arial"/>
                <w:sz w:val="17"/>
                <w:szCs w:val="17"/>
                <w:color w:val="auto"/>
              </w:rPr>
              <w:t>common share — diluted</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0.22</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0.56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0.69</w:t>
            </w:r>
          </w:p>
        </w:tc>
        <w:tc>
          <w:tcPr>
            <w:tcW w:w="2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34"/>
              <w:spacing w:after="0"/>
              <w:rPr>
                <w:sz w:val="20"/>
                <w:szCs w:val="20"/>
                <w:color w:val="auto"/>
              </w:rPr>
            </w:pPr>
            <w:r>
              <w:rPr>
                <w:rFonts w:ascii="Arial" w:cs="Arial" w:eastAsia="Arial" w:hAnsi="Arial"/>
                <w:sz w:val="17"/>
                <w:szCs w:val="17"/>
                <w:color w:val="auto"/>
              </w:rPr>
              <w:t>0.28</w:t>
            </w:r>
          </w:p>
        </w:tc>
        <w:tc>
          <w:tcPr>
            <w:tcW w:w="260" w:type="dxa"/>
            <w:vAlign w:val="bottom"/>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income (loss) attributable to common stockholders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per common share — 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0.23</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0.59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0.76</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0.31</w:t>
            </w:r>
          </w:p>
        </w:tc>
        <w:tc>
          <w:tcPr>
            <w:tcW w:w="260" w:type="dxa"/>
            <w:vAlign w:val="bottom"/>
            <w:shd w:val="clear" w:color="auto" w:fill="CCEEFF"/>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Pro forma net income (loss) attributable to common stockholders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per common share — diluted</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0.21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0.54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0.68</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0.28</w:t>
            </w:r>
          </w:p>
        </w:tc>
        <w:tc>
          <w:tcPr>
            <w:tcW w:w="260" w:type="dxa"/>
            <w:vAlign w:val="bottom"/>
            <w:tcBorders>
              <w:bottom w:val="single" w:sz="8" w:color="auto"/>
            </w:tcBorders>
          </w:tcPr>
          <w:p>
            <w:pPr>
              <w:jc w:val="center"/>
              <w:ind w:left="73"/>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3"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 xml:space="preserve">In September 2006, the FASB issued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(SFAS No. 157). SFAS No. 157 defines fair value, establishes a framework for measuring fair value in generally accepted accounting principles and expands disclosures about fair value measurements. SFAS No. 157 emphasizes that fair value is a market-based measurement, not an entity-specific measurement. Therefore, a fair value measurement should be determined based on the assumptions that market participants would use in pricing the asset or liability. The provisions of SFAS No. 157 are effective for fiscal years beginning after November 15, 2007 and interim periods within those fiscal years. Prior to adoption, the Company will evaluate the impact of adopting SFAS No. 157 on the financial statements.</w:t>
      </w:r>
    </w:p>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In June 2006, the FASB issued FASB Interpretation 48, </w:t>
      </w:r>
      <w:r>
        <w:rPr>
          <w:rFonts w:ascii="Arial" w:cs="Arial" w:eastAsia="Arial" w:hAnsi="Arial"/>
          <w:sz w:val="17"/>
          <w:szCs w:val="17"/>
          <w:i w:val="1"/>
          <w:iCs w:val="1"/>
          <w:color w:val="auto"/>
        </w:rPr>
        <w:t>Accounting for Uncertainty in Income Taxes — an interpretation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109, Accounting for Income Taxes </w:t>
      </w:r>
      <w:r>
        <w:rPr>
          <w:rFonts w:ascii="Arial" w:cs="Arial" w:eastAsia="Arial" w:hAnsi="Arial"/>
          <w:sz w:val="17"/>
          <w:szCs w:val="17"/>
          <w:color w:val="auto"/>
        </w:rPr>
        <w:t>(FIN 48). FIN 48 clarifies the accounting for uncertainty in income taxes.</w:t>
      </w:r>
    </w:p>
    <w:p>
      <w:pPr>
        <w:spacing w:after="0" w:line="245" w:lineRule="auto"/>
        <w:rPr>
          <w:sz w:val="20"/>
          <w:szCs w:val="20"/>
          <w:color w:val="auto"/>
        </w:rPr>
      </w:pPr>
      <w:r>
        <w:rPr>
          <w:rFonts w:ascii="Arial" w:cs="Arial" w:eastAsia="Arial" w:hAnsi="Arial"/>
          <w:sz w:val="17"/>
          <w:szCs w:val="17"/>
          <w:color w:val="auto"/>
        </w:rPr>
        <w:t>FIN 48 prescribes a recognition threshold and measurement attribute for the financial statement recognition and measurement of a tax position taken or expected to be taken in a tax return. FIN 48 requires that the Company recognize in its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 The provisions of FIN 48 are effective for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00" w:name="page201"/>
    <w:bookmarkEnd w:id="200"/>
    <w:p>
      <w:pPr>
        <w:ind w:right="120"/>
        <w:spacing w:after="0" w:line="250" w:lineRule="auto"/>
        <w:rPr>
          <w:sz w:val="20"/>
          <w:szCs w:val="20"/>
          <w:color w:val="auto"/>
        </w:rPr>
      </w:pPr>
      <w:r>
        <w:rPr>
          <w:rFonts w:ascii="Arial" w:cs="Arial" w:eastAsia="Arial" w:hAnsi="Arial"/>
          <w:sz w:val="17"/>
          <w:szCs w:val="17"/>
          <w:color w:val="auto"/>
        </w:rPr>
        <w:t>fiscal years beginning after December 15, 2006, with the cumulative effect of the change in accounting principle recorded as an adjustment to opening retained earnings. The Company is currently evaluating the impact of adopting FIN 48 on the financial statements.</w:t>
      </w:r>
    </w:p>
    <w:p>
      <w:pPr>
        <w:spacing w:after="0" w:line="7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 xml:space="preserve">In March 2006, the FASB issued Statement No. 156, </w:t>
      </w:r>
      <w:r>
        <w:rPr>
          <w:rFonts w:ascii="Arial" w:cs="Arial" w:eastAsia="Arial" w:hAnsi="Arial"/>
          <w:sz w:val="17"/>
          <w:szCs w:val="17"/>
          <w:i w:val="1"/>
          <w:iCs w:val="1"/>
          <w:color w:val="auto"/>
        </w:rPr>
        <w:t>Accounting for Servicing of Financial Assets —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140 </w:t>
      </w:r>
      <w:r>
        <w:rPr>
          <w:rFonts w:ascii="Arial" w:cs="Arial" w:eastAsia="Arial" w:hAnsi="Arial"/>
          <w:sz w:val="17"/>
          <w:szCs w:val="17"/>
          <w:color w:val="auto"/>
        </w:rPr>
        <w:t>(SFAS No. 156). SFAS No. 156 requires an entity to recognize a servicing asset or servicing liability each</w:t>
      </w:r>
      <w:r>
        <w:rPr>
          <w:rFonts w:ascii="Arial" w:cs="Arial" w:eastAsia="Arial" w:hAnsi="Arial"/>
          <w:sz w:val="17"/>
          <w:szCs w:val="17"/>
          <w:i w:val="1"/>
          <w:iCs w:val="1"/>
          <w:color w:val="auto"/>
        </w:rPr>
        <w:t xml:space="preserve"> </w:t>
      </w:r>
      <w:r>
        <w:rPr>
          <w:rFonts w:ascii="Arial" w:cs="Arial" w:eastAsia="Arial" w:hAnsi="Arial"/>
          <w:sz w:val="17"/>
          <w:szCs w:val="17"/>
          <w:color w:val="auto"/>
        </w:rPr>
        <w:t>time it undertakes an obligation to service a financial asset by entering into a servicing contract based on certain conditions. The provisions of SFAS No. 156 are effective for fiscal years beginning after September 15, 2006. The adoption of SFAS No. 156 will not have a material impact on the Company’s consolidated financial statements.</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 xml:space="preserve">In February 2006, the FASB issued Statement No. 155, </w:t>
      </w:r>
      <w:r>
        <w:rPr>
          <w:rFonts w:ascii="Arial" w:cs="Arial" w:eastAsia="Arial" w:hAnsi="Arial"/>
          <w:sz w:val="17"/>
          <w:szCs w:val="17"/>
          <w:i w:val="1"/>
          <w:iCs w:val="1"/>
          <w:color w:val="auto"/>
        </w:rPr>
        <w:t>Accounting for Certain Hybrid Financial Instruments — an amendment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FASB Statements No. 133 and 140 </w:t>
      </w:r>
      <w:r>
        <w:rPr>
          <w:rFonts w:ascii="Arial" w:cs="Arial" w:eastAsia="Arial" w:hAnsi="Arial"/>
          <w:sz w:val="17"/>
          <w:szCs w:val="17"/>
          <w:color w:val="auto"/>
        </w:rPr>
        <w:t>(SFAS No. 155). SFAS No. 155 permits fair value remeasurement for any hybrid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Statement No. 140 to eliminate the prohibition on a qualifying special-purpose entity from holding a derivative financial instrument that pertains to a beneficial interest other than another derivative financial instrument. The provisions of SFAS No. 155 are effective for fiscal years beginning after September 15, 2006. The adoption of SFAS No. 155 will not have a material impact on the Company’s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Certain prior period amounts have been reclassified to conform to the current period presentation.</w:t>
      </w:r>
    </w:p>
    <w:p>
      <w:pPr>
        <w:spacing w:after="0" w:line="192" w:lineRule="exact"/>
        <w:rPr>
          <w:sz w:val="20"/>
          <w:szCs w:val="20"/>
          <w:color w:val="auto"/>
        </w:rPr>
      </w:pPr>
    </w:p>
    <w:p>
      <w:pPr>
        <w:ind w:left="420" w:hanging="410"/>
        <w:spacing w:after="0"/>
        <w:tabs>
          <w:tab w:leader="none" w:pos="420" w:val="left"/>
        </w:tabs>
        <w:numPr>
          <w:ilvl w:val="0"/>
          <w:numId w:val="137"/>
        </w:numPr>
        <w:rPr>
          <w:rFonts w:ascii="Arial" w:cs="Arial" w:eastAsia="Arial" w:hAnsi="Arial"/>
          <w:sz w:val="21"/>
          <w:szCs w:val="21"/>
          <w:b w:val="1"/>
          <w:bCs w:val="1"/>
          <w:color w:val="auto"/>
        </w:rPr>
      </w:pPr>
      <w:r>
        <w:rPr>
          <w:rFonts w:ascii="Arial" w:cs="Arial" w:eastAsia="Arial" w:hAnsi="Arial"/>
          <w:sz w:val="21"/>
          <w:szCs w:val="21"/>
          <w:b w:val="1"/>
          <w:bCs w:val="1"/>
          <w:color w:val="auto"/>
        </w:rPr>
        <w:t>Acquisitions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ViVacs GmbH</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July 14, 2006, Emergent International, Inc., a wholly owned subsidiary of the Company incorporated in Delaware (EII), completed the acquisition of ViVacs GmbH, a German limited liability company (ViVacs), pursuant to the terms and conditions of the Share Exchange Agreement dated July 14, 2006 by and between EII and ViVacs. EII paid $150 in cash on the closing date of the agreement and agreed to pay $50 on each of the first and second anniversaries of the closing date. The acquisition agreement also provides for a potential variable earn-out purchase price of up to $220, based on future payments from third party licensees of the technology. As of September 30, 2006, the Company has not received any such payments from third party licensees. Because ViVacs was a development stage company that had not commenced its planned principal operations, the transaction was accounted for as an acquisition of assets rather than as a business combination and, therefore, goodwill was not recorded.</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Total purchase consideration consisted of:</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2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7600" w:type="dxa"/>
            <w:vAlign w:val="bottom"/>
            <w:shd w:val="clear" w:color="auto" w:fill="000000"/>
          </w:tcPr>
          <w:p>
            <w:pPr>
              <w:spacing w:after="0"/>
              <w:rPr>
                <w:sz w:val="3"/>
                <w:szCs w:val="3"/>
                <w:color w:val="auto"/>
              </w:rPr>
            </w:pPr>
          </w:p>
        </w:tc>
        <w:tc>
          <w:tcPr>
            <w:tcW w:w="16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(including the present value of future guaranteed cash payments of $100)</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spacing w:after="0"/>
              <w:rPr>
                <w:sz w:val="20"/>
                <w:szCs w:val="20"/>
                <w:color w:val="auto"/>
              </w:rPr>
            </w:pPr>
            <w:r>
              <w:rPr>
                <w:rFonts w:ascii="Arial" w:cs="Arial" w:eastAsia="Arial" w:hAnsi="Arial"/>
                <w:sz w:val="17"/>
                <w:szCs w:val="17"/>
                <w:color w:val="auto"/>
              </w:rPr>
              <w:t>Direct acquisition costs</w:t>
            </w:r>
          </w:p>
        </w:tc>
        <w:tc>
          <w:tcPr>
            <w:tcW w:w="166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purchase consideration</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right="540"/>
        <w:spacing w:after="0" w:line="261" w:lineRule="auto"/>
        <w:rPr>
          <w:sz w:val="20"/>
          <w:szCs w:val="20"/>
          <w:color w:val="auto"/>
        </w:rPr>
      </w:pPr>
      <w:r>
        <w:rPr>
          <w:rFonts w:ascii="Arial" w:cs="Arial" w:eastAsia="Arial" w:hAnsi="Arial"/>
          <w:sz w:val="17"/>
          <w:szCs w:val="17"/>
          <w:color w:val="auto"/>
        </w:rPr>
        <w:t xml:space="preserve">The assets acquired were accounted for in accordance with the provisions of SFAS No. 141,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No. 141). All of the tangible and intangible assets acquired and liabilities assumed of ViVacs were recorded at their estimated fair market values on the acquisition date.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01" w:name="page202"/>
    <w:bookmarkEnd w:id="201"/>
    <w:p>
      <w:pPr>
        <w:ind w:left="680"/>
        <w:spacing w:after="0"/>
        <w:rPr>
          <w:sz w:val="20"/>
          <w:szCs w:val="20"/>
          <w:color w:val="auto"/>
        </w:rPr>
      </w:pPr>
      <w:r>
        <w:rPr>
          <w:rFonts w:ascii="Arial" w:cs="Arial" w:eastAsia="Arial" w:hAnsi="Arial"/>
          <w:sz w:val="17"/>
          <w:szCs w:val="17"/>
          <w:color w:val="auto"/>
        </w:rPr>
        <w:t>The purchase price was allocated as follows: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980" w:type="dxa"/>
            <w:vAlign w:val="bottom"/>
            <w:tcBorders>
              <w:bottom w:val="single" w:sz="8" w:color="auto"/>
            </w:tcBorders>
            <w:shd w:val="clear" w:color="auto" w:fill="CCEEFF"/>
          </w:tcPr>
          <w:p>
            <w:pPr>
              <w:spacing w:after="0"/>
              <w:rPr>
                <w:sz w:val="18"/>
                <w:szCs w:val="18"/>
                <w:color w:val="auto"/>
              </w:rPr>
            </w:pPr>
          </w:p>
        </w:tc>
        <w:tc>
          <w:tcPr>
            <w:tcW w:w="3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$ 153</w:t>
            </w:r>
          </w:p>
        </w:tc>
        <w:tc>
          <w:tcPr>
            <w:tcW w:w="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3700" w:type="dxa"/>
            <w:vAlign w:val="bottom"/>
            <w:gridSpan w:val="2"/>
          </w:tcPr>
          <w:p>
            <w:pPr>
              <w:jc w:val="right"/>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2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(297)</w:t>
            </w:r>
          </w:p>
        </w:tc>
      </w:tr>
      <w:tr>
        <w:trPr>
          <w:trHeight w:val="203"/>
        </w:trPr>
        <w:tc>
          <w:tcPr>
            <w:tcW w:w="6140" w:type="dxa"/>
            <w:vAlign w:val="bottom"/>
            <w:gridSpan w:val="3"/>
          </w:tcPr>
          <w:p>
            <w:pPr>
              <w:spacing w:after="0"/>
              <w:rPr>
                <w:sz w:val="20"/>
                <w:szCs w:val="20"/>
                <w:color w:val="auto"/>
              </w:rPr>
            </w:pPr>
            <w:r>
              <w:rPr>
                <w:rFonts w:ascii="Arial" w:cs="Arial" w:eastAsia="Arial" w:hAnsi="Arial"/>
                <w:sz w:val="17"/>
                <w:szCs w:val="17"/>
                <w:color w:val="auto"/>
              </w:rPr>
              <w:t>Net liabilities acquired</w:t>
            </w:r>
          </w:p>
        </w:tc>
        <w:tc>
          <w:tcPr>
            <w:tcW w:w="324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In-process research and development</w:t>
            </w:r>
          </w:p>
        </w:tc>
        <w:tc>
          <w:tcPr>
            <w:tcW w:w="324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80" w:type="dxa"/>
            <w:vAlign w:val="bottom"/>
            <w:shd w:val="clear" w:color="auto" w:fill="CCEEFF"/>
          </w:tcPr>
          <w:p>
            <w:pPr>
              <w:spacing w:after="0"/>
              <w:rPr>
                <w:sz w:val="17"/>
                <w:szCs w:val="17"/>
                <w:color w:val="auto"/>
              </w:rPr>
            </w:pPr>
          </w:p>
        </w:tc>
      </w:tr>
      <w:tr>
        <w:trPr>
          <w:trHeight w:val="216"/>
        </w:trPr>
        <w:tc>
          <w:tcPr>
            <w:tcW w:w="61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Total purchase consideration</w:t>
            </w:r>
          </w:p>
        </w:tc>
        <w:tc>
          <w:tcPr>
            <w:tcW w:w="3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$ 430</w:t>
            </w:r>
          </w:p>
        </w:tc>
        <w:tc>
          <w:tcPr>
            <w:tcW w:w="8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p>
      <w:pPr>
        <w:ind w:left="680" w:right="960"/>
        <w:spacing w:after="0" w:line="250" w:lineRule="auto"/>
        <w:rPr>
          <w:sz w:val="20"/>
          <w:szCs w:val="20"/>
          <w:color w:val="auto"/>
        </w:rPr>
      </w:pPr>
      <w:r>
        <w:rPr>
          <w:rFonts w:ascii="Arial" w:cs="Arial" w:eastAsia="Arial" w:hAnsi="Arial"/>
          <w:sz w:val="17"/>
          <w:szCs w:val="17"/>
          <w:color w:val="auto"/>
        </w:rPr>
        <w:t>In connection with the transaction, the Company recorded a charge of $477 for acquired research projects associated with product candidates in development for which, at the acquisition date, technological feasibility had not been established and, for accounting purposes, no alternative future use existed.</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Microscience Limited</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On June 23, 2005, Emergent Europe, Inc., a wholly owned subsidiary of the Company incorporated in Delaware (EEI),</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completed the acquisition of Microscience pursuant to the terms and conditions of the Share Exchange Agreement dated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June 23, 2005 by and between EEI and Microscience Holdings plc, a public limited liability company incorporated in England. At</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closing date, the Company, through EEI, issued Microscience shareholders 3,636,801 shares of the Company’s Class A</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Common Stock in exchange for all of the outstanding stock of Microscience. Shares of Class A Common Stock of the Company</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were valued for financial statement purposes at $7.42 per share based on a determination of the estimated fair value by the</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Company’s board of directors. Because Microscience was a development stage company that had not commenced its planned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principal operations, the transaction was accounted for as an acquisition of assets rather than as a business combination and,</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therefore, goodwill was not recorded.</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purchase consideration consisted of:</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5540" w:type="dxa"/>
            <w:vAlign w:val="bottom"/>
            <w:shd w:val="clear" w:color="auto" w:fill="000000"/>
          </w:tcPr>
          <w:p>
            <w:pPr>
              <w:spacing w:after="0"/>
              <w:rPr>
                <w:sz w:val="3"/>
                <w:szCs w:val="3"/>
                <w:color w:val="auto"/>
              </w:rPr>
            </w:pPr>
          </w:p>
        </w:tc>
        <w:tc>
          <w:tcPr>
            <w:tcW w:w="350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r>
      <w:tr>
        <w:trPr>
          <w:trHeight w:val="196"/>
        </w:trPr>
        <w:tc>
          <w:tcPr>
            <w:tcW w:w="5700" w:type="dxa"/>
            <w:vAlign w:val="bottom"/>
            <w:gridSpan w:val="2"/>
          </w:tcPr>
          <w:p>
            <w:pPr>
              <w:spacing w:after="0"/>
              <w:rPr>
                <w:sz w:val="20"/>
                <w:szCs w:val="20"/>
                <w:color w:val="auto"/>
              </w:rPr>
            </w:pPr>
            <w:r>
              <w:rPr>
                <w:rFonts w:ascii="Arial" w:cs="Arial" w:eastAsia="Arial" w:hAnsi="Arial"/>
                <w:sz w:val="17"/>
                <w:szCs w:val="17"/>
                <w:color w:val="auto"/>
              </w:rPr>
              <w:t>Fair value of common stock</w:t>
            </w:r>
          </w:p>
        </w:tc>
        <w:tc>
          <w:tcPr>
            <w:tcW w:w="4140" w:type="dxa"/>
            <w:vAlign w:val="bottom"/>
            <w:gridSpan w:val="2"/>
          </w:tcPr>
          <w:p>
            <w:pPr>
              <w:jc w:val="right"/>
              <w:spacing w:after="0"/>
              <w:rPr>
                <w:sz w:val="20"/>
                <w:szCs w:val="20"/>
                <w:color w:val="auto"/>
              </w:rPr>
            </w:pPr>
            <w:r>
              <w:rPr>
                <w:rFonts w:ascii="Arial" w:cs="Arial" w:eastAsia="Arial" w:hAnsi="Arial"/>
                <w:sz w:val="17"/>
                <w:szCs w:val="17"/>
                <w:color w:val="auto"/>
              </w:rPr>
              <w:t>$27,001</w:t>
            </w:r>
          </w:p>
        </w:tc>
        <w:tc>
          <w:tcPr>
            <w:tcW w:w="80" w:type="dxa"/>
            <w:vAlign w:val="bottom"/>
          </w:tcPr>
          <w:p>
            <w:pPr>
              <w:spacing w:after="0"/>
              <w:rPr>
                <w:sz w:val="17"/>
                <w:szCs w:val="17"/>
                <w:color w:val="auto"/>
              </w:rPr>
            </w:pPr>
          </w:p>
        </w:tc>
      </w:tr>
      <w:tr>
        <w:trPr>
          <w:trHeight w:val="196"/>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 acquisition costs</w:t>
            </w:r>
          </w:p>
        </w:tc>
        <w:tc>
          <w:tcPr>
            <w:tcW w:w="35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w:t>
            </w:r>
          </w:p>
        </w:tc>
        <w:tc>
          <w:tcPr>
            <w:tcW w:w="80" w:type="dxa"/>
            <w:vAlign w:val="bottom"/>
            <w:shd w:val="clear" w:color="auto" w:fill="CCEEFF"/>
          </w:tcPr>
          <w:p>
            <w:pPr>
              <w:spacing w:after="0"/>
              <w:rPr>
                <w:sz w:val="17"/>
                <w:szCs w:val="17"/>
                <w:color w:val="auto"/>
              </w:rPr>
            </w:pPr>
          </w:p>
        </w:tc>
      </w:tr>
      <w:tr>
        <w:trPr>
          <w:trHeight w:val="216"/>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purchase consideration</w:t>
            </w:r>
          </w:p>
        </w:tc>
        <w:tc>
          <w:tcPr>
            <w:tcW w:w="4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$28,195</w:t>
            </w:r>
          </w:p>
        </w:tc>
        <w:tc>
          <w:tcPr>
            <w:tcW w:w="8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p>
      <w:pPr>
        <w:jc w:val="both"/>
        <w:ind w:left="680" w:right="1060"/>
        <w:spacing w:after="0" w:line="250" w:lineRule="auto"/>
        <w:rPr>
          <w:sz w:val="20"/>
          <w:szCs w:val="20"/>
          <w:color w:val="auto"/>
        </w:rPr>
      </w:pPr>
      <w:r>
        <w:rPr>
          <w:rFonts w:ascii="Arial" w:cs="Arial" w:eastAsia="Arial" w:hAnsi="Arial"/>
          <w:sz w:val="17"/>
          <w:szCs w:val="17"/>
          <w:color w:val="auto"/>
        </w:rPr>
        <w:t>The assets acquired were accounted for in accordance with the provisions of SFAS No. 141. All of the tangible and intangible assets acquired and liabilities assumed of Microscience were recorded at their estimated fair market values on the acquisition date.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purchase price was allocated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720" w:type="dxa"/>
            <w:vAlign w:val="bottom"/>
            <w:tcBorders>
              <w:right w:val="single" w:sz="8" w:color="CCEEFF"/>
            </w:tcBorders>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700" w:type="dxa"/>
            <w:vAlign w:val="bottom"/>
            <w:shd w:val="clear" w:color="auto" w:fill="000000"/>
          </w:tcPr>
          <w:p>
            <w:pPr>
              <w:spacing w:after="0"/>
              <w:rPr>
                <w:sz w:val="3"/>
                <w:szCs w:val="3"/>
                <w:color w:val="auto"/>
              </w:rPr>
            </w:pPr>
          </w:p>
        </w:tc>
        <w:tc>
          <w:tcPr>
            <w:tcW w:w="53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tcPr>
          <w:p>
            <w:pPr>
              <w:spacing w:after="0"/>
              <w:rPr>
                <w:sz w:val="3"/>
                <w:szCs w:val="3"/>
                <w:color w:val="auto"/>
              </w:rPr>
            </w:pPr>
          </w:p>
        </w:tc>
      </w:tr>
      <w:tr>
        <w:trPr>
          <w:trHeight w:val="196"/>
        </w:trPr>
        <w:tc>
          <w:tcPr>
            <w:tcW w:w="7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5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1,441</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5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(684)</w:t>
            </w:r>
          </w:p>
        </w:tc>
        <w:tc>
          <w:tcPr>
            <w:tcW w:w="8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assets acquired</w:t>
            </w:r>
          </w:p>
        </w:tc>
        <w:tc>
          <w:tcPr>
            <w:tcW w:w="53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1,620</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3840" w:type="dxa"/>
            <w:vAlign w:val="bottom"/>
            <w:gridSpan w:val="2"/>
          </w:tcPr>
          <w:p>
            <w:pPr>
              <w:spacing w:after="0"/>
              <w:rPr>
                <w:sz w:val="20"/>
                <w:szCs w:val="20"/>
                <w:color w:val="auto"/>
              </w:rPr>
            </w:pPr>
            <w:r>
              <w:rPr>
                <w:rFonts w:ascii="Arial" w:cs="Arial" w:eastAsia="Arial" w:hAnsi="Arial"/>
                <w:sz w:val="17"/>
                <w:szCs w:val="17"/>
                <w:color w:val="auto"/>
              </w:rPr>
              <w:t>In-process research and development</w:t>
            </w:r>
          </w:p>
        </w:tc>
        <w:tc>
          <w:tcPr>
            <w:tcW w:w="53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26,575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purchase consideration</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28,195</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54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588"/>
        </w:trPr>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420" w:type="dxa"/>
            <w:vAlign w:val="bottom"/>
            <w:gridSpan w:val="2"/>
          </w:tcPr>
          <w:p>
            <w:pPr>
              <w:jc w:val="right"/>
              <w:ind w:right="4140"/>
              <w:spacing w:after="0"/>
              <w:rPr>
                <w:sz w:val="20"/>
                <w:szCs w:val="20"/>
                <w:color w:val="auto"/>
              </w:rPr>
            </w:pPr>
            <w:r>
              <w:rPr>
                <w:rFonts w:ascii="Arial" w:cs="Arial" w:eastAsia="Arial" w:hAnsi="Arial"/>
                <w:sz w:val="17"/>
                <w:szCs w:val="17"/>
                <w:color w:val="auto"/>
              </w:rPr>
              <w:t>F-17</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6"/>
        </w:trPr>
        <w:tc>
          <w:tcPr>
            <w:tcW w:w="72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3700" w:type="dxa"/>
            <w:vAlign w:val="bottom"/>
            <w:tcBorders>
              <w:bottom w:val="single" w:sz="8" w:color="808080"/>
            </w:tcBorders>
          </w:tcPr>
          <w:p>
            <w:pPr>
              <w:spacing w:after="0"/>
              <w:rPr>
                <w:sz w:val="17"/>
                <w:szCs w:val="17"/>
                <w:color w:val="auto"/>
              </w:rPr>
            </w:pPr>
          </w:p>
        </w:tc>
        <w:tc>
          <w:tcPr>
            <w:tcW w:w="534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02" w:name="page203"/>
    <w:bookmarkEnd w:id="202"/>
    <w:p>
      <w:pPr>
        <w:ind w:left="680" w:right="980"/>
        <w:spacing w:after="0" w:line="250" w:lineRule="auto"/>
        <w:rPr>
          <w:sz w:val="20"/>
          <w:szCs w:val="20"/>
          <w:color w:val="auto"/>
        </w:rPr>
      </w:pPr>
      <w:r>
        <w:rPr>
          <w:rFonts w:ascii="Arial" w:cs="Arial" w:eastAsia="Arial" w:hAnsi="Arial"/>
          <w:sz w:val="17"/>
          <w:szCs w:val="17"/>
          <w:color w:val="auto"/>
        </w:rPr>
        <w:t>In connection with the transaction, the Company recorded a charge of $26,575 for acquired research projects associated with products in development for which, at the acquisition date, technological feasibility had not been established and no alternative future use existed.</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Antex Biologics Inc.</w:t>
      </w:r>
    </w:p>
    <w:p>
      <w:pPr>
        <w:spacing w:after="0" w:line="141" w:lineRule="exact"/>
        <w:rPr>
          <w:sz w:val="20"/>
          <w:szCs w:val="20"/>
          <w:color w:val="auto"/>
        </w:rPr>
      </w:pPr>
    </w:p>
    <w:p>
      <w:pPr>
        <w:ind w:left="680" w:right="880"/>
        <w:spacing w:after="0" w:line="244" w:lineRule="auto"/>
        <w:rPr>
          <w:sz w:val="20"/>
          <w:szCs w:val="20"/>
          <w:color w:val="auto"/>
        </w:rPr>
      </w:pPr>
      <w:r>
        <w:rPr>
          <w:rFonts w:ascii="Arial" w:cs="Arial" w:eastAsia="Arial" w:hAnsi="Arial"/>
          <w:sz w:val="17"/>
          <w:szCs w:val="17"/>
          <w:color w:val="auto"/>
        </w:rPr>
        <w:t>On May 31, 2003, BioPort completed the acquisition of assets from Antex, a subsidiary of Antex Pharma Inc. (Pharma and, together with Antex, Sellers), pursuant to the terms and conditions of the Asset Purchase Agreement dated April 10, 2003 (the Purchase Agreement) by and among BioPort and Sellers. Pursuant to the Purchase Agreement, BioPort acquired from Sellers all of the assets and assumed certain liabilities for cash of $3,400 and transaction costs of $394. The amount of consideration was determined on the basis of arm’s length negotiations between BioPort and Sellers. Because Antex was a development stage company that had not commenced its planned principal operations, the transaction was accounted for as an acquisition of assets rather than as a business combination and, therefore, goodwill was not recorded.</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purchase consideration consisted of:</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5440" w:type="dxa"/>
            <w:vAlign w:val="bottom"/>
            <w:shd w:val="clear" w:color="auto" w:fill="000000"/>
          </w:tcPr>
          <w:p>
            <w:pPr>
              <w:spacing w:after="0"/>
              <w:rPr>
                <w:sz w:val="3"/>
                <w:szCs w:val="3"/>
                <w:color w:val="auto"/>
              </w:rPr>
            </w:pPr>
          </w:p>
        </w:tc>
        <w:tc>
          <w:tcPr>
            <w:tcW w:w="34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r>
      <w:tr>
        <w:trPr>
          <w:trHeight w:val="196"/>
        </w:trPr>
        <w:tc>
          <w:tcPr>
            <w:tcW w:w="5600" w:type="dxa"/>
            <w:vAlign w:val="bottom"/>
            <w:gridSpan w:val="2"/>
          </w:tcPr>
          <w:p>
            <w:pPr>
              <w:spacing w:after="0"/>
              <w:rPr>
                <w:sz w:val="20"/>
                <w:szCs w:val="20"/>
                <w:color w:val="auto"/>
              </w:rPr>
            </w:pPr>
            <w:r>
              <w:rPr>
                <w:rFonts w:ascii="Arial" w:cs="Arial" w:eastAsia="Arial" w:hAnsi="Arial"/>
                <w:sz w:val="17"/>
                <w:szCs w:val="17"/>
                <w:color w:val="auto"/>
              </w:rPr>
              <w:t>Purchase price</w:t>
            </w:r>
          </w:p>
        </w:tc>
        <w:tc>
          <w:tcPr>
            <w:tcW w:w="3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3,400</w:t>
            </w:r>
          </w:p>
        </w:tc>
      </w:tr>
      <w:tr>
        <w:trPr>
          <w:trHeight w:val="196"/>
        </w:trPr>
        <w:tc>
          <w:tcPr>
            <w:tcW w:w="5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 acquisition costs</w:t>
            </w:r>
          </w:p>
        </w:tc>
        <w:tc>
          <w:tcPr>
            <w:tcW w:w="34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r>
      <w:tr>
        <w:trPr>
          <w:trHeight w:val="216"/>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purchase consideration</w:t>
            </w:r>
          </w:p>
        </w:tc>
        <w:tc>
          <w:tcPr>
            <w:tcW w:w="3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3,794</w:t>
            </w:r>
          </w:p>
        </w:tc>
      </w:tr>
    </w:tbl>
    <w:p>
      <w:pPr>
        <w:spacing w:after="0" w:line="130" w:lineRule="exact"/>
        <w:rPr>
          <w:sz w:val="20"/>
          <w:szCs w:val="20"/>
          <w:color w:val="auto"/>
        </w:rPr>
      </w:pPr>
    </w:p>
    <w:p>
      <w:pPr>
        <w:ind w:left="680" w:right="1080"/>
        <w:spacing w:after="0" w:line="258" w:lineRule="auto"/>
        <w:rPr>
          <w:sz w:val="20"/>
          <w:szCs w:val="20"/>
          <w:color w:val="auto"/>
        </w:rPr>
      </w:pPr>
      <w:r>
        <w:rPr>
          <w:rFonts w:ascii="Arial" w:cs="Arial" w:eastAsia="Arial" w:hAnsi="Arial"/>
          <w:sz w:val="17"/>
          <w:szCs w:val="17"/>
          <w:color w:val="auto"/>
        </w:rPr>
        <w:t>The assets acquired were accounted for in accordance with the provisions of SFAS No. 141. All of the tangible and intangible assets acquired and liabilities assumed of Antex were recorded at their estimated fair market value on the acquisition date.</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purchase price was allocated as follows: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39"/>
        </w:trPr>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340" w:type="dxa"/>
            <w:vAlign w:val="bottom"/>
            <w:shd w:val="clear" w:color="auto" w:fill="000000"/>
          </w:tcPr>
          <w:p>
            <w:pPr>
              <w:spacing w:after="0"/>
              <w:rPr>
                <w:sz w:val="3"/>
                <w:szCs w:val="3"/>
                <w:color w:val="auto"/>
              </w:rPr>
            </w:pPr>
          </w:p>
        </w:tc>
        <w:tc>
          <w:tcPr>
            <w:tcW w:w="25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r>
      <w:tr>
        <w:trPr>
          <w:trHeight w:val="196"/>
        </w:trPr>
        <w:tc>
          <w:tcPr>
            <w:tcW w:w="650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2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279</w:t>
            </w: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w:t>
            </w:r>
          </w:p>
        </w:tc>
      </w:tr>
      <w:tr>
        <w:trPr>
          <w:trHeight w:val="203"/>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7"/>
                <w:szCs w:val="17"/>
                <w:color w:val="auto"/>
              </w:rPr>
              <w:t>In-process research and development consideration</w:t>
            </w:r>
          </w:p>
        </w:tc>
        <w:tc>
          <w:tcPr>
            <w:tcW w:w="2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1,824</w:t>
            </w:r>
          </w:p>
        </w:tc>
      </w:tr>
      <w:tr>
        <w:trPr>
          <w:trHeight w:val="196"/>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purchase consideration</w:t>
            </w:r>
          </w:p>
        </w:tc>
        <w:tc>
          <w:tcPr>
            <w:tcW w:w="2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3,794</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80" w:right="980"/>
        <w:spacing w:after="0" w:line="250" w:lineRule="auto"/>
        <w:rPr>
          <w:sz w:val="20"/>
          <w:szCs w:val="20"/>
          <w:color w:val="auto"/>
        </w:rPr>
      </w:pPr>
      <w:r>
        <w:rPr>
          <w:rFonts w:ascii="Arial" w:cs="Arial" w:eastAsia="Arial" w:hAnsi="Arial"/>
          <w:sz w:val="17"/>
          <w:szCs w:val="17"/>
          <w:color w:val="auto"/>
        </w:rPr>
        <w:t>In connection with the transaction, the Company recorded a charge of $1,824 for acquired research projects associated with products in development for which, at the acquisition date, technological feasibility had not been established and no alternative future use existed.</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4. Accounts receivable</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Accounts receivable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Billed</w:t>
            </w:r>
          </w:p>
        </w:tc>
        <w:tc>
          <w:tcPr>
            <w:tcW w:w="3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14,865</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Unbilled</w:t>
            </w:r>
          </w:p>
        </w:tc>
        <w:tc>
          <w:tcPr>
            <w:tcW w:w="3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3,772</w:t>
            </w: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18,637</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60" w:type="dxa"/>
            <w:vAlign w:val="bottom"/>
            <w:gridSpan w:val="2"/>
          </w:tcPr>
          <w:p>
            <w:pPr>
              <w:jc w:val="right"/>
              <w:ind w:right="1020"/>
              <w:spacing w:after="0"/>
              <w:rPr>
                <w:sz w:val="20"/>
                <w:szCs w:val="20"/>
                <w:color w:val="auto"/>
              </w:rPr>
            </w:pPr>
            <w:r>
              <w:rPr>
                <w:rFonts w:ascii="Arial" w:cs="Arial" w:eastAsia="Arial" w:hAnsi="Arial"/>
                <w:sz w:val="17"/>
                <w:szCs w:val="17"/>
                <w:color w:val="auto"/>
              </w:rPr>
              <w:t>F-18</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2700" w:type="dxa"/>
            <w:vAlign w:val="bottom"/>
            <w:tcBorders>
              <w:bottom w:val="single" w:sz="8" w:color="808080"/>
            </w:tcBorders>
          </w:tcPr>
          <w:p>
            <w:pPr>
              <w:spacing w:after="0"/>
              <w:rPr>
                <w:sz w:val="17"/>
                <w:szCs w:val="17"/>
                <w:color w:val="auto"/>
              </w:rPr>
            </w:pPr>
          </w:p>
        </w:tc>
        <w:tc>
          <w:tcPr>
            <w:tcW w:w="31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3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203" w:name="page204"/>
    <w:bookmarkEnd w:id="203"/>
    <w:p>
      <w:pPr>
        <w:spacing w:after="0"/>
        <w:rPr>
          <w:sz w:val="20"/>
          <w:szCs w:val="20"/>
          <w:color w:val="auto"/>
        </w:rPr>
      </w:pPr>
      <w:r>
        <w:rPr>
          <w:rFonts w:ascii="Arial" w:cs="Arial" w:eastAsia="Arial" w:hAnsi="Arial"/>
          <w:sz w:val="21"/>
          <w:szCs w:val="21"/>
          <w:b w:val="1"/>
          <w:bCs w:val="1"/>
          <w:color w:val="auto"/>
        </w:rPr>
        <w:t>5. Inventories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 of the following: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b w:val="1"/>
                <w:bCs w:val="1"/>
                <w:color w:val="auto"/>
              </w:rPr>
              <w:t>2004</w:t>
            </w: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supplies</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1,947</w:t>
            </w:r>
          </w:p>
        </w:tc>
        <w:tc>
          <w:tcPr>
            <w:tcW w:w="4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Work-in-process</w:t>
            </w: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6,674</w:t>
            </w:r>
          </w:p>
        </w:tc>
        <w:tc>
          <w:tcPr>
            <w:tcW w:w="4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9,547</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24,195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4,632</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0" w:type="dxa"/>
            <w:vAlign w:val="bottom"/>
          </w:tcPr>
          <w:p>
            <w:pPr>
              <w:spacing w:after="0"/>
              <w:rPr>
                <w:sz w:val="1"/>
                <w:szCs w:val="1"/>
                <w:color w:val="auto"/>
              </w:rPr>
            </w:pPr>
          </w:p>
        </w:tc>
      </w:tr>
      <w:tr>
        <w:trPr>
          <w:trHeight w:val="20"/>
        </w:trPr>
        <w:tc>
          <w:tcPr>
            <w:tcW w:w="38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Inventories</w:t>
            </w:r>
          </w:p>
        </w:tc>
        <w:tc>
          <w:tcPr>
            <w:tcW w:w="2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13,253</w:t>
            </w:r>
          </w:p>
        </w:tc>
        <w:tc>
          <w:tcPr>
            <w:tcW w:w="4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16,441</w:t>
            </w:r>
          </w:p>
        </w:tc>
        <w:tc>
          <w:tcPr>
            <w:tcW w:w="6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28,068</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Property, plant and equipment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 of the following:</w:t>
      </w: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September 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Land and improvements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2,963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2,995</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Buildings and leasehold improvements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w w:val="99"/>
              </w:rPr>
              <w:t>13,496</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14,143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22,569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9"/>
              </w:rPr>
              <w:t>10,563</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12,520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Internal-use software</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3,818</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in-progress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2,086</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w w:val="99"/>
              </w:rPr>
              <w:t>32,925</w:t>
            </w: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39,792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71,733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(5,657)</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(12,101)</w:t>
            </w: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Property, plant and equipment, net</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9"/>
              </w:rPr>
              <w:t>27,269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30,645</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59,632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Depreciation and amortization expense was $1,214, $1,867 and $3,549 for the years ended December 31, 2003, 2004 and 2005, respectively, and $2,495 and $3,265 for the nine months ended September 30, 2005 and 2006, respectively. For the years ended December 31, 2003, 2004 and 2005, depreciation and amortization expense included approximately $0, $209 and $1,257, respectively, related to internally developed software. For the nine months ended September 30, 2005 and 2006, depreciation and amortization expense included approximately $943 and $943, respectively, related to internally developed software.</w:t>
      </w: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7. Other assets</w:t>
      </w:r>
    </w:p>
    <w:p>
      <w:pPr>
        <w:spacing w:after="0" w:line="144"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In connection with the acquisition of Microscience in 2005 as further described in Note 3 — Acquisitions, the Company acquired a facility lease deposit totaling $468. The deposit remains in effect as of December 31, 2005 and September 30, 2006.</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204" w:name="page205"/>
    <w:bookmarkEnd w:id="204"/>
    <w:p>
      <w:pPr>
        <w:spacing w:after="0"/>
        <w:rPr>
          <w:sz w:val="20"/>
          <w:szCs w:val="20"/>
          <w:color w:val="auto"/>
        </w:rPr>
      </w:pPr>
      <w:r>
        <w:rPr>
          <w:rFonts w:ascii="Arial" w:cs="Arial" w:eastAsia="Arial" w:hAnsi="Arial"/>
          <w:sz w:val="21"/>
          <w:szCs w:val="21"/>
          <w:b w:val="1"/>
          <w:bCs w:val="1"/>
          <w:color w:val="auto"/>
        </w:rPr>
        <w:t>8. Other current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Other current liabilities consist of the following:</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4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Contract costs</w:t>
            </w: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Professional fees</w:t>
            </w:r>
          </w:p>
        </w:tc>
        <w:tc>
          <w:tcPr>
            <w:tcW w:w="2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1,462</w:t>
            </w: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1,390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Interest payable</w:t>
            </w:r>
          </w:p>
        </w:tc>
        <w:tc>
          <w:tcPr>
            <w:tcW w:w="2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Property taxes and other</w:t>
            </w:r>
          </w:p>
        </w:tc>
        <w:tc>
          <w:tcPr>
            <w:tcW w:w="2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w:t>
            </w: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1,893</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Long-term debt and related party notes payable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long term-debt and related party notes payable are as follows:</w:t>
      </w: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top w:val="single" w:sz="8" w:color="auto"/>
            </w:tcBorders>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6"/>
                <w:szCs w:val="16"/>
                <w:b w:val="1"/>
                <w:bCs w:val="1"/>
                <w:color w:val="auto"/>
              </w:rPr>
              <w:t>2004</w:t>
            </w:r>
          </w:p>
        </w:tc>
        <w:tc>
          <w:tcPr>
            <w:tcW w:w="26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6"/>
                <w:szCs w:val="16"/>
                <w:b w:val="1"/>
                <w:bCs w:val="1"/>
                <w:color w:val="auto"/>
              </w:rPr>
              <w:t>2005</w:t>
            </w:r>
          </w:p>
        </w:tc>
        <w:tc>
          <w:tcPr>
            <w:tcW w:w="8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Term loan dated August 2006, 9.151%, due August 2011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10,000</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Convertible Line of Credit dated August 2006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Term Loan dated October 2004; 6.625%, due October 2011</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7,000</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7,000</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Forgivable Loan dated October 2004; 3.0%, due March 2013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2,500</w:t>
            </w:r>
          </w:p>
        </w:tc>
        <w:tc>
          <w:tcPr>
            <w:tcW w:w="26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2,500</w:t>
            </w:r>
          </w:p>
        </w:tc>
        <w:tc>
          <w:tcPr>
            <w:tcW w:w="8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2,500</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ERP Term Loan dated August 2004; prime less 0.375%, due September 2007</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2,280</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1,760</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1,280</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Term Loan dated April 2006; LIBOR plus 3%, due April 2011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8,428</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Employee notes payable for stock redemption; 6%, due 2006</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947</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537</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140</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113</w:t>
            </w: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34</w:t>
            </w:r>
          </w:p>
        </w:tc>
        <w:tc>
          <w:tcPr>
            <w:tcW w:w="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Total notes payable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9"/>
              </w:rPr>
              <w:t>12,867</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9"/>
              </w:rPr>
              <w:t>11,909</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34,305</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00" w:type="dxa"/>
            <w:vAlign w:val="bottom"/>
            <w:gridSpan w:val="2"/>
          </w:tcPr>
          <w:p>
            <w:pPr>
              <w:spacing w:after="0"/>
              <w:rPr>
                <w:sz w:val="20"/>
                <w:szCs w:val="20"/>
                <w:color w:val="auto"/>
              </w:rPr>
            </w:pPr>
            <w:r>
              <w:rPr>
                <w:rFonts w:ascii="Arial" w:cs="Arial" w:eastAsia="Arial" w:hAnsi="Arial"/>
                <w:sz w:val="17"/>
                <w:szCs w:val="17"/>
                <w:color w:val="auto"/>
              </w:rPr>
              <w:t>Less current portion of notes payable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(1,046)</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(1,408)</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(1,750)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Long-term portion of notes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9"/>
              </w:rPr>
              <w:t>11,821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9"/>
              </w:rPr>
              <w:t>10,502</w:t>
            </w:r>
          </w:p>
        </w:tc>
        <w:tc>
          <w:tcPr>
            <w:tcW w:w="800" w:type="dxa"/>
            <w:vAlign w:val="bottom"/>
            <w:shd w:val="clear" w:color="auto" w:fill="CCEEFF"/>
          </w:tcPr>
          <w:p>
            <w:pPr>
              <w:jc w:val="right"/>
              <w:ind w:right="453"/>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32,555</w:t>
            </w:r>
          </w:p>
        </w:tc>
        <w:tc>
          <w:tcPr>
            <w:tcW w:w="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-1737360</wp:posOffset>
            </wp:positionV>
            <wp:extent cx="1651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-1737360</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10" w:lineRule="exact"/>
        <w:rPr>
          <w:sz w:val="20"/>
          <w:szCs w:val="20"/>
          <w:color w:val="auto"/>
        </w:rPr>
      </w:pPr>
    </w:p>
    <w:p>
      <w:pPr>
        <w:ind w:right="920"/>
        <w:spacing w:after="0" w:line="244" w:lineRule="auto"/>
        <w:rPr>
          <w:sz w:val="20"/>
          <w:szCs w:val="20"/>
          <w:color w:val="auto"/>
        </w:rPr>
      </w:pPr>
      <w:r>
        <w:rPr>
          <w:rFonts w:ascii="Arial" w:cs="Arial" w:eastAsia="Arial" w:hAnsi="Arial"/>
          <w:sz w:val="17"/>
          <w:szCs w:val="17"/>
          <w:color w:val="auto"/>
        </w:rPr>
        <w:t>In August 2006, the Company entered into a term loan for $10,000 and a revolving credit loan for up to $5,000. Under the term loan, the Company is required to make monthly principal payments beginning in April 2007. A residual principal payment of approximately $ 4,000 is due upon maturity in August 2011. At the Company’s request, the term loan is subject to an extension term in the sole discretion of the lender for five additional years until August 2016 for an extension fee of 1.00% of the principal balance of the loan. If the term of the loan were extended, the Company would be required to continue to make monthly principal payments through maturity in August 2016 in lieu of the residual principal payment otherwise due in August 2011. Interest is payable monthly and accrues at an annual rate equal to LIBOR plus 3.75% (9.48% as of September 30, 2006).</w:t>
      </w:r>
    </w:p>
    <w:p>
      <w:pPr>
        <w:spacing w:after="0" w:line="102" w:lineRule="exact"/>
        <w:rPr>
          <w:sz w:val="20"/>
          <w:szCs w:val="20"/>
          <w:color w:val="auto"/>
        </w:rPr>
      </w:pPr>
    </w:p>
    <w:p>
      <w:pPr>
        <w:ind w:right="980"/>
        <w:spacing w:after="0" w:line="247" w:lineRule="auto"/>
        <w:rPr>
          <w:sz w:val="20"/>
          <w:szCs w:val="20"/>
          <w:color w:val="auto"/>
        </w:rPr>
      </w:pPr>
      <w:r>
        <w:rPr>
          <w:rFonts w:ascii="Arial" w:cs="Arial" w:eastAsia="Arial" w:hAnsi="Arial"/>
          <w:sz w:val="17"/>
          <w:szCs w:val="17"/>
          <w:color w:val="auto"/>
        </w:rPr>
        <w:t>Under the revolving credit loan, the Company is not required to repay outstanding principal until October 2007. In October 2007, the outstanding principal under the revolving credit loan will convert to a term loan with required monthly principal payments through maturity in August 2011. Interest is payable monthly and accrues at an annual rate equal to LIBOR plus 3.75% (9.48% as of September 30, 2006).</w:t>
      </w:r>
    </w:p>
    <w:p>
      <w:pPr>
        <w:spacing w:after="0" w:line="361"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40"/>
          </w:cols>
          <w:pgMar w:left="920" w:top="893" w:right="139" w:bottom="1440" w:gutter="0" w:footer="0" w:header="0"/>
        </w:sectPr>
      </w:pPr>
    </w:p>
    <w:bookmarkStart w:id="205" w:name="page206"/>
    <w:bookmarkEnd w:id="205"/>
    <w:p>
      <w:pPr>
        <w:ind w:right="180"/>
        <w:spacing w:after="0" w:line="258" w:lineRule="auto"/>
        <w:rPr>
          <w:sz w:val="20"/>
          <w:szCs w:val="20"/>
          <w:color w:val="auto"/>
        </w:rPr>
      </w:pPr>
      <w:r>
        <w:rPr>
          <w:rFonts w:ascii="Arial" w:cs="Arial" w:eastAsia="Arial" w:hAnsi="Arial"/>
          <w:sz w:val="17"/>
          <w:szCs w:val="17"/>
          <w:color w:val="auto"/>
        </w:rPr>
        <w:t>The Company also is required to pay a fee on a quarterly basis equal to 0.50% of the average daily difference between $5,000 and the amount outstanding under the revolving credit loan.</w:t>
      </w:r>
    </w:p>
    <w:p>
      <w:pPr>
        <w:spacing w:after="0" w:line="9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term loan and revolving credit loan are secured by substantially all of Emergent BioDefense Operations’ assets, other than accounts receivable under BioThrax supply contracts with the DoD and HHS. The Company is required to maintain on an annual basis a minimum tangible net worth of not less than the sum of 85% of tangible net worth for the most recently completed fiscal year plus 25% of current net operating profit after taxes. In addition, the Company is required to maintain on a quarterly basis a ratio of earnings before interest, taxes, depreciation and amortization for the most recent four quarters to the sum of current obligations under capital leases and principal obligations and interest expenses for borrowed money, in each case due and payable for the following four quarters, of not less than 1.25 to 1.00.</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April 2006, the Company completed the acquisition of a 150,000 square foot facility in Frederick, Maryland for $ 9,750. This facility was previously under a lease which contained an option to purchase the facility. The Company paid $1,250 in cash and financed the remaining balance with a bank loan in the amount of $8,500. This loan requires monthly principal and interest payments from May 2006 through April 2011 of $72 with a balloon payment for the remaining unpaid principal and interest due in April 2011. The interest rate is a floating rate based on the three month LIBOR plus 3% (8.37% as of September 30, 2006). The loan is collateralized by the 150,000 square foot facility. The loan requires the Company to comply with certain non-financial covenants.</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October 2004, the Company entered into a Secured Conditional Loan with the Maryland Economic Development Assistance Fund for $ 2.5 million. The proceeds of the loan were used to reimburse the Company for eligible costs it incurred to purchase a building in Frederick, Maryland. The loan is secured by a $1,250 letter of credit and a security interest in the building. The Company is required to pay an annual fee of 1% to maintain the letter of credit. The borrowing bears interest at 3% per annum, and the term of the loan ends March 31, 2013. The principal and related accrued interest may be forgiven if specified employment levels are achieved and maintained through December 2012, at least $42,900 in project costs are expended prior to December 2009 and the Company occupies the building through December 2012. The loan requires the Company to employ at least 280 full-time employees at the Company’s facilities in Frederick, Maryland as of December 31, 2009 and maintain at least 280 full-time employees through December 31, 2012. If as of December 31, 2009, 2010, 2011 or 2012 the Company employs fewer than 280 and more than 225 full-time employees at the Company’s facilities in Frederick, Maryland, then the Company will be required to repay $9 of principal plus accrued interest for each position not filled below the target level of 280 employees. If as of December 31, 2009, 2010, 2011 or 2012 the Company employs fewer than 225 full-time employees at the Company’s facilities in Frederick, Maryland, then the Company will be required to repay the entire outstanding principal amount of the loan plus accrued interest. This loan is guaranteed by all of the subsidiaries of the Company.</w:t>
      </w:r>
    </w:p>
    <w:p>
      <w:pPr>
        <w:spacing w:after="0" w:line="108" w:lineRule="exact"/>
        <w:rPr>
          <w:sz w:val="20"/>
          <w:szCs w:val="20"/>
          <w:color w:val="auto"/>
        </w:rPr>
      </w:pPr>
    </w:p>
    <w:p>
      <w:pPr>
        <w:ind w:right="280"/>
        <w:spacing w:after="0" w:line="243" w:lineRule="auto"/>
        <w:rPr>
          <w:sz w:val="20"/>
          <w:szCs w:val="20"/>
          <w:color w:val="auto"/>
        </w:rPr>
      </w:pPr>
      <w:r>
        <w:rPr>
          <w:rFonts w:ascii="Arial" w:cs="Arial" w:eastAsia="Arial" w:hAnsi="Arial"/>
          <w:sz w:val="17"/>
          <w:szCs w:val="17"/>
          <w:color w:val="auto"/>
        </w:rPr>
        <w:t>In connection with the purchase of the building in Frederick, Maryland discussed above, the Company entered into a loan agreement for $7,000 with a bank to finance the remaining portion of the purchase price. The borrowing accrues interest at 6.625% per annum through October 2006. The Company is required to make interest only payments through that date. Beginning in November 2006, the Company will begin to make monthly payments of $62, based upon a 15 year amortization schedule. In November 2009, the monthly payments will be adjusted based upon a 12 year amortization schedule. All unpaid principal and interest is due in full in October 2011. The Company is required to maintain certain financial and non-financial covenants’ including a minimum tangible net worth of not less than $5,000 and a debt coverage ratio of not less than 1.1 to 1. This loan is guaranteed by all of the subsidiaries of the Company.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06" w:name="page207"/>
    <w:bookmarkEnd w:id="206"/>
    <w:p>
      <w:pPr>
        <w:ind w:right="100"/>
        <w:spacing w:after="0" w:line="247" w:lineRule="auto"/>
        <w:rPr>
          <w:sz w:val="20"/>
          <w:szCs w:val="20"/>
          <w:color w:val="auto"/>
        </w:rPr>
      </w:pPr>
      <w:r>
        <w:rPr>
          <w:rFonts w:ascii="Arial" w:cs="Arial" w:eastAsia="Arial" w:hAnsi="Arial"/>
          <w:sz w:val="17"/>
          <w:szCs w:val="17"/>
          <w:color w:val="auto"/>
        </w:rPr>
        <w:t>During 2004, the Company implemented an Enterprise Resource Planning (ERP) system. The Company financed $2,280 of the costs through the issuance of a term loan. The loan bears interest at prime less 0.375% (8.63% as of September 30, 2006) and is due in September 2007. Monthly payments escalate from $40 to $106 over the term. The ERP system provides security for the loan.</w:t>
      </w:r>
    </w:p>
    <w:p>
      <w:pPr>
        <w:spacing w:after="0" w:line="99"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In 2004, the Company issued notes as consideration for the repurchase of outstanding class B common stock of BioPort. These notes were issued to various current and past employees who were issued equity as a result of earlier stock option exercises. Amounts are payable in annual installments, through 2006, and bear interest at 6%.</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repayments and maturities on long-term debt as of December 31, 2005 are as follows:</w:t>
      </w: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5000" w:type="dxa"/>
            <w:vAlign w:val="bottom"/>
            <w:shd w:val="clear" w:color="auto" w:fill="000000"/>
          </w:tcPr>
          <w:p>
            <w:pPr>
              <w:spacing w:after="0"/>
              <w:rPr>
                <w:sz w:val="3"/>
                <w:szCs w:val="3"/>
                <w:color w:val="auto"/>
              </w:rPr>
            </w:pPr>
          </w:p>
        </w:tc>
        <w:tc>
          <w:tcPr>
            <w:tcW w:w="36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r>
      <w:tr>
        <w:trPr>
          <w:trHeight w:val="196"/>
        </w:trPr>
        <w:tc>
          <w:tcPr>
            <w:tcW w:w="5160" w:type="dxa"/>
            <w:vAlign w:val="bottom"/>
            <w:gridSpan w:val="2"/>
          </w:tcPr>
          <w:p>
            <w:pPr>
              <w:spacing w:after="0"/>
              <w:rPr>
                <w:sz w:val="20"/>
                <w:szCs w:val="20"/>
                <w:color w:val="auto"/>
              </w:rPr>
            </w:pPr>
            <w:r>
              <w:rPr>
                <w:rFonts w:ascii="Arial" w:cs="Arial" w:eastAsia="Arial" w:hAnsi="Arial"/>
                <w:sz w:val="17"/>
                <w:szCs w:val="17"/>
                <w:color w:val="auto"/>
              </w:rPr>
              <w:t>2006</w:t>
            </w:r>
          </w:p>
        </w:tc>
        <w:tc>
          <w:tcPr>
            <w:tcW w:w="3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1,408</w:t>
            </w:r>
          </w:p>
        </w:tc>
      </w:tr>
      <w:tr>
        <w:trPr>
          <w:trHeight w:val="19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2007</w:t>
            </w:r>
          </w:p>
        </w:tc>
        <w:tc>
          <w:tcPr>
            <w:tcW w:w="3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r>
      <w:tr>
        <w:trPr>
          <w:trHeight w:val="196"/>
        </w:trPr>
        <w:tc>
          <w:tcPr>
            <w:tcW w:w="5160" w:type="dxa"/>
            <w:vAlign w:val="bottom"/>
            <w:gridSpan w:val="2"/>
          </w:tcPr>
          <w:p>
            <w:pPr>
              <w:spacing w:after="0"/>
              <w:rPr>
                <w:sz w:val="20"/>
                <w:szCs w:val="20"/>
                <w:color w:val="auto"/>
              </w:rPr>
            </w:pPr>
            <w:r>
              <w:rPr>
                <w:rFonts w:ascii="Arial" w:cs="Arial" w:eastAsia="Arial" w:hAnsi="Arial"/>
                <w:sz w:val="17"/>
                <w:szCs w:val="17"/>
                <w:color w:val="auto"/>
              </w:rPr>
              <w:t>2008</w:t>
            </w:r>
          </w:p>
        </w:tc>
        <w:tc>
          <w:tcPr>
            <w:tcW w:w="3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196"/>
        </w:trPr>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2009</w:t>
            </w:r>
          </w:p>
        </w:tc>
        <w:tc>
          <w:tcPr>
            <w:tcW w:w="3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2,838</w:t>
            </w:r>
          </w:p>
        </w:tc>
      </w:tr>
      <w:tr>
        <w:trPr>
          <w:trHeight w:val="203"/>
        </w:trPr>
        <w:tc>
          <w:tcPr>
            <w:tcW w:w="5160" w:type="dxa"/>
            <w:vAlign w:val="bottom"/>
            <w:gridSpan w:val="2"/>
          </w:tcPr>
          <w:p>
            <w:pPr>
              <w:spacing w:after="0"/>
              <w:rPr>
                <w:sz w:val="20"/>
                <w:szCs w:val="20"/>
                <w:color w:val="auto"/>
              </w:rPr>
            </w:pPr>
            <w:r>
              <w:rPr>
                <w:rFonts w:ascii="Arial" w:cs="Arial" w:eastAsia="Arial" w:hAnsi="Arial"/>
                <w:sz w:val="17"/>
                <w:szCs w:val="17"/>
                <w:color w:val="auto"/>
              </w:rPr>
              <w:t>2010 and thereafter</w:t>
            </w:r>
          </w:p>
        </w:tc>
        <w:tc>
          <w:tcPr>
            <w:tcW w:w="36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6,045</w:t>
            </w:r>
          </w:p>
        </w:tc>
      </w:tr>
      <w:tr>
        <w:trPr>
          <w:trHeight w:val="196"/>
        </w:trPr>
        <w:tc>
          <w:tcPr>
            <w:tcW w:w="16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3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11,910</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Line of credit</w:t>
      </w:r>
    </w:p>
    <w:p>
      <w:pPr>
        <w:spacing w:after="0" w:line="14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On April 1, 2005, the Company, through Emergent BioDefense Operations, formerly BioPort, obtained a line of credit that provides for borrowings of up to $10,000. The line of credit is scheduled to expire on November 15, 2006. The line of credit is secured by accounts receivable under our DOD and HHS contracts and bears interest at the prime rate less 0.375% (8.63% as of September 30, 2006). Emergent BioDefense Operations is subjected to certain covenants, including maintenance of specified equity levels on a quarterly basis. Emergent BioDefense Operations is currently in compliance with those covenants. There was $2,168 outstanding under this line of credit as of September 30, 2006. No borrowings were outstanding under this line of credit as of December 31, 2005.</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20"/>
          <w:szCs w:val="20"/>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4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Company is authorized to issue up to 3,000,000 shares of preferred stock, $0.001 par value per share (Preferred Stock). Any preferred stock issued may have dividend rates, voting rights, conversion privileges, redemption characteristics, and sinking fund requirements as approved by the Company’s board of directors. As of September 30, 2006, no preferred stock has been issued.</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4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currently has two classes of common stock authorized and outstanding: class A common stock, $0.001 par value per share (Class A Common Stock), and class B common stock, $0.01 par value per share (Class B Common Stock). The Company is authorized to issue up to 100,000,000 shares of the Class A Common Stock and 2,000,000 shares of the Class B Common Stock. Holders of Class A Common Stock are entitled to one vote for each share of Class A Common Stock held on all matters as may be provided by law. Holders of Class B Common Stock are not entitled to vote the shares of Class B Common Stock, except as otherwise required by law.</w:t>
      </w:r>
    </w:p>
    <w:p>
      <w:pPr>
        <w:spacing w:after="0" w:line="104"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Holders of Class A Common Stock and Class B Common Stock are entitled to receive ratably dividends payable as and when declared by the Company’s board of directors. On June 15, 2005, the Company’s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07" w:name="page208"/>
    <w:bookmarkEnd w:id="207"/>
    <w:p>
      <w:pPr>
        <w:spacing w:after="0" w:line="244" w:lineRule="auto"/>
        <w:rPr>
          <w:sz w:val="20"/>
          <w:szCs w:val="20"/>
          <w:color w:val="auto"/>
        </w:rPr>
      </w:pPr>
      <w:r>
        <w:rPr>
          <w:rFonts w:ascii="Arial" w:cs="Arial" w:eastAsia="Arial" w:hAnsi="Arial"/>
          <w:sz w:val="17"/>
          <w:szCs w:val="17"/>
          <w:color w:val="auto"/>
        </w:rPr>
        <w:t>board of directors declared a special cash dividend to the holders of outstanding shares of Class A Common Stock and Class B Common Stock in an aggregate amount of $5,400. The Company’s board of directors declared this special dividend in order to distribute the net proceeds of a payment received as a result of the settlement of litigation initiated in 2002 by the Company against Elan Pharmaceuticals, Inc., Athena Neurosciences, Inc. and Solstice Neurosciences, Inc. in an effort to clarify intellectual property rights, including the recovery of royalties and other costs and fees, to which the Company believed it was entitled under a series of agreements regarding the development of botulinum toxin products. The Company paid the special cash dividend on July 13, 2005 to stockholders of record as of June 15, 2005. No regular dividends have been declared or paid.</w:t>
      </w:r>
    </w:p>
    <w:p>
      <w:pPr>
        <w:spacing w:after="0" w:line="10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Each share of Class B Common Stock will automatically convert into one share of Class A Common Stock immediately prior to the closing of the first underwritten sale of the Company’s securities pursuant to an effective registration statement under the Securities Act of 1933, as amended. Following conversion, the Class B Common Stock will be eliminated and no further shares may be issued.</w:t>
      </w:r>
    </w:p>
    <w:p>
      <w:pPr>
        <w:spacing w:after="0" w:line="9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Prior to the formation of the Company, BioPort issued class A no-par voting common stock (BioPort Class A Common Stock) and class B no -par non-voting common stock (BioPort Class B Common Stock) to fund operations. BioPort, at its sole discretion, elected to redeem 71,927 shares of BioPort Class B Common Stock for $200 during the year ended December 31, 2003.</w:t>
      </w:r>
    </w:p>
    <w:p>
      <w:pPr>
        <w:spacing w:after="0" w:line="9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In June 2004, in the Reorganization, the Company issued 18,666,479 shares of Class A Common Stock in exchange for 18,017,994 shares of BioPort Class A Common Stock and 648,485 shares of BioPort Class B Common Stock held by BioPharm, L.L.C. The Company repurchased and retired the remaining issued and outstanding shares of BioPort Class B Common Stock from former employees. Approximately 544,000 BioPort shares were repurchased at $2.74 per share and approximately</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28,000 BioPort shares were repurchased at $4.12 per share. Shares were repurchased for $665 in cash and the issuance of $947 in notes payable. See Note 9 — Long-term debt and related party notes payable, for additional information related to the former employee notes payable.</w:t>
      </w:r>
    </w:p>
    <w:p>
      <w:pPr>
        <w:spacing w:after="0" w:line="96" w:lineRule="exact"/>
        <w:rPr>
          <w:sz w:val="20"/>
          <w:szCs w:val="20"/>
          <w:color w:val="auto"/>
        </w:rPr>
      </w:pPr>
    </w:p>
    <w:p>
      <w:pPr>
        <w:ind w:right="520"/>
        <w:spacing w:after="0" w:line="258" w:lineRule="auto"/>
        <w:rPr>
          <w:sz w:val="20"/>
          <w:szCs w:val="20"/>
          <w:color w:val="auto"/>
        </w:rPr>
      </w:pPr>
      <w:r>
        <w:rPr>
          <w:rFonts w:ascii="Arial" w:cs="Arial" w:eastAsia="Arial" w:hAnsi="Arial"/>
          <w:sz w:val="17"/>
          <w:szCs w:val="17"/>
          <w:color w:val="auto"/>
        </w:rPr>
        <w:t>During the year ended December 31, 2005, the Company repurchased 112,168 shares of Class B Common Stock with an original weighted average cost of $0.26 per share, for $337.</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41"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As of September 30, 2006, the Company has one stock-based employee compensation plan, the Emergent Plan, under which the Company has granted options to purchase shares of Class B Common Stock.</w:t>
      </w:r>
    </w:p>
    <w:p>
      <w:pPr>
        <w:spacing w:after="0" w:line="90"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Prior to the Reorganization, BioPort had a separate stock option plan (BioPort plan) under which options were granted to purchase BioPort Class B Common Stock. The exercise price and vesting schedule for options were determined by BioPort’s board of directors, or a committee thereof, which was established to administer the BioPort plan options.</w:t>
      </w:r>
    </w:p>
    <w:p>
      <w:pPr>
        <w:spacing w:after="0" w:line="96"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As of June 30, 2004, options to purchase 1,948,892 shares of BioPort Class B Common Stock were outstanding under the BioPort plan. Pursuant to the Reorganization, all outstanding BioPort plan options were assumed by Emergent and option holders were granted replacement stock options to purchase an equal number of shares of Class B Common Stock of Emergent. The exercise period for the replacement options was extended to June 30, 2007. The BioPort options were scheduled to expire on June 30, 2004.</w:t>
      </w:r>
    </w:p>
    <w:p>
      <w:pPr>
        <w:spacing w:after="0" w:line="302"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In connection with the Reorganization, the Company recorded stock-based compensation expense as a result of the issuance of the stock options to purchase Class B Common Stock. Based upon the guidance in APB No. 25, because the stock options granted for Class B Common Stock provided for an extended term over that of the cancelled BioPort plan options, a new measurement date was created and the Company recorded as stock-based compensation expense the excess of the intrinsic value of the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08" w:name="page209"/>
    <w:bookmarkEnd w:id="208"/>
    <w:p>
      <w:pPr>
        <w:ind w:right="760"/>
        <w:spacing w:after="0" w:line="258" w:lineRule="auto"/>
        <w:rPr>
          <w:sz w:val="20"/>
          <w:szCs w:val="20"/>
          <w:color w:val="auto"/>
        </w:rPr>
      </w:pPr>
      <w:r>
        <w:rPr>
          <w:rFonts w:ascii="Arial" w:cs="Arial" w:eastAsia="Arial" w:hAnsi="Arial"/>
          <w:sz w:val="17"/>
          <w:szCs w:val="17"/>
          <w:color w:val="auto"/>
        </w:rPr>
        <w:t>modified options over the intrinsic value of the BioPort plan options when originally issued. This resulted in stock-based compensation expense of $2,801, net of taxes, for the year ended December 31, 2004.</w:t>
      </w:r>
    </w:p>
    <w:p>
      <w:pPr>
        <w:spacing w:after="0" w:line="90"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Outside of the reorganization, options to purchase an additional 322,235 shares of Class B common stock of Emergent under the Emergent Plan were granted during the year ended December 31, 2004.</w:t>
      </w:r>
    </w:p>
    <w:p>
      <w:pPr>
        <w:spacing w:after="0" w:line="90"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The terms and conditions of stock options (including price, vesting schedule, term and number of shares) under the Emergent Plan are determined by the Company’s compensation committee, which administers the Emergent Plan.</w:t>
      </w:r>
    </w:p>
    <w:p>
      <w:pPr>
        <w:spacing w:after="0" w:line="9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Each option granted under the Emergent Plan becomes exercisable as specified in the relevant option agreement, and no option can be exercised after ten years from the date of grant.</w:t>
      </w:r>
    </w:p>
    <w:p>
      <w:pPr>
        <w:spacing w:after="0" w:line="90"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The Emergent Plan has both incentive and non-qualified stock option features. Under the plan, the Company may grant options totaling up to 3,596,375 shares of Class B Common Stock. The exercise price of each incentive option must be not less than 100% of the fair market value of the shares on the date of grant, except in the case of the incentive stock options being granted to a 10% stockholder, in which case the exercise price must be not less than 110% of the fair market value of the shares on the date of grant.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stock option plan activity:</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42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BioPort Plan</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Emergent Plan</w:t>
            </w:r>
          </w:p>
        </w:tc>
      </w:tr>
      <w:tr>
        <w:trPr>
          <w:trHeight w:val="139"/>
        </w:trPr>
        <w:tc>
          <w:tcPr>
            <w:tcW w:w="4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
              <w:spacing w:after="0" w:line="139" w:lineRule="exact"/>
              <w:rPr>
                <w:sz w:val="20"/>
                <w:szCs w:val="20"/>
                <w:color w:val="auto"/>
              </w:rPr>
            </w:pPr>
            <w:r>
              <w:rPr>
                <w:rFonts w:ascii="Arial" w:cs="Arial" w:eastAsia="Arial" w:hAnsi="Arial"/>
                <w:sz w:val="14"/>
                <w:szCs w:val="14"/>
                <w:b w:val="1"/>
                <w:bCs w:val="1"/>
                <w:color w:val="auto"/>
              </w:rPr>
              <w:t>Weighted</w:t>
            </w:r>
          </w:p>
        </w:tc>
        <w:tc>
          <w:tcPr>
            <w:tcW w:w="1040" w:type="dxa"/>
            <w:vAlign w:val="bottom"/>
          </w:tcPr>
          <w:p>
            <w:pPr>
              <w:spacing w:after="0"/>
              <w:rPr>
                <w:sz w:val="12"/>
                <w:szCs w:val="12"/>
                <w:color w:val="auto"/>
              </w:rPr>
            </w:pPr>
          </w:p>
        </w:tc>
      </w:tr>
      <w:tr>
        <w:trPr>
          <w:trHeight w:val="157"/>
        </w:trPr>
        <w:tc>
          <w:tcPr>
            <w:tcW w:w="4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jc w:val="right"/>
              <w:ind w:right="3"/>
              <w:spacing w:after="0" w:line="157" w:lineRule="exact"/>
              <w:rPr>
                <w:sz w:val="20"/>
                <w:szCs w:val="20"/>
                <w:color w:val="auto"/>
              </w:rPr>
            </w:pPr>
            <w:r>
              <w:rPr>
                <w:rFonts w:ascii="Arial" w:cs="Arial" w:eastAsia="Arial" w:hAnsi="Arial"/>
                <w:sz w:val="14"/>
                <w:szCs w:val="14"/>
                <w:b w:val="1"/>
                <w:bCs w:val="1"/>
                <w:color w:val="auto"/>
              </w:rPr>
              <w:t>average</w:t>
            </w:r>
          </w:p>
        </w:tc>
        <w:tc>
          <w:tcPr>
            <w:tcW w:w="10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Aggregate</w:t>
            </w:r>
          </w:p>
        </w:tc>
      </w:tr>
      <w:tr>
        <w:trPr>
          <w:trHeight w:val="157"/>
        </w:trPr>
        <w:tc>
          <w:tcPr>
            <w:tcW w:w="4420" w:type="dxa"/>
            <w:vAlign w:val="bottom"/>
          </w:tcPr>
          <w:p>
            <w:pPr>
              <w:spacing w:after="0"/>
              <w:rPr>
                <w:sz w:val="13"/>
                <w:szCs w:val="13"/>
                <w:color w:val="auto"/>
              </w:rPr>
            </w:pPr>
          </w:p>
        </w:tc>
        <w:tc>
          <w:tcPr>
            <w:tcW w:w="1040" w:type="dxa"/>
            <w:vAlign w:val="bottom"/>
          </w:tcPr>
          <w:p>
            <w:pPr>
              <w:jc w:val="right"/>
              <w:ind w:right="122"/>
              <w:spacing w:after="0" w:line="157"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3"/>
                <w:szCs w:val="13"/>
                <w:color w:val="auto"/>
              </w:rPr>
            </w:pPr>
          </w:p>
        </w:tc>
        <w:tc>
          <w:tcPr>
            <w:tcW w:w="1000" w:type="dxa"/>
            <w:vAlign w:val="bottom"/>
          </w:tcPr>
          <w:p>
            <w:pPr>
              <w:jc w:val="right"/>
              <w:ind w:right="123"/>
              <w:spacing w:after="0" w:line="157"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3"/>
                <w:szCs w:val="13"/>
                <w:color w:val="auto"/>
              </w:rPr>
            </w:pPr>
          </w:p>
        </w:tc>
        <w:tc>
          <w:tcPr>
            <w:tcW w:w="780" w:type="dxa"/>
            <w:vAlign w:val="bottom"/>
          </w:tcPr>
          <w:p>
            <w:pPr>
              <w:jc w:val="right"/>
              <w:ind w:right="3"/>
              <w:spacing w:after="0" w:line="157" w:lineRule="exact"/>
              <w:rPr>
                <w:sz w:val="20"/>
                <w:szCs w:val="20"/>
                <w:color w:val="auto"/>
              </w:rPr>
            </w:pPr>
            <w:r>
              <w:rPr>
                <w:rFonts w:ascii="Arial" w:cs="Arial" w:eastAsia="Arial" w:hAnsi="Arial"/>
                <w:sz w:val="14"/>
                <w:szCs w:val="14"/>
                <w:b w:val="1"/>
                <w:bCs w:val="1"/>
                <w:color w:val="auto"/>
              </w:rPr>
              <w:t>exercise</w:t>
            </w:r>
          </w:p>
        </w:tc>
        <w:tc>
          <w:tcPr>
            <w:tcW w:w="10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intrinsic</w:t>
            </w:r>
          </w:p>
        </w:tc>
      </w:tr>
      <w:tr>
        <w:trPr>
          <w:trHeight w:val="182"/>
        </w:trPr>
        <w:tc>
          <w:tcPr>
            <w:tcW w:w="4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of shares</w:t>
            </w: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of shares</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price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r>
      <w:tr>
        <w:trPr>
          <w:trHeight w:val="32"/>
        </w:trPr>
        <w:tc>
          <w:tcPr>
            <w:tcW w:w="4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2002</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2,311,007</w:t>
            </w:r>
          </w:p>
        </w:tc>
        <w:tc>
          <w:tcPr>
            <w:tcW w:w="3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tcPr>
          <w:p>
            <w:pPr>
              <w:ind w:left="20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297,779</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4.54</w:t>
            </w:r>
          </w:p>
        </w:tc>
        <w:tc>
          <w:tcPr>
            <w:tcW w:w="260" w:type="dxa"/>
            <w:vAlign w:val="bottom"/>
          </w:tcPr>
          <w:p>
            <w:pPr>
              <w:spacing w:after="0"/>
              <w:rPr>
                <w:sz w:val="15"/>
                <w:szCs w:val="15"/>
                <w:color w:val="auto"/>
              </w:rPr>
            </w:pP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(439,264)</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(222,212)</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2003</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1,947,310</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179"/>
        </w:trPr>
        <w:tc>
          <w:tcPr>
            <w:tcW w:w="4420" w:type="dxa"/>
            <w:vAlign w:val="bottom"/>
          </w:tcPr>
          <w:p>
            <w:pPr>
              <w:spacing w:after="0" w:line="179" w:lineRule="exact"/>
              <w:rPr>
                <w:sz w:val="20"/>
                <w:szCs w:val="20"/>
                <w:color w:val="auto"/>
              </w:rPr>
            </w:pPr>
            <w:r>
              <w:rPr>
                <w:rFonts w:ascii="Arial" w:cs="Arial" w:eastAsia="Arial" w:hAnsi="Arial"/>
                <w:sz w:val="16"/>
                <w:szCs w:val="16"/>
                <w:color w:val="auto"/>
              </w:rPr>
              <w:t>Exercisable at December 31, 2003</w:t>
            </w:r>
          </w:p>
        </w:tc>
        <w:tc>
          <w:tcPr>
            <w:tcW w:w="1040" w:type="dxa"/>
            <w:vAlign w:val="bottom"/>
            <w:tcBorders>
              <w:bottom w:val="single" w:sz="8" w:color="000003"/>
            </w:tcBorders>
          </w:tcPr>
          <w:p>
            <w:pPr>
              <w:jc w:val="right"/>
              <w:ind w:right="122"/>
              <w:spacing w:after="0" w:line="179" w:lineRule="exact"/>
              <w:rPr>
                <w:sz w:val="20"/>
                <w:szCs w:val="20"/>
                <w:color w:val="auto"/>
              </w:rPr>
            </w:pPr>
            <w:r>
              <w:rPr>
                <w:rFonts w:ascii="Arial" w:cs="Arial" w:eastAsia="Arial" w:hAnsi="Arial"/>
                <w:sz w:val="16"/>
                <w:szCs w:val="16"/>
                <w:color w:val="auto"/>
              </w:rPr>
              <w:t>1,319,714</w:t>
            </w:r>
          </w:p>
        </w:tc>
        <w:tc>
          <w:tcPr>
            <w:tcW w:w="320" w:type="dxa"/>
            <w:vAlign w:val="bottom"/>
            <w:tcBorders>
              <w:bottom w:val="single" w:sz="8" w:color="000003"/>
            </w:tcBorders>
          </w:tcPr>
          <w:p>
            <w:pPr>
              <w:spacing w:after="0"/>
              <w:rPr>
                <w:sz w:val="15"/>
                <w:szCs w:val="15"/>
                <w:color w:val="auto"/>
              </w:rPr>
            </w:pPr>
          </w:p>
        </w:tc>
        <w:tc>
          <w:tcPr>
            <w:tcW w:w="720" w:type="dxa"/>
            <w:vAlign w:val="bottom"/>
            <w:tcBorders>
              <w:bottom w:val="single" w:sz="8" w:color="000003"/>
            </w:tcBorders>
          </w:tcPr>
          <w:p>
            <w:pPr>
              <w:jc w:val="right"/>
              <w:spacing w:after="0" w:line="179" w:lineRule="exact"/>
              <w:rPr>
                <w:sz w:val="20"/>
                <w:szCs w:val="20"/>
                <w:color w:val="auto"/>
              </w:rPr>
            </w:pPr>
            <w:r>
              <w:rPr>
                <w:rFonts w:ascii="Arial" w:cs="Arial" w:eastAsia="Arial" w:hAnsi="Arial"/>
                <w:sz w:val="16"/>
                <w:szCs w:val="16"/>
                <w:color w:val="auto"/>
              </w:rPr>
              <w:t>0.20</w:t>
            </w:r>
          </w:p>
        </w:tc>
        <w:tc>
          <w:tcPr>
            <w:tcW w:w="260" w:type="dxa"/>
            <w:vAlign w:val="bottom"/>
            <w:tcBorders>
              <w:bottom w:val="single" w:sz="8" w:color="000003"/>
            </w:tcBorders>
          </w:tcPr>
          <w:p>
            <w:pPr>
              <w:spacing w:after="0"/>
              <w:rPr>
                <w:sz w:val="15"/>
                <w:szCs w:val="15"/>
                <w:color w:val="auto"/>
              </w:rPr>
            </w:pPr>
          </w:p>
        </w:tc>
        <w:tc>
          <w:tcPr>
            <w:tcW w:w="1000" w:type="dxa"/>
            <w:vAlign w:val="bottom"/>
            <w:tcBorders>
              <w:bottom w:val="single" w:sz="8" w:color="000003"/>
            </w:tcBorders>
          </w:tcPr>
          <w:p>
            <w:pPr>
              <w:jc w:val="right"/>
              <w:ind w:right="123"/>
              <w:spacing w:after="0" w:line="179"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000003"/>
            </w:tcBorders>
          </w:tcPr>
          <w:p>
            <w:pPr>
              <w:spacing w:after="0"/>
              <w:rPr>
                <w:sz w:val="15"/>
                <w:szCs w:val="15"/>
                <w:color w:val="auto"/>
              </w:rPr>
            </w:pPr>
          </w:p>
        </w:tc>
        <w:tc>
          <w:tcPr>
            <w:tcW w:w="780" w:type="dxa"/>
            <w:vAlign w:val="bottom"/>
            <w:tcBorders>
              <w:bottom w:val="single" w:sz="8" w:color="000003"/>
            </w:tcBorders>
          </w:tcPr>
          <w:p>
            <w:pPr>
              <w:jc w:val="right"/>
              <w:ind w:right="3"/>
              <w:spacing w:after="0" w:line="17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000003"/>
            </w:tcBorders>
          </w:tcPr>
          <w:p>
            <w:pPr>
              <w:jc w:val="right"/>
              <w:spacing w:after="0" w:line="179" w:lineRule="exact"/>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179"/>
        </w:trPr>
        <w:tc>
          <w:tcPr>
            <w:tcW w:w="4420" w:type="dxa"/>
            <w:vAlign w:val="bottom"/>
            <w:shd w:val="clear" w:color="auto" w:fill="CCEEFF"/>
          </w:tcPr>
          <w:p>
            <w:pPr>
              <w:ind w:left="200"/>
              <w:spacing w:after="0" w:line="179" w:lineRule="exact"/>
              <w:rPr>
                <w:sz w:val="20"/>
                <w:szCs w:val="20"/>
                <w:color w:val="auto"/>
              </w:rPr>
            </w:pPr>
            <w:r>
              <w:rPr>
                <w:rFonts w:ascii="Arial" w:cs="Arial" w:eastAsia="Arial" w:hAnsi="Arial"/>
                <w:sz w:val="16"/>
                <w:szCs w:val="16"/>
                <w:color w:val="auto"/>
              </w:rPr>
              <w:t>Granted</w:t>
            </w:r>
          </w:p>
        </w:tc>
        <w:tc>
          <w:tcPr>
            <w:tcW w:w="1040" w:type="dxa"/>
            <w:vAlign w:val="bottom"/>
            <w:shd w:val="clear" w:color="auto" w:fill="CCEEFF"/>
          </w:tcPr>
          <w:p>
            <w:pPr>
              <w:jc w:val="right"/>
              <w:ind w:right="122"/>
              <w:spacing w:after="0" w:line="179" w:lineRule="exact"/>
              <w:rPr>
                <w:sz w:val="20"/>
                <w:szCs w:val="20"/>
                <w:color w:val="auto"/>
              </w:rPr>
            </w:pPr>
            <w:r>
              <w:rPr>
                <w:rFonts w:ascii="Arial" w:cs="Arial" w:eastAsia="Arial" w:hAnsi="Arial"/>
                <w:sz w:val="16"/>
                <w:szCs w:val="16"/>
                <w:color w:val="auto"/>
              </w:rPr>
              <w:t>136,348</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1.08</w:t>
            </w:r>
          </w:p>
        </w:tc>
        <w:tc>
          <w:tcPr>
            <w:tcW w:w="1260" w:type="dxa"/>
            <w:vAlign w:val="bottom"/>
            <w:gridSpan w:val="2"/>
            <w:shd w:val="clear" w:color="auto" w:fill="CCEEFF"/>
          </w:tcPr>
          <w:p>
            <w:pPr>
              <w:jc w:val="right"/>
              <w:ind w:right="123"/>
              <w:spacing w:after="0" w:line="179" w:lineRule="exact"/>
              <w:rPr>
                <w:sz w:val="20"/>
                <w:szCs w:val="20"/>
                <w:color w:val="auto"/>
              </w:rPr>
            </w:pPr>
            <w:r>
              <w:rPr>
                <w:rFonts w:ascii="Arial" w:cs="Arial" w:eastAsia="Arial" w:hAnsi="Arial"/>
                <w:sz w:val="16"/>
                <w:szCs w:val="16"/>
                <w:color w:val="auto"/>
              </w:rPr>
              <w:t>810,866</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line="179" w:lineRule="exact"/>
              <w:rPr>
                <w:sz w:val="20"/>
                <w:szCs w:val="20"/>
                <w:color w:val="auto"/>
              </w:rPr>
            </w:pPr>
            <w:r>
              <w:rPr>
                <w:rFonts w:ascii="Arial" w:cs="Arial" w:eastAsia="Arial" w:hAnsi="Arial"/>
                <w:sz w:val="16"/>
                <w:szCs w:val="16"/>
                <w:color w:val="auto"/>
              </w:rPr>
              <w:t>2.74</w:t>
            </w:r>
          </w:p>
        </w:tc>
        <w:tc>
          <w:tcPr>
            <w:tcW w:w="10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r>
      <w:tr>
        <w:trPr>
          <w:trHeight w:val="183"/>
        </w:trPr>
        <w:tc>
          <w:tcPr>
            <w:tcW w:w="442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ind w:right="62"/>
              <w:spacing w:after="0"/>
              <w:rPr>
                <w:sz w:val="20"/>
                <w:szCs w:val="20"/>
                <w:color w:val="auto"/>
              </w:rPr>
            </w:pPr>
            <w:r>
              <w:rPr>
                <w:rFonts w:ascii="Arial" w:cs="Arial" w:eastAsia="Arial" w:hAnsi="Arial"/>
                <w:sz w:val="16"/>
                <w:szCs w:val="16"/>
                <w:color w:val="auto"/>
              </w:rPr>
              <w:t>(122,584)</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0.09</w:t>
            </w:r>
          </w:p>
        </w:tc>
        <w:tc>
          <w:tcPr>
            <w:tcW w:w="260" w:type="dxa"/>
            <w:vAlign w:val="bottom"/>
          </w:tcPr>
          <w:p>
            <w:pPr>
              <w:spacing w:after="0"/>
              <w:rPr>
                <w:sz w:val="15"/>
                <w:szCs w:val="15"/>
                <w:color w:val="auto"/>
              </w:rPr>
            </w:pP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Converted from BioPort to Emergent Plan</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(1,948,892)</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6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1,948,892</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0.43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42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(12,182)</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0.47</w:t>
            </w:r>
          </w:p>
        </w:tc>
        <w:tc>
          <w:tcPr>
            <w:tcW w:w="12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6"/>
                <w:szCs w:val="16"/>
                <w:color w:val="auto"/>
              </w:rPr>
              <w:t>(166,250)</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December 31, 2004</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3"/>
              <w:spacing w:after="0"/>
              <w:rPr>
                <w:sz w:val="20"/>
                <w:szCs w:val="20"/>
                <w:color w:val="auto"/>
              </w:rPr>
            </w:pPr>
            <w:r>
              <w:rPr>
                <w:rFonts w:ascii="Arial" w:cs="Arial" w:eastAsia="Arial" w:hAnsi="Arial"/>
                <w:sz w:val="16"/>
                <w:szCs w:val="16"/>
                <w:color w:val="auto"/>
              </w:rPr>
              <w:t>2,593,508</w:t>
            </w:r>
          </w:p>
        </w:tc>
        <w:tc>
          <w:tcPr>
            <w:tcW w:w="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1260" w:type="dxa"/>
            <w:vAlign w:val="bottom"/>
            <w:tcBorders>
              <w:bottom w:val="single" w:sz="8" w:color="000003"/>
            </w:tcBorders>
            <w:gridSpan w:val="2"/>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1260" w:type="dxa"/>
            <w:vAlign w:val="bottom"/>
            <w:tcBorders>
              <w:bottom w:val="single" w:sz="8" w:color="000003"/>
            </w:tcBorders>
            <w:gridSpan w:val="2"/>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179"/>
        </w:trPr>
        <w:tc>
          <w:tcPr>
            <w:tcW w:w="4420" w:type="dxa"/>
            <w:vAlign w:val="bottom"/>
          </w:tcPr>
          <w:p>
            <w:pPr>
              <w:spacing w:after="0" w:line="179" w:lineRule="exact"/>
              <w:rPr>
                <w:sz w:val="20"/>
                <w:szCs w:val="20"/>
                <w:color w:val="auto"/>
              </w:rPr>
            </w:pPr>
            <w:r>
              <w:rPr>
                <w:rFonts w:ascii="Arial" w:cs="Arial" w:eastAsia="Arial" w:hAnsi="Arial"/>
                <w:sz w:val="16"/>
                <w:szCs w:val="16"/>
                <w:color w:val="auto"/>
              </w:rPr>
              <w:t>Exercisable at December 31, 2004</w:t>
            </w:r>
          </w:p>
        </w:tc>
        <w:tc>
          <w:tcPr>
            <w:tcW w:w="1040" w:type="dxa"/>
            <w:vAlign w:val="bottom"/>
            <w:tcBorders>
              <w:bottom w:val="single" w:sz="8" w:color="000003"/>
            </w:tcBorders>
          </w:tcPr>
          <w:p>
            <w:pPr>
              <w:jc w:val="right"/>
              <w:ind w:right="122"/>
              <w:spacing w:after="0" w:line="179"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000003"/>
            </w:tcBorders>
          </w:tcPr>
          <w:p>
            <w:pPr>
              <w:spacing w:after="0"/>
              <w:rPr>
                <w:sz w:val="15"/>
                <w:szCs w:val="15"/>
                <w:color w:val="auto"/>
              </w:rPr>
            </w:pPr>
          </w:p>
        </w:tc>
        <w:tc>
          <w:tcPr>
            <w:tcW w:w="720" w:type="dxa"/>
            <w:vAlign w:val="bottom"/>
            <w:tcBorders>
              <w:bottom w:val="single" w:sz="8" w:color="000003"/>
            </w:tcBorders>
          </w:tcPr>
          <w:p>
            <w:pPr>
              <w:jc w:val="right"/>
              <w:spacing w:after="0" w:line="179" w:lineRule="exact"/>
              <w:rPr>
                <w:sz w:val="20"/>
                <w:szCs w:val="20"/>
                <w:color w:val="auto"/>
              </w:rPr>
            </w:pPr>
            <w:r>
              <w:rPr>
                <w:rFonts w:ascii="Arial" w:cs="Arial" w:eastAsia="Arial" w:hAnsi="Arial"/>
                <w:sz w:val="16"/>
                <w:szCs w:val="16"/>
                <w:color w:val="auto"/>
              </w:rPr>
              <w:t>—</w:t>
            </w:r>
          </w:p>
        </w:tc>
        <w:tc>
          <w:tcPr>
            <w:tcW w:w="1260" w:type="dxa"/>
            <w:vAlign w:val="bottom"/>
            <w:tcBorders>
              <w:bottom w:val="single" w:sz="8" w:color="000003"/>
            </w:tcBorders>
            <w:gridSpan w:val="2"/>
          </w:tcPr>
          <w:p>
            <w:pPr>
              <w:jc w:val="right"/>
              <w:ind w:right="123"/>
              <w:spacing w:after="0" w:line="179" w:lineRule="exact"/>
              <w:rPr>
                <w:sz w:val="20"/>
                <w:szCs w:val="20"/>
                <w:color w:val="auto"/>
              </w:rPr>
            </w:pPr>
            <w:r>
              <w:rPr>
                <w:rFonts w:ascii="Arial" w:cs="Arial" w:eastAsia="Arial" w:hAnsi="Arial"/>
                <w:sz w:val="16"/>
                <w:szCs w:val="16"/>
                <w:color w:val="auto"/>
              </w:rPr>
              <w:t>2,475,108</w:t>
            </w:r>
          </w:p>
        </w:tc>
        <w:tc>
          <w:tcPr>
            <w:tcW w:w="340" w:type="dxa"/>
            <w:vAlign w:val="bottom"/>
            <w:tcBorders>
              <w:bottom w:val="single" w:sz="8" w:color="000003"/>
            </w:tcBorders>
          </w:tcPr>
          <w:p>
            <w:pPr>
              <w:spacing w:after="0"/>
              <w:rPr>
                <w:sz w:val="15"/>
                <w:szCs w:val="15"/>
                <w:color w:val="auto"/>
              </w:rPr>
            </w:pPr>
          </w:p>
        </w:tc>
        <w:tc>
          <w:tcPr>
            <w:tcW w:w="780" w:type="dxa"/>
            <w:vAlign w:val="bottom"/>
            <w:tcBorders>
              <w:bottom w:val="single" w:sz="8" w:color="000003"/>
            </w:tcBorders>
          </w:tcPr>
          <w:p>
            <w:pPr>
              <w:jc w:val="right"/>
              <w:ind w:right="3"/>
              <w:spacing w:after="0" w:line="179" w:lineRule="exact"/>
              <w:rPr>
                <w:sz w:val="20"/>
                <w:szCs w:val="20"/>
                <w:color w:val="auto"/>
              </w:rPr>
            </w:pPr>
            <w:r>
              <w:rPr>
                <w:rFonts w:ascii="Arial" w:cs="Arial" w:eastAsia="Arial" w:hAnsi="Arial"/>
                <w:sz w:val="16"/>
                <w:szCs w:val="16"/>
                <w:color w:val="auto"/>
              </w:rPr>
              <w:t>1.03</w:t>
            </w:r>
          </w:p>
        </w:tc>
        <w:tc>
          <w:tcPr>
            <w:tcW w:w="1040" w:type="dxa"/>
            <w:vAlign w:val="bottom"/>
            <w:tcBorders>
              <w:bottom w:val="single" w:sz="8" w:color="000003"/>
            </w:tcBorders>
          </w:tcPr>
          <w:p>
            <w:pPr>
              <w:jc w:val="right"/>
              <w:spacing w:after="0" w:line="179" w:lineRule="exact"/>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r>
        <w:trPr>
          <w:trHeight w:val="179"/>
        </w:trPr>
        <w:tc>
          <w:tcPr>
            <w:tcW w:w="4420" w:type="dxa"/>
            <w:vAlign w:val="bottom"/>
            <w:shd w:val="clear" w:color="auto" w:fill="CCEEFF"/>
          </w:tcPr>
          <w:p>
            <w:pPr>
              <w:ind w:left="200"/>
              <w:spacing w:after="0" w:line="179" w:lineRule="exact"/>
              <w:rPr>
                <w:sz w:val="20"/>
                <w:szCs w:val="20"/>
                <w:color w:val="auto"/>
              </w:rPr>
            </w:pPr>
            <w:r>
              <w:rPr>
                <w:rFonts w:ascii="Arial" w:cs="Arial" w:eastAsia="Arial" w:hAnsi="Arial"/>
                <w:sz w:val="16"/>
                <w:szCs w:val="16"/>
                <w:color w:val="auto"/>
              </w:rPr>
              <w:t>Granted</w:t>
            </w:r>
          </w:p>
        </w:tc>
        <w:tc>
          <w:tcPr>
            <w:tcW w:w="1040" w:type="dxa"/>
            <w:vAlign w:val="bottom"/>
            <w:shd w:val="clear" w:color="auto" w:fill="CCEEFF"/>
          </w:tcPr>
          <w:p>
            <w:pPr>
              <w:jc w:val="right"/>
              <w:ind w:right="122"/>
              <w:spacing w:after="0" w:line="179"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23"/>
              <w:spacing w:after="0" w:line="179" w:lineRule="exact"/>
              <w:rPr>
                <w:sz w:val="20"/>
                <w:szCs w:val="20"/>
                <w:color w:val="auto"/>
              </w:rPr>
            </w:pPr>
            <w:r>
              <w:rPr>
                <w:rFonts w:ascii="Arial" w:cs="Arial" w:eastAsia="Arial" w:hAnsi="Arial"/>
                <w:sz w:val="16"/>
                <w:szCs w:val="16"/>
                <w:color w:val="auto"/>
              </w:rPr>
              <w:t>805,579</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line="179" w:lineRule="exact"/>
              <w:rPr>
                <w:sz w:val="20"/>
                <w:szCs w:val="20"/>
                <w:color w:val="auto"/>
              </w:rPr>
            </w:pPr>
            <w:r>
              <w:rPr>
                <w:rFonts w:ascii="Arial" w:cs="Arial" w:eastAsia="Arial" w:hAnsi="Arial"/>
                <w:sz w:val="16"/>
                <w:szCs w:val="16"/>
                <w:color w:val="auto"/>
              </w:rPr>
              <w:t>3.83</w:t>
            </w:r>
          </w:p>
        </w:tc>
        <w:tc>
          <w:tcPr>
            <w:tcW w:w="10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r>
      <w:tr>
        <w:trPr>
          <w:trHeight w:val="183"/>
        </w:trPr>
        <w:tc>
          <w:tcPr>
            <w:tcW w:w="442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3"/>
              <w:spacing w:after="0"/>
              <w:rPr>
                <w:sz w:val="20"/>
                <w:szCs w:val="20"/>
                <w:color w:val="auto"/>
              </w:rPr>
            </w:pPr>
            <w:r>
              <w:rPr>
                <w:rFonts w:ascii="Arial" w:cs="Arial" w:eastAsia="Arial" w:hAnsi="Arial"/>
                <w:sz w:val="16"/>
                <w:szCs w:val="16"/>
                <w:color w:val="auto"/>
              </w:rPr>
              <w:t>(133,451)</w:t>
            </w:r>
          </w:p>
        </w:tc>
        <w:tc>
          <w:tcPr>
            <w:tcW w:w="34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0.32</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(123,807)</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3"/>
        </w:trPr>
        <w:tc>
          <w:tcPr>
            <w:tcW w:w="4420" w:type="dxa"/>
            <w:vAlign w:val="bottom"/>
          </w:tcPr>
          <w:p>
            <w:pPr>
              <w:spacing w:after="0"/>
              <w:rPr>
                <w:sz w:val="20"/>
                <w:szCs w:val="20"/>
                <w:color w:val="auto"/>
              </w:rPr>
            </w:pPr>
            <w:r>
              <w:rPr>
                <w:rFonts w:ascii="Arial" w:cs="Arial" w:eastAsia="Arial" w:hAnsi="Arial"/>
                <w:sz w:val="16"/>
                <w:szCs w:val="16"/>
                <w:color w:val="auto"/>
              </w:rPr>
              <w:t>Outstanding at December 31, 2005</w:t>
            </w:r>
          </w:p>
        </w:tc>
        <w:tc>
          <w:tcPr>
            <w:tcW w:w="1040" w:type="dxa"/>
            <w:vAlign w:val="bottom"/>
            <w:tcBorders>
              <w:bottom w:val="single" w:sz="8" w:color="000003"/>
            </w:tcBorders>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000003"/>
            </w:tcBorders>
          </w:tcPr>
          <w:p>
            <w:pPr>
              <w:spacing w:after="0"/>
              <w:rPr>
                <w:sz w:val="16"/>
                <w:szCs w:val="16"/>
                <w:color w:val="auto"/>
              </w:rPr>
            </w:pPr>
          </w:p>
        </w:tc>
        <w:tc>
          <w:tcPr>
            <w:tcW w:w="72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000003"/>
            </w:tcBorders>
            <w:gridSpan w:val="2"/>
          </w:tcPr>
          <w:p>
            <w:pPr>
              <w:jc w:val="right"/>
              <w:ind w:right="123"/>
              <w:spacing w:after="0"/>
              <w:rPr>
                <w:sz w:val="20"/>
                <w:szCs w:val="20"/>
                <w:color w:val="auto"/>
              </w:rPr>
            </w:pPr>
            <w:r>
              <w:rPr>
                <w:rFonts w:ascii="Arial" w:cs="Arial" w:eastAsia="Arial" w:hAnsi="Arial"/>
                <w:sz w:val="16"/>
                <w:szCs w:val="16"/>
                <w:color w:val="auto"/>
              </w:rPr>
              <w:t>3,141,829</w:t>
            </w:r>
          </w:p>
        </w:tc>
        <w:tc>
          <w:tcPr>
            <w:tcW w:w="340" w:type="dxa"/>
            <w:vAlign w:val="bottom"/>
            <w:tcBorders>
              <w:bottom w:val="single" w:sz="8" w:color="000003"/>
            </w:tcBorders>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000003"/>
            </w:tcBorders>
          </w:tcPr>
          <w:p>
            <w:pPr>
              <w:jc w:val="right"/>
              <w:ind w:right="3"/>
              <w:spacing w:after="0"/>
              <w:rPr>
                <w:sz w:val="20"/>
                <w:szCs w:val="20"/>
                <w:color w:val="auto"/>
              </w:rPr>
            </w:pPr>
            <w:r>
              <w:rPr>
                <w:rFonts w:ascii="Arial" w:cs="Arial" w:eastAsia="Arial" w:hAnsi="Arial"/>
                <w:sz w:val="16"/>
                <w:szCs w:val="16"/>
                <w:color w:val="auto"/>
              </w:rPr>
              <w:t>1.78</w:t>
            </w:r>
          </w:p>
        </w:tc>
        <w:tc>
          <w:tcPr>
            <w:tcW w:w="1040" w:type="dxa"/>
            <w:vAlign w:val="bottom"/>
            <w:tcBorders>
              <w:bottom w:val="single" w:sz="8" w:color="000003"/>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c>
          <w:tcPr>
            <w:tcW w:w="320" w:type="dxa"/>
            <w:vAlign w:val="bottom"/>
            <w:tcBorders>
              <w:bottom w:val="single" w:sz="8" w:color="000003"/>
            </w:tcBorders>
          </w:tcPr>
          <w:p>
            <w:pPr>
              <w:spacing w:after="0" w:line="20" w:lineRule="exact"/>
              <w:rPr>
                <w:sz w:val="1"/>
                <w:szCs w:val="1"/>
                <w:color w:val="auto"/>
              </w:rPr>
            </w:pPr>
          </w:p>
        </w:tc>
        <w:tc>
          <w:tcPr>
            <w:tcW w:w="72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780" w:type="dxa"/>
            <w:vAlign w:val="bottom"/>
            <w:tcBorders>
              <w:bottom w:val="single" w:sz="8" w:color="000003"/>
            </w:tcBorders>
          </w:tcPr>
          <w:p>
            <w:pPr>
              <w:spacing w:after="0" w:line="20" w:lineRule="exact"/>
              <w:rPr>
                <w:sz w:val="1"/>
                <w:szCs w:val="1"/>
                <w:color w:val="auto"/>
              </w:rPr>
            </w:pPr>
          </w:p>
        </w:tc>
        <w:tc>
          <w:tcPr>
            <w:tcW w:w="1040" w:type="dxa"/>
            <w:vAlign w:val="bottom"/>
            <w:tcBorders>
              <w:bottom w:val="single" w:sz="8" w:color="000003"/>
            </w:tcBorders>
          </w:tcPr>
          <w:p>
            <w:pPr>
              <w:spacing w:after="0" w:line="20" w:lineRule="exact"/>
              <w:rPr>
                <w:sz w:val="1"/>
                <w:szCs w:val="1"/>
                <w:color w:val="auto"/>
              </w:rPr>
            </w:pPr>
          </w:p>
        </w:tc>
      </w:tr>
    </w:tbl>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09" w:name="page210"/>
    <w:bookmarkEnd w:id="209"/>
    <w:tbl>
      <w:tblPr>
        <w:tblLayout w:type="fixed"/>
        <w:tblInd w:w="20" w:type="dxa"/>
        <w:tblCellMar>
          <w:top w:w="0" w:type="dxa"/>
          <w:left w:w="0" w:type="dxa"/>
          <w:bottom w:w="0" w:type="dxa"/>
          <w:right w:w="0" w:type="dxa"/>
        </w:tblCellMar>
      </w:tblPr>
      <w:tr>
        <w:trPr>
          <w:trHeight w:val="196"/>
        </w:trPr>
        <w:tc>
          <w:tcPr>
            <w:tcW w:w="16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BioPort Plan</w:t>
            </w: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Emergent Plan</w:t>
            </w:r>
          </w:p>
        </w:tc>
      </w:tr>
      <w:tr>
        <w:trPr>
          <w:trHeight w:val="139"/>
        </w:trPr>
        <w:tc>
          <w:tcPr>
            <w:tcW w:w="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jc w:val="right"/>
              <w:ind w:right="45"/>
              <w:spacing w:after="0" w:line="139" w:lineRule="exact"/>
              <w:rPr>
                <w:sz w:val="20"/>
                <w:szCs w:val="20"/>
                <w:color w:val="auto"/>
              </w:rPr>
            </w:pPr>
            <w:r>
              <w:rPr>
                <w:rFonts w:ascii="Arial" w:cs="Arial" w:eastAsia="Arial" w:hAnsi="Arial"/>
                <w:sz w:val="14"/>
                <w:szCs w:val="14"/>
                <w:b w:val="1"/>
                <w:bCs w:val="1"/>
                <w:color w:val="auto"/>
              </w:rPr>
              <w:t>Weighted</w:t>
            </w:r>
          </w:p>
        </w:tc>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57"/>
        </w:trPr>
        <w:tc>
          <w:tcPr>
            <w:tcW w:w="1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45"/>
              <w:spacing w:after="0" w:line="157" w:lineRule="exact"/>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Aggregate</w:t>
            </w:r>
          </w:p>
        </w:tc>
      </w:tr>
      <w:tr>
        <w:trPr>
          <w:trHeight w:val="157"/>
        </w:trPr>
        <w:tc>
          <w:tcPr>
            <w:tcW w:w="16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3"/>
                <w:szCs w:val="13"/>
                <w:color w:val="auto"/>
              </w:rPr>
            </w:pPr>
          </w:p>
        </w:tc>
        <w:tc>
          <w:tcPr>
            <w:tcW w:w="980" w:type="dxa"/>
            <w:vAlign w:val="bottom"/>
          </w:tcPr>
          <w:p>
            <w:pPr>
              <w:jc w:val="right"/>
              <w:ind w:right="130"/>
              <w:spacing w:after="0" w:line="157" w:lineRule="exact"/>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3"/>
                <w:szCs w:val="13"/>
                <w:color w:val="auto"/>
              </w:rPr>
            </w:pPr>
          </w:p>
        </w:tc>
        <w:tc>
          <w:tcPr>
            <w:tcW w:w="860" w:type="dxa"/>
            <w:vAlign w:val="bottom"/>
          </w:tcPr>
          <w:p>
            <w:pPr>
              <w:jc w:val="right"/>
              <w:ind w:right="45"/>
              <w:spacing w:after="0" w:line="157" w:lineRule="exact"/>
              <w:rPr>
                <w:sz w:val="20"/>
                <w:szCs w:val="20"/>
                <w:color w:val="auto"/>
              </w:rPr>
            </w:pPr>
            <w:r>
              <w:rPr>
                <w:rFonts w:ascii="Arial" w:cs="Arial" w:eastAsia="Arial" w:hAnsi="Arial"/>
                <w:sz w:val="14"/>
                <w:szCs w:val="14"/>
                <w:b w:val="1"/>
                <w:bCs w:val="1"/>
                <w:color w:val="auto"/>
              </w:rPr>
              <w:t>exercise</w:t>
            </w:r>
          </w:p>
        </w:tc>
        <w:tc>
          <w:tcPr>
            <w:tcW w:w="4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intrinsic</w:t>
            </w:r>
          </w:p>
        </w:tc>
      </w:tr>
      <w:tr>
        <w:trPr>
          <w:trHeight w:val="182"/>
        </w:trPr>
        <w:tc>
          <w:tcPr>
            <w:tcW w:w="16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shares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of shares</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price</w:t>
            </w:r>
          </w:p>
        </w:tc>
        <w:tc>
          <w:tcPr>
            <w:tcW w:w="4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r>
      <w:tr>
        <w:trPr>
          <w:trHeight w:val="32"/>
        </w:trPr>
        <w:tc>
          <w:tcPr>
            <w:tcW w:w="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3"/>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Exercisable at December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6"/>
                <w:szCs w:val="16"/>
                <w:color w:val="auto"/>
              </w:rPr>
              <w:t>2,452,483</w:t>
            </w: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1.22</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1220" w:type="dxa"/>
            <w:vAlign w:val="bottom"/>
            <w:tcBorders>
              <w:bottom w:val="single" w:sz="8" w:color="000003"/>
            </w:tcBorders>
            <w:gridSpan w:val="2"/>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860" w:type="dxa"/>
            <w:vAlign w:val="bottom"/>
            <w:tcBorders>
              <w:bottom w:val="single" w:sz="8" w:color="000003"/>
            </w:tcBorders>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1200" w:type="dxa"/>
            <w:vAlign w:val="bottom"/>
            <w:tcBorders>
              <w:bottom w:val="single" w:sz="8" w:color="000003"/>
            </w:tcBorders>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1220" w:type="dxa"/>
            <w:vAlign w:val="bottom"/>
            <w:tcBorders>
              <w:bottom w:val="single" w:sz="8" w:color="000003"/>
            </w:tcBorders>
            <w:gridSpan w:val="2"/>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860" w:type="dxa"/>
            <w:vAlign w:val="bottom"/>
            <w:tcBorders>
              <w:bottom w:val="single" w:sz="8" w:color="000003"/>
            </w:tcBorders>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1200" w:type="dxa"/>
            <w:vAlign w:val="bottom"/>
            <w:tcBorders>
              <w:bottom w:val="single" w:sz="8" w:color="000003"/>
            </w:tcBorders>
          </w:tcPr>
          <w:p>
            <w:pPr>
              <w:spacing w:after="0" w:line="20" w:lineRule="exact"/>
              <w:rPr>
                <w:sz w:val="1"/>
                <w:szCs w:val="1"/>
                <w:color w:val="auto"/>
              </w:rPr>
            </w:pPr>
          </w:p>
        </w:tc>
      </w:tr>
      <w:tr>
        <w:trPr>
          <w:trHeight w:val="169"/>
        </w:trPr>
        <w:tc>
          <w:tcPr>
            <w:tcW w:w="160" w:type="dxa"/>
            <w:vAlign w:val="bottom"/>
          </w:tcPr>
          <w:p>
            <w:pPr>
              <w:spacing w:after="0"/>
              <w:rPr>
                <w:sz w:val="14"/>
                <w:szCs w:val="14"/>
                <w:color w:val="auto"/>
              </w:rPr>
            </w:pPr>
          </w:p>
        </w:tc>
        <w:tc>
          <w:tcPr>
            <w:tcW w:w="3980" w:type="dxa"/>
            <w:vAlign w:val="bottom"/>
          </w:tcPr>
          <w:p>
            <w:pPr>
              <w:ind w:left="40"/>
              <w:spacing w:after="0" w:line="169" w:lineRule="exact"/>
              <w:rPr>
                <w:sz w:val="20"/>
                <w:szCs w:val="20"/>
                <w:color w:val="auto"/>
              </w:rPr>
            </w:pPr>
            <w:r>
              <w:rPr>
                <w:rFonts w:ascii="Arial" w:cs="Arial" w:eastAsia="Arial" w:hAnsi="Arial"/>
                <w:sz w:val="16"/>
                <w:szCs w:val="16"/>
                <w:color w:val="auto"/>
              </w:rPr>
              <w:t>Granted (unaudited)</w:t>
            </w: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0"/>
              <w:spacing w:after="0" w:line="169" w:lineRule="exact"/>
              <w:rPr>
                <w:sz w:val="20"/>
                <w:szCs w:val="20"/>
                <w:color w:val="auto"/>
              </w:rPr>
            </w:pPr>
            <w:r>
              <w:rPr>
                <w:rFonts w:ascii="Arial" w:cs="Arial" w:eastAsia="Arial" w:hAnsi="Arial"/>
                <w:sz w:val="16"/>
                <w:szCs w:val="16"/>
                <w:color w:val="auto"/>
              </w:rPr>
              <w:t>258,933</w:t>
            </w:r>
          </w:p>
        </w:tc>
        <w:tc>
          <w:tcPr>
            <w:tcW w:w="360" w:type="dxa"/>
            <w:vAlign w:val="bottom"/>
          </w:tcPr>
          <w:p>
            <w:pPr>
              <w:spacing w:after="0"/>
              <w:rPr>
                <w:sz w:val="14"/>
                <w:szCs w:val="14"/>
                <w:color w:val="auto"/>
              </w:rPr>
            </w:pPr>
          </w:p>
        </w:tc>
        <w:tc>
          <w:tcPr>
            <w:tcW w:w="860" w:type="dxa"/>
            <w:vAlign w:val="bottom"/>
          </w:tcPr>
          <w:p>
            <w:pPr>
              <w:jc w:val="right"/>
              <w:ind w:right="45"/>
              <w:spacing w:after="0" w:line="169" w:lineRule="exact"/>
              <w:rPr>
                <w:sz w:val="20"/>
                <w:szCs w:val="20"/>
                <w:color w:val="auto"/>
              </w:rPr>
            </w:pPr>
            <w:r>
              <w:rPr>
                <w:rFonts w:ascii="Arial" w:cs="Arial" w:eastAsia="Arial" w:hAnsi="Arial"/>
                <w:sz w:val="16"/>
                <w:szCs w:val="16"/>
                <w:color w:val="auto"/>
              </w:rPr>
              <w:t>11.36</w:t>
            </w:r>
          </w:p>
        </w:tc>
        <w:tc>
          <w:tcPr>
            <w:tcW w:w="4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r>
      <w:tr>
        <w:trPr>
          <w:trHeight w:val="183"/>
        </w:trPr>
        <w:tc>
          <w:tcPr>
            <w:tcW w:w="160" w:type="dxa"/>
            <w:vAlign w:val="bottom"/>
            <w:shd w:val="clear" w:color="auto" w:fill="CCEEFF"/>
          </w:tcPr>
          <w:p>
            <w:pPr>
              <w:spacing w:after="0"/>
              <w:rPr>
                <w:sz w:val="15"/>
                <w:szCs w:val="15"/>
                <w:color w:val="auto"/>
              </w:rPr>
            </w:pPr>
          </w:p>
        </w:tc>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 (unaudited)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6"/>
                <w:szCs w:val="16"/>
                <w:color w:val="auto"/>
              </w:rPr>
              <w:t>(65,057)</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0.65</w:t>
            </w:r>
          </w:p>
        </w:tc>
        <w:tc>
          <w:tcPr>
            <w:tcW w:w="4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160" w:type="dxa"/>
            <w:vAlign w:val="bottom"/>
          </w:tcPr>
          <w:p>
            <w:pPr>
              <w:spacing w:after="0"/>
              <w:rPr>
                <w:sz w:val="17"/>
                <w:szCs w:val="17"/>
                <w:color w:val="auto"/>
              </w:rPr>
            </w:pPr>
          </w:p>
        </w:tc>
        <w:tc>
          <w:tcPr>
            <w:tcW w:w="3980" w:type="dxa"/>
            <w:vAlign w:val="bottom"/>
          </w:tcPr>
          <w:p>
            <w:pPr>
              <w:ind w:left="40"/>
              <w:spacing w:after="0"/>
              <w:rPr>
                <w:sz w:val="20"/>
                <w:szCs w:val="20"/>
                <w:color w:val="auto"/>
              </w:rPr>
            </w:pPr>
            <w:r>
              <w:rPr>
                <w:rFonts w:ascii="Arial" w:cs="Arial" w:eastAsia="Arial" w:hAnsi="Arial"/>
                <w:sz w:val="16"/>
                <w:szCs w:val="16"/>
                <w:color w:val="auto"/>
              </w:rPr>
              <w:t>Forfeited (unaudited)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6"/>
                <w:szCs w:val="16"/>
                <w:color w:val="auto"/>
              </w:rPr>
              <w:t>(194,702)</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2.62</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Outstanding at September 30, 2006 (unaudited)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6"/>
                <w:szCs w:val="16"/>
                <w:color w:val="auto"/>
              </w:rPr>
              <w:t>3,141,003</w:t>
            </w: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2.54</w:t>
            </w:r>
          </w:p>
        </w:tc>
        <w:tc>
          <w:tcPr>
            <w:tcW w:w="4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39,148,022</w:t>
            </w:r>
          </w:p>
        </w:tc>
      </w:tr>
      <w:tr>
        <w:trPr>
          <w:trHeight w:val="20"/>
        </w:trPr>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1220" w:type="dxa"/>
            <w:vAlign w:val="bottom"/>
            <w:tcBorders>
              <w:bottom w:val="single" w:sz="8" w:color="000003"/>
            </w:tcBorders>
            <w:gridSpan w:val="2"/>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860" w:type="dxa"/>
            <w:vAlign w:val="bottom"/>
            <w:tcBorders>
              <w:bottom w:val="single" w:sz="8" w:color="000003"/>
            </w:tcBorders>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1200" w:type="dxa"/>
            <w:vAlign w:val="bottom"/>
            <w:tcBorders>
              <w:bottom w:val="single" w:sz="8" w:color="000003"/>
            </w:tcBorders>
          </w:tcPr>
          <w:p>
            <w:pPr>
              <w:spacing w:after="0" w:line="20" w:lineRule="exact"/>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000003"/>
            </w:tcBorders>
          </w:tcPr>
          <w:p>
            <w:pPr>
              <w:spacing w:after="0" w:line="20" w:lineRule="exact"/>
              <w:rPr>
                <w:sz w:val="1"/>
                <w:szCs w:val="1"/>
                <w:color w:val="auto"/>
              </w:rPr>
            </w:pPr>
          </w:p>
        </w:tc>
        <w:tc>
          <w:tcPr>
            <w:tcW w:w="900" w:type="dxa"/>
            <w:vAlign w:val="bottom"/>
            <w:tcBorders>
              <w:bottom w:val="single" w:sz="8" w:color="000003"/>
            </w:tcBorders>
          </w:tcPr>
          <w:p>
            <w:pPr>
              <w:spacing w:after="0" w:line="20" w:lineRule="exact"/>
              <w:rPr>
                <w:sz w:val="1"/>
                <w:szCs w:val="1"/>
                <w:color w:val="auto"/>
              </w:rPr>
            </w:pPr>
          </w:p>
        </w:tc>
        <w:tc>
          <w:tcPr>
            <w:tcW w:w="1220" w:type="dxa"/>
            <w:vAlign w:val="bottom"/>
            <w:tcBorders>
              <w:bottom w:val="single" w:sz="8" w:color="000003"/>
            </w:tcBorders>
            <w:gridSpan w:val="2"/>
          </w:tcPr>
          <w:p>
            <w:pPr>
              <w:spacing w:after="0" w:line="20" w:lineRule="exact"/>
              <w:rPr>
                <w:sz w:val="1"/>
                <w:szCs w:val="1"/>
                <w:color w:val="auto"/>
              </w:rPr>
            </w:pPr>
          </w:p>
        </w:tc>
        <w:tc>
          <w:tcPr>
            <w:tcW w:w="360" w:type="dxa"/>
            <w:vAlign w:val="bottom"/>
            <w:tcBorders>
              <w:bottom w:val="single" w:sz="8" w:color="000003"/>
            </w:tcBorders>
          </w:tcPr>
          <w:p>
            <w:pPr>
              <w:spacing w:after="0" w:line="20" w:lineRule="exact"/>
              <w:rPr>
                <w:sz w:val="1"/>
                <w:szCs w:val="1"/>
                <w:color w:val="auto"/>
              </w:rPr>
            </w:pPr>
          </w:p>
        </w:tc>
        <w:tc>
          <w:tcPr>
            <w:tcW w:w="860" w:type="dxa"/>
            <w:vAlign w:val="bottom"/>
            <w:tcBorders>
              <w:bottom w:val="single" w:sz="8" w:color="000003"/>
            </w:tcBorders>
          </w:tcPr>
          <w:p>
            <w:pPr>
              <w:spacing w:after="0" w:line="20" w:lineRule="exact"/>
              <w:rPr>
                <w:sz w:val="1"/>
                <w:szCs w:val="1"/>
                <w:color w:val="auto"/>
              </w:rPr>
            </w:pPr>
          </w:p>
        </w:tc>
        <w:tc>
          <w:tcPr>
            <w:tcW w:w="440" w:type="dxa"/>
            <w:vAlign w:val="bottom"/>
            <w:tcBorders>
              <w:bottom w:val="single" w:sz="8" w:color="000003"/>
            </w:tcBorders>
          </w:tcPr>
          <w:p>
            <w:pPr>
              <w:spacing w:after="0" w:line="20" w:lineRule="exact"/>
              <w:rPr>
                <w:sz w:val="1"/>
                <w:szCs w:val="1"/>
                <w:color w:val="auto"/>
              </w:rPr>
            </w:pPr>
          </w:p>
        </w:tc>
        <w:tc>
          <w:tcPr>
            <w:tcW w:w="1200" w:type="dxa"/>
            <w:vAlign w:val="bottom"/>
            <w:tcBorders>
              <w:bottom w:val="single" w:sz="8" w:color="000003"/>
            </w:tcBorders>
          </w:tcPr>
          <w:p>
            <w:pPr>
              <w:spacing w:after="0" w:line="20" w:lineRule="exact"/>
              <w:rPr>
                <w:sz w:val="1"/>
                <w:szCs w:val="1"/>
                <w:color w:val="auto"/>
              </w:rPr>
            </w:pPr>
          </w:p>
        </w:tc>
      </w:tr>
      <w:tr>
        <w:trPr>
          <w:trHeight w:val="169"/>
        </w:trPr>
        <w:tc>
          <w:tcPr>
            <w:tcW w:w="4140" w:type="dxa"/>
            <w:vAlign w:val="bottom"/>
            <w:gridSpan w:val="2"/>
          </w:tcPr>
          <w:p>
            <w:pPr>
              <w:spacing w:after="0" w:line="169" w:lineRule="exact"/>
              <w:rPr>
                <w:sz w:val="20"/>
                <w:szCs w:val="20"/>
                <w:color w:val="auto"/>
              </w:rPr>
            </w:pPr>
            <w:r>
              <w:rPr>
                <w:rFonts w:ascii="Arial" w:cs="Arial" w:eastAsia="Arial" w:hAnsi="Arial"/>
                <w:sz w:val="16"/>
                <w:szCs w:val="16"/>
                <w:color w:val="auto"/>
              </w:rPr>
              <w:t>Exercisable at September 30, 2006 (unaudited)</w:t>
            </w:r>
          </w:p>
        </w:tc>
        <w:tc>
          <w:tcPr>
            <w:tcW w:w="8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30"/>
              <w:spacing w:after="0" w:line="169" w:lineRule="exact"/>
              <w:rPr>
                <w:sz w:val="20"/>
                <w:szCs w:val="20"/>
                <w:color w:val="auto"/>
              </w:rPr>
            </w:pPr>
            <w:r>
              <w:rPr>
                <w:rFonts w:ascii="Arial" w:cs="Arial" w:eastAsia="Arial" w:hAnsi="Arial"/>
                <w:sz w:val="16"/>
                <w:szCs w:val="16"/>
                <w:color w:val="auto"/>
              </w:rPr>
              <w:t>2,334,176</w:t>
            </w:r>
          </w:p>
        </w:tc>
        <w:tc>
          <w:tcPr>
            <w:tcW w:w="360" w:type="dxa"/>
            <w:vAlign w:val="bottom"/>
          </w:tcPr>
          <w:p>
            <w:pPr>
              <w:jc w:val="right"/>
              <w:ind w:right="61"/>
              <w:spacing w:after="0" w:line="169"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45"/>
              <w:spacing w:after="0" w:line="169" w:lineRule="exact"/>
              <w:rPr>
                <w:sz w:val="20"/>
                <w:szCs w:val="20"/>
                <w:color w:val="auto"/>
              </w:rPr>
            </w:pPr>
            <w:r>
              <w:rPr>
                <w:rFonts w:ascii="Arial" w:cs="Arial" w:eastAsia="Arial" w:hAnsi="Arial"/>
                <w:sz w:val="16"/>
                <w:szCs w:val="16"/>
                <w:color w:val="auto"/>
              </w:rPr>
              <w:t>1.33</w:t>
            </w:r>
          </w:p>
        </w:tc>
        <w:tc>
          <w:tcPr>
            <w:tcW w:w="440" w:type="dxa"/>
            <w:vAlign w:val="bottom"/>
          </w:tcPr>
          <w:p>
            <w:pPr>
              <w:jc w:val="right"/>
              <w:ind w:right="161"/>
              <w:spacing w:after="0" w:line="169"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69" w:lineRule="exact"/>
              <w:rPr>
                <w:sz w:val="20"/>
                <w:szCs w:val="20"/>
                <w:color w:val="auto"/>
              </w:rPr>
            </w:pPr>
            <w:r>
              <w:rPr>
                <w:rFonts w:ascii="Arial" w:cs="Arial" w:eastAsia="Arial" w:hAnsi="Arial"/>
                <w:sz w:val="16"/>
                <w:szCs w:val="16"/>
                <w:color w:val="auto"/>
              </w:rPr>
              <w:t>31,916,054</w:t>
            </w:r>
          </w:p>
        </w:tc>
      </w:tr>
      <w:tr>
        <w:trPr>
          <w:trHeight w:val="26"/>
        </w:trPr>
        <w:tc>
          <w:tcPr>
            <w:tcW w:w="160" w:type="dxa"/>
            <w:vAlign w:val="bottom"/>
            <w:shd w:val="clear" w:color="auto" w:fill="CCEEFF"/>
          </w:tcPr>
          <w:p>
            <w:pPr>
              <w:spacing w:after="0"/>
              <w:rPr>
                <w:sz w:val="2"/>
                <w:szCs w:val="2"/>
                <w:color w:val="auto"/>
              </w:rPr>
            </w:pPr>
          </w:p>
        </w:tc>
        <w:tc>
          <w:tcPr>
            <w:tcW w:w="39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r>
    </w:tbl>
    <w:p>
      <w:pPr>
        <w:spacing w:after="0" w:line="104"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The weighted average remaining contractual term of options outstanding and exercisable as of December 31, 2005 and September 30, 2006 was 2.46 years and 1.82 years, and 2.12 years and 1.26 years, respectively.</w:t>
      </w:r>
    </w:p>
    <w:p>
      <w:pPr>
        <w:spacing w:after="0" w:line="9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weighted average grant date fair value of options granted during the years ended December 31, 2003, 2004 and 2005 was $0.68, $0.95 and $1.37, respectively, and $4.28 for the nine months ended September 30, 2006. The total intrinsic value of options exercised during the years ended December 31, 2003, 2004 and 2005 and during the nine months ended September 30, 2006 was $1,165, $325 and $563 and $518,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2005, stock options outstanding and vested by exercise price were as follows: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204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Options outstanding</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20" w:type="dxa"/>
            <w:vAlign w:val="bottom"/>
          </w:tcPr>
          <w:p>
            <w:pPr>
              <w:jc w:val="right"/>
              <w:ind w:right="137"/>
              <w:spacing w:after="0" w:line="158" w:lineRule="exact"/>
              <w:rPr>
                <w:sz w:val="20"/>
                <w:szCs w:val="20"/>
                <w:color w:val="auto"/>
              </w:rPr>
            </w:pPr>
            <w:r>
              <w:rPr>
                <w:rFonts w:ascii="Arial" w:cs="Arial" w:eastAsia="Arial" w:hAnsi="Arial"/>
                <w:sz w:val="16"/>
                <w:szCs w:val="16"/>
                <w:b w:val="1"/>
                <w:bCs w:val="1"/>
                <w:color w:val="auto"/>
              </w:rPr>
              <w:t>Weighted</w:t>
            </w: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20" w:type="dxa"/>
            <w:vAlign w:val="bottom"/>
          </w:tcPr>
          <w:p>
            <w:pPr>
              <w:jc w:val="right"/>
              <w:ind w:right="137"/>
              <w:spacing w:after="0"/>
              <w:rPr>
                <w:sz w:val="20"/>
                <w:szCs w:val="20"/>
                <w:color w:val="auto"/>
              </w:rPr>
            </w:pPr>
            <w:r>
              <w:rPr>
                <w:rFonts w:ascii="Arial" w:cs="Arial" w:eastAsia="Arial" w:hAnsi="Arial"/>
                <w:sz w:val="16"/>
                <w:szCs w:val="16"/>
                <w:b w:val="1"/>
                <w:bCs w:val="1"/>
                <w:color w:val="auto"/>
              </w:rPr>
              <w:t>average</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20" w:type="dxa"/>
            <w:vAlign w:val="bottom"/>
          </w:tcPr>
          <w:p>
            <w:pPr>
              <w:jc w:val="right"/>
              <w:ind w:right="137"/>
              <w:spacing w:after="0"/>
              <w:rPr>
                <w:sz w:val="20"/>
                <w:szCs w:val="20"/>
                <w:color w:val="auto"/>
              </w:rPr>
            </w:pPr>
            <w:r>
              <w:rPr>
                <w:rFonts w:ascii="Arial" w:cs="Arial" w:eastAsia="Arial" w:hAnsi="Arial"/>
                <w:sz w:val="16"/>
                <w:szCs w:val="16"/>
                <w:b w:val="1"/>
                <w:bCs w:val="1"/>
                <w:color w:val="auto"/>
              </w:rPr>
              <w:t>remaining</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3"/>
        </w:trPr>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Range of</w:t>
            </w:r>
          </w:p>
        </w:tc>
        <w:tc>
          <w:tcPr>
            <w:tcW w:w="2040" w:type="dxa"/>
            <w:vAlign w:val="bottom"/>
          </w:tcPr>
          <w:p>
            <w:pPr>
              <w:jc w:val="right"/>
              <w:ind w:right="255"/>
              <w:spacing w:after="0"/>
              <w:rPr>
                <w:sz w:val="20"/>
                <w:szCs w:val="20"/>
                <w:color w:val="auto"/>
              </w:rPr>
            </w:pPr>
            <w:r>
              <w:rPr>
                <w:rFonts w:ascii="Arial" w:cs="Arial" w:eastAsia="Arial" w:hAnsi="Arial"/>
                <w:sz w:val="16"/>
                <w:szCs w:val="16"/>
                <w:b w:val="1"/>
                <w:bCs w:val="1"/>
                <w:color w:val="auto"/>
              </w:rPr>
              <w:t>Number</w:t>
            </w:r>
          </w:p>
        </w:tc>
        <w:tc>
          <w:tcPr>
            <w:tcW w:w="1420" w:type="dxa"/>
            <w:vAlign w:val="bottom"/>
          </w:tcPr>
          <w:p>
            <w:pPr>
              <w:jc w:val="right"/>
              <w:ind w:right="137"/>
              <w:spacing w:after="0"/>
              <w:rPr>
                <w:sz w:val="20"/>
                <w:szCs w:val="20"/>
                <w:color w:val="auto"/>
              </w:rPr>
            </w:pPr>
            <w:r>
              <w:rPr>
                <w:rFonts w:ascii="Arial" w:cs="Arial" w:eastAsia="Arial" w:hAnsi="Arial"/>
                <w:sz w:val="16"/>
                <w:szCs w:val="16"/>
                <w:b w:val="1"/>
                <w:bCs w:val="1"/>
                <w:color w:val="auto"/>
              </w:rPr>
              <w:t>contractual</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400" w:type="dxa"/>
            <w:vAlign w:val="bottom"/>
          </w:tcPr>
          <w:p>
            <w:pPr>
              <w:spacing w:after="0"/>
              <w:rPr>
                <w:sz w:val="15"/>
                <w:szCs w:val="15"/>
                <w:color w:val="auto"/>
              </w:rPr>
            </w:pPr>
          </w:p>
        </w:tc>
        <w:tc>
          <w:tcPr>
            <w:tcW w:w="1780" w:type="dxa"/>
            <w:vAlign w:val="bottom"/>
          </w:tcPr>
          <w:p>
            <w:pPr>
              <w:jc w:val="right"/>
              <w:ind w:right="141"/>
              <w:spacing w:after="0"/>
              <w:rPr>
                <w:sz w:val="20"/>
                <w:szCs w:val="20"/>
                <w:color w:val="auto"/>
              </w:rPr>
            </w:pPr>
            <w:r>
              <w:rPr>
                <w:rFonts w:ascii="Arial" w:cs="Arial" w:eastAsia="Arial" w:hAnsi="Arial"/>
                <w:sz w:val="16"/>
                <w:szCs w:val="16"/>
                <w:b w:val="1"/>
                <w:bCs w:val="1"/>
                <w:color w:val="auto"/>
              </w:rPr>
              <w:t>Number</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211"/>
        </w:trPr>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exercise prices</w:t>
            </w:r>
          </w:p>
        </w:tc>
        <w:tc>
          <w:tcPr>
            <w:tcW w:w="2040" w:type="dxa"/>
            <w:vAlign w:val="bottom"/>
          </w:tcPr>
          <w:p>
            <w:pPr>
              <w:jc w:val="right"/>
              <w:ind w:right="255"/>
              <w:spacing w:after="0"/>
              <w:rPr>
                <w:sz w:val="20"/>
                <w:szCs w:val="20"/>
                <w:color w:val="auto"/>
              </w:rPr>
            </w:pPr>
            <w:r>
              <w:rPr>
                <w:rFonts w:ascii="Arial" w:cs="Arial" w:eastAsia="Arial" w:hAnsi="Arial"/>
                <w:sz w:val="16"/>
                <w:szCs w:val="16"/>
                <w:b w:val="1"/>
                <w:bCs w:val="1"/>
                <w:color w:val="auto"/>
              </w:rPr>
              <w:t>outstanding</w:t>
            </w:r>
          </w:p>
        </w:tc>
        <w:tc>
          <w:tcPr>
            <w:tcW w:w="1420" w:type="dxa"/>
            <w:vAlign w:val="bottom"/>
          </w:tcPr>
          <w:p>
            <w:pPr>
              <w:jc w:val="right"/>
              <w:ind w:right="137"/>
              <w:spacing w:after="0"/>
              <w:rPr>
                <w:sz w:val="20"/>
                <w:szCs w:val="20"/>
                <w:color w:val="auto"/>
              </w:rPr>
            </w:pPr>
            <w:r>
              <w:rPr>
                <w:rFonts w:ascii="Arial" w:cs="Arial" w:eastAsia="Arial" w:hAnsi="Arial"/>
                <w:sz w:val="16"/>
                <w:szCs w:val="16"/>
                <w:b w:val="1"/>
                <w:bCs w:val="1"/>
                <w:color w:val="auto"/>
              </w:rPr>
              <w:t>life (years)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400" w:type="dxa"/>
            <w:vAlign w:val="bottom"/>
          </w:tcPr>
          <w:p>
            <w:pPr>
              <w:spacing w:after="0"/>
              <w:rPr>
                <w:sz w:val="18"/>
                <w:szCs w:val="18"/>
                <w:color w:val="auto"/>
              </w:rPr>
            </w:pPr>
          </w:p>
        </w:tc>
        <w:tc>
          <w:tcPr>
            <w:tcW w:w="1780" w:type="dxa"/>
            <w:vAlign w:val="bottom"/>
          </w:tcPr>
          <w:p>
            <w:pPr>
              <w:jc w:val="right"/>
              <w:ind w:right="141"/>
              <w:spacing w:after="0"/>
              <w:rPr>
                <w:sz w:val="20"/>
                <w:szCs w:val="20"/>
                <w:color w:val="auto"/>
              </w:rPr>
            </w:pPr>
            <w:r>
              <w:rPr>
                <w:rFonts w:ascii="Arial" w:cs="Arial" w:eastAsia="Arial" w:hAnsi="Arial"/>
                <w:sz w:val="16"/>
                <w:szCs w:val="16"/>
                <w:b w:val="1"/>
                <w:bCs w:val="1"/>
                <w:color w:val="auto"/>
              </w:rPr>
              <w:t>exercisable</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20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$0.09</w:t>
            </w: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986,413</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1.50</w:t>
            </w: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21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986,413</w:t>
            </w: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jc w:val="right"/>
              <w:ind w:right="313"/>
              <w:spacing w:after="0"/>
              <w:rPr>
                <w:sz w:val="20"/>
                <w:szCs w:val="20"/>
                <w:color w:val="auto"/>
              </w:rPr>
            </w:pPr>
            <w:r>
              <w:rPr>
                <w:rFonts w:ascii="Arial" w:cs="Arial" w:eastAsia="Arial" w:hAnsi="Arial"/>
                <w:sz w:val="17"/>
                <w:szCs w:val="17"/>
                <w:color w:val="auto"/>
              </w:rPr>
              <w:t>0.10</w:t>
            </w:r>
          </w:p>
        </w:tc>
        <w:tc>
          <w:tcPr>
            <w:tcW w:w="2040" w:type="dxa"/>
            <w:vAlign w:val="bottom"/>
          </w:tcPr>
          <w:p>
            <w:pPr>
              <w:jc w:val="right"/>
              <w:ind w:right="255"/>
              <w:spacing w:after="0"/>
              <w:rPr>
                <w:sz w:val="20"/>
                <w:szCs w:val="20"/>
                <w:color w:val="auto"/>
              </w:rPr>
            </w:pPr>
            <w:r>
              <w:rPr>
                <w:rFonts w:ascii="Arial" w:cs="Arial" w:eastAsia="Arial" w:hAnsi="Arial"/>
                <w:sz w:val="17"/>
                <w:szCs w:val="17"/>
                <w:color w:val="auto"/>
              </w:rPr>
              <w:t>467,528</w:t>
            </w: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1.50</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0.10</w:t>
            </w:r>
          </w:p>
        </w:tc>
        <w:tc>
          <w:tcPr>
            <w:tcW w:w="2180" w:type="dxa"/>
            <w:vAlign w:val="bottom"/>
            <w:gridSpan w:val="2"/>
          </w:tcPr>
          <w:p>
            <w:pPr>
              <w:jc w:val="right"/>
              <w:ind w:right="141"/>
              <w:spacing w:after="0"/>
              <w:rPr>
                <w:sz w:val="20"/>
                <w:szCs w:val="20"/>
                <w:color w:val="auto"/>
              </w:rPr>
            </w:pPr>
            <w:r>
              <w:rPr>
                <w:rFonts w:ascii="Arial" w:cs="Arial" w:eastAsia="Arial" w:hAnsi="Arial"/>
                <w:sz w:val="17"/>
                <w:szCs w:val="17"/>
                <w:color w:val="auto"/>
              </w:rPr>
              <w:t>467,528</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1.54</w:t>
            </w: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46,298</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1.50</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21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46,298</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jc w:val="right"/>
              <w:ind w:right="313"/>
              <w:spacing w:after="0"/>
              <w:rPr>
                <w:sz w:val="20"/>
                <w:szCs w:val="20"/>
                <w:color w:val="auto"/>
              </w:rPr>
            </w:pPr>
            <w:r>
              <w:rPr>
                <w:rFonts w:ascii="Arial" w:cs="Arial" w:eastAsia="Arial" w:hAnsi="Arial"/>
                <w:sz w:val="17"/>
                <w:szCs w:val="17"/>
                <w:color w:val="auto"/>
              </w:rPr>
              <w:t>2.74</w:t>
            </w:r>
          </w:p>
        </w:tc>
        <w:tc>
          <w:tcPr>
            <w:tcW w:w="2040" w:type="dxa"/>
            <w:vAlign w:val="bottom"/>
          </w:tcPr>
          <w:p>
            <w:pPr>
              <w:jc w:val="right"/>
              <w:ind w:right="255"/>
              <w:spacing w:after="0"/>
              <w:rPr>
                <w:sz w:val="20"/>
                <w:szCs w:val="20"/>
                <w:color w:val="auto"/>
              </w:rPr>
            </w:pPr>
            <w:r>
              <w:rPr>
                <w:rFonts w:ascii="Arial" w:cs="Arial" w:eastAsia="Arial" w:hAnsi="Arial"/>
                <w:sz w:val="17"/>
                <w:szCs w:val="17"/>
                <w:color w:val="auto"/>
              </w:rPr>
              <w:t>1,152,489</w:t>
            </w:r>
          </w:p>
        </w:tc>
        <w:tc>
          <w:tcPr>
            <w:tcW w:w="1420" w:type="dxa"/>
            <w:vAlign w:val="bottom"/>
          </w:tcPr>
          <w:p>
            <w:pPr>
              <w:jc w:val="right"/>
              <w:ind w:right="137"/>
              <w:spacing w:after="0"/>
              <w:rPr>
                <w:sz w:val="20"/>
                <w:szCs w:val="20"/>
                <w:color w:val="auto"/>
              </w:rPr>
            </w:pPr>
            <w:r>
              <w:rPr>
                <w:rFonts w:ascii="Arial" w:cs="Arial" w:eastAsia="Arial" w:hAnsi="Arial"/>
                <w:sz w:val="17"/>
                <w:szCs w:val="17"/>
                <w:color w:val="auto"/>
              </w:rPr>
              <w:t>2.69</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2.74</w:t>
            </w:r>
          </w:p>
        </w:tc>
        <w:tc>
          <w:tcPr>
            <w:tcW w:w="2180" w:type="dxa"/>
            <w:vAlign w:val="bottom"/>
            <w:gridSpan w:val="2"/>
          </w:tcPr>
          <w:p>
            <w:pPr>
              <w:jc w:val="right"/>
              <w:ind w:right="141"/>
              <w:spacing w:after="0"/>
              <w:rPr>
                <w:sz w:val="20"/>
                <w:szCs w:val="20"/>
                <w:color w:val="auto"/>
              </w:rPr>
            </w:pPr>
            <w:r>
              <w:rPr>
                <w:rFonts w:ascii="Arial" w:cs="Arial" w:eastAsia="Arial" w:hAnsi="Arial"/>
                <w:sz w:val="17"/>
                <w:szCs w:val="17"/>
                <w:color w:val="auto"/>
              </w:rPr>
              <w:t>802,637</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rPr>
              <w:t>3.50</w:t>
            </w: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388,406</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4.96</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1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138,099</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jc w:val="right"/>
              <w:ind w:right="313"/>
              <w:spacing w:after="0"/>
              <w:rPr>
                <w:sz w:val="20"/>
                <w:szCs w:val="20"/>
                <w:color w:val="auto"/>
              </w:rPr>
            </w:pPr>
            <w:r>
              <w:rPr>
                <w:rFonts w:ascii="Arial" w:cs="Arial" w:eastAsia="Arial" w:hAnsi="Arial"/>
                <w:sz w:val="17"/>
                <w:szCs w:val="17"/>
                <w:color w:val="auto"/>
              </w:rPr>
              <w:t>8.52</w:t>
            </w:r>
          </w:p>
        </w:tc>
        <w:tc>
          <w:tcPr>
            <w:tcW w:w="20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100,695</w:t>
            </w: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4.65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w:t>
            </w:r>
          </w:p>
        </w:tc>
        <w:tc>
          <w:tcPr>
            <w:tcW w:w="2180" w:type="dxa"/>
            <w:vAlign w:val="bottom"/>
            <w:tcBorders>
              <w:bottom w:val="single" w:sz="8" w:color="auto"/>
            </w:tcBorders>
            <w:gridSpan w:val="2"/>
          </w:tcPr>
          <w:p>
            <w:pPr>
              <w:jc w:val="right"/>
              <w:ind w:right="141"/>
              <w:spacing w:after="0"/>
              <w:rPr>
                <w:sz w:val="20"/>
                <w:szCs w:val="20"/>
                <w:color w:val="auto"/>
              </w:rPr>
            </w:pPr>
            <w:r>
              <w:rPr>
                <w:rFonts w:ascii="Arial" w:cs="Arial" w:eastAsia="Arial" w:hAnsi="Arial"/>
                <w:sz w:val="17"/>
                <w:szCs w:val="17"/>
                <w:color w:val="auto"/>
              </w:rPr>
              <w:t>11,508</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3,141,829</w:t>
            </w: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2.46</w:t>
            </w: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218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2,452,483</w:t>
            </w:r>
          </w:p>
        </w:tc>
        <w:tc>
          <w:tcPr>
            <w:tcW w:w="4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from October 1, 2005 through September 30, 2006 are as follows: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98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Weighted</w:t>
            </w:r>
          </w:p>
        </w:tc>
        <w:tc>
          <w:tcPr>
            <w:tcW w:w="1700" w:type="dxa"/>
            <w:vAlign w:val="bottom"/>
            <w:tcBorders>
              <w:top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Weighted</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80" w:type="dxa"/>
            <w:vAlign w:val="bottom"/>
          </w:tcPr>
          <w:p>
            <w:pPr>
              <w:jc w:val="right"/>
              <w:ind w:right="277"/>
              <w:spacing w:after="0"/>
              <w:rPr>
                <w:sz w:val="20"/>
                <w:szCs w:val="20"/>
                <w:color w:val="auto"/>
              </w:rPr>
            </w:pPr>
            <w:r>
              <w:rPr>
                <w:rFonts w:ascii="Arial" w:cs="Arial" w:eastAsia="Arial" w:hAnsi="Arial"/>
                <w:sz w:val="16"/>
                <w:szCs w:val="16"/>
                <w:b w:val="1"/>
                <w:bCs w:val="1"/>
                <w:color w:val="auto"/>
              </w:rPr>
              <w:t>Number of</w:t>
            </w:r>
          </w:p>
        </w:tc>
        <w:tc>
          <w:tcPr>
            <w:tcW w:w="1420" w:type="dxa"/>
            <w:vAlign w:val="bottom"/>
          </w:tcPr>
          <w:p>
            <w:pPr>
              <w:jc w:val="right"/>
              <w:ind w:right="278"/>
              <w:spacing w:after="0"/>
              <w:rPr>
                <w:sz w:val="20"/>
                <w:szCs w:val="20"/>
                <w:color w:val="auto"/>
              </w:rPr>
            </w:pPr>
            <w:r>
              <w:rPr>
                <w:rFonts w:ascii="Arial" w:cs="Arial" w:eastAsia="Arial" w:hAnsi="Arial"/>
                <w:sz w:val="16"/>
                <w:szCs w:val="16"/>
                <w:b w:val="1"/>
                <w:bCs w:val="1"/>
                <w:color w:val="auto"/>
              </w:rPr>
              <w:t>average</w:t>
            </w:r>
          </w:p>
        </w:tc>
        <w:tc>
          <w:tcPr>
            <w:tcW w:w="1700" w:type="dxa"/>
            <w:vAlign w:val="bottom"/>
          </w:tcPr>
          <w:p>
            <w:pPr>
              <w:jc w:val="right"/>
              <w:ind w:right="158"/>
              <w:spacing w:after="0"/>
              <w:rPr>
                <w:sz w:val="20"/>
                <w:szCs w:val="20"/>
                <w:color w:val="auto"/>
              </w:rPr>
            </w:pPr>
            <w:r>
              <w:rPr>
                <w:rFonts w:ascii="Arial" w:cs="Arial" w:eastAsia="Arial" w:hAnsi="Arial"/>
                <w:sz w:val="16"/>
                <w:szCs w:val="16"/>
                <w:b w:val="1"/>
                <w:bCs w:val="1"/>
                <w:color w:val="auto"/>
              </w:rPr>
              <w:t>average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880" w:type="dxa"/>
            <w:vAlign w:val="bottom"/>
          </w:tcPr>
          <w:p>
            <w:pPr>
              <w:jc w:val="right"/>
              <w:ind w:right="277"/>
              <w:spacing w:after="0"/>
              <w:rPr>
                <w:sz w:val="20"/>
                <w:szCs w:val="20"/>
                <w:color w:val="auto"/>
              </w:rPr>
            </w:pPr>
            <w:r>
              <w:rPr>
                <w:rFonts w:ascii="Arial" w:cs="Arial" w:eastAsia="Arial" w:hAnsi="Arial"/>
                <w:sz w:val="16"/>
                <w:szCs w:val="16"/>
                <w:b w:val="1"/>
                <w:bCs w:val="1"/>
                <w:color w:val="auto"/>
              </w:rPr>
              <w:t>options</w:t>
            </w:r>
          </w:p>
        </w:tc>
        <w:tc>
          <w:tcPr>
            <w:tcW w:w="1420" w:type="dxa"/>
            <w:vAlign w:val="bottom"/>
          </w:tcPr>
          <w:p>
            <w:pPr>
              <w:jc w:val="right"/>
              <w:ind w:right="278"/>
              <w:spacing w:after="0"/>
              <w:rPr>
                <w:sz w:val="20"/>
                <w:szCs w:val="20"/>
                <w:color w:val="auto"/>
              </w:rPr>
            </w:pPr>
            <w:r>
              <w:rPr>
                <w:rFonts w:ascii="Arial" w:cs="Arial" w:eastAsia="Arial" w:hAnsi="Arial"/>
                <w:sz w:val="16"/>
                <w:szCs w:val="16"/>
                <w:b w:val="1"/>
                <w:bCs w:val="1"/>
                <w:color w:val="auto"/>
              </w:rPr>
              <w:t>exercise</w:t>
            </w:r>
          </w:p>
        </w:tc>
        <w:tc>
          <w:tcPr>
            <w:tcW w:w="1700" w:type="dxa"/>
            <w:vAlign w:val="bottom"/>
          </w:tcPr>
          <w:p>
            <w:pPr>
              <w:jc w:val="right"/>
              <w:ind w:right="158"/>
              <w:spacing w:after="0"/>
              <w:rPr>
                <w:sz w:val="20"/>
                <w:szCs w:val="20"/>
                <w:color w:val="auto"/>
              </w:rPr>
            </w:pPr>
            <w:r>
              <w:rPr>
                <w:rFonts w:ascii="Arial" w:cs="Arial" w:eastAsia="Arial" w:hAnsi="Arial"/>
                <w:sz w:val="16"/>
                <w:szCs w:val="16"/>
                <w:b w:val="1"/>
                <w:bCs w:val="1"/>
                <w:color w:val="auto"/>
              </w:rPr>
              <w:t>fair value of</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1"/>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Month of grant</w:t>
            </w:r>
          </w:p>
        </w:tc>
        <w:tc>
          <w:tcPr>
            <w:tcW w:w="2880" w:type="dxa"/>
            <w:vAlign w:val="bottom"/>
          </w:tcPr>
          <w:p>
            <w:pPr>
              <w:jc w:val="right"/>
              <w:ind w:right="277"/>
              <w:spacing w:after="0"/>
              <w:rPr>
                <w:sz w:val="20"/>
                <w:szCs w:val="20"/>
                <w:color w:val="auto"/>
              </w:rPr>
            </w:pPr>
            <w:r>
              <w:rPr>
                <w:rFonts w:ascii="Arial" w:cs="Arial" w:eastAsia="Arial" w:hAnsi="Arial"/>
                <w:sz w:val="16"/>
                <w:szCs w:val="16"/>
                <w:b w:val="1"/>
                <w:bCs w:val="1"/>
                <w:color w:val="auto"/>
              </w:rPr>
              <w:t>granted</w:t>
            </w:r>
          </w:p>
        </w:tc>
        <w:tc>
          <w:tcPr>
            <w:tcW w:w="1420" w:type="dxa"/>
            <w:vAlign w:val="bottom"/>
          </w:tcPr>
          <w:p>
            <w:pPr>
              <w:jc w:val="right"/>
              <w:ind w:right="278"/>
              <w:spacing w:after="0"/>
              <w:rPr>
                <w:sz w:val="20"/>
                <w:szCs w:val="20"/>
                <w:color w:val="auto"/>
              </w:rPr>
            </w:pPr>
            <w:r>
              <w:rPr>
                <w:rFonts w:ascii="Arial" w:cs="Arial" w:eastAsia="Arial" w:hAnsi="Arial"/>
                <w:sz w:val="16"/>
                <w:szCs w:val="16"/>
                <w:b w:val="1"/>
                <w:bCs w:val="1"/>
                <w:color w:val="auto"/>
              </w:rPr>
              <w:t>price</w:t>
            </w:r>
          </w:p>
        </w:tc>
        <w:tc>
          <w:tcPr>
            <w:tcW w:w="1700" w:type="dxa"/>
            <w:vAlign w:val="bottom"/>
          </w:tcPr>
          <w:p>
            <w:pPr>
              <w:jc w:val="right"/>
              <w:ind w:right="158"/>
              <w:spacing w:after="0"/>
              <w:rPr>
                <w:sz w:val="20"/>
                <w:szCs w:val="20"/>
                <w:color w:val="auto"/>
              </w:rPr>
            </w:pPr>
            <w:r>
              <w:rPr>
                <w:rFonts w:ascii="Arial" w:cs="Arial" w:eastAsia="Arial" w:hAnsi="Arial"/>
                <w:sz w:val="16"/>
                <w:szCs w:val="16"/>
                <w:b w:val="1"/>
                <w:bCs w:val="1"/>
                <w:color w:val="auto"/>
              </w:rPr>
              <w:t>common stock</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value(1)</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2980" w:type="dxa"/>
            <w:vAlign w:val="bottom"/>
            <w:tcBorders>
              <w:top w:val="single" w:sz="8" w:color="auto"/>
            </w:tcBorders>
          </w:tcPr>
          <w:p>
            <w:pPr>
              <w:spacing w:after="0"/>
              <w:rPr>
                <w:sz w:val="3"/>
                <w:szCs w:val="3"/>
                <w:color w:val="auto"/>
              </w:rPr>
            </w:pPr>
          </w:p>
        </w:tc>
        <w:tc>
          <w:tcPr>
            <w:tcW w:w="288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November 2005</w:t>
            </w:r>
          </w:p>
        </w:tc>
        <w:tc>
          <w:tcPr>
            <w:tcW w:w="28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28,770</w:t>
            </w:r>
          </w:p>
        </w:tc>
        <w:tc>
          <w:tcPr>
            <w:tcW w:w="14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8.52</w:t>
            </w:r>
          </w:p>
        </w:tc>
        <w:tc>
          <w:tcPr>
            <w:tcW w:w="170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8.52</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June 2006</w:t>
            </w:r>
          </w:p>
        </w:tc>
        <w:tc>
          <w:tcPr>
            <w:tcW w:w="2880" w:type="dxa"/>
            <w:vAlign w:val="bottom"/>
          </w:tcPr>
          <w:p>
            <w:pPr>
              <w:jc w:val="right"/>
              <w:ind w:right="277"/>
              <w:spacing w:after="0"/>
              <w:rPr>
                <w:sz w:val="20"/>
                <w:szCs w:val="20"/>
                <w:color w:val="auto"/>
              </w:rPr>
            </w:pPr>
            <w:r>
              <w:rPr>
                <w:rFonts w:ascii="Arial" w:cs="Arial" w:eastAsia="Arial" w:hAnsi="Arial"/>
                <w:sz w:val="17"/>
                <w:szCs w:val="17"/>
                <w:color w:val="auto"/>
              </w:rPr>
              <w:t>165,430</w:t>
            </w:r>
          </w:p>
        </w:tc>
        <w:tc>
          <w:tcPr>
            <w:tcW w:w="1420" w:type="dxa"/>
            <w:vAlign w:val="bottom"/>
          </w:tcPr>
          <w:p>
            <w:pPr>
              <w:jc w:val="right"/>
              <w:ind w:right="278"/>
              <w:spacing w:after="0"/>
              <w:rPr>
                <w:sz w:val="20"/>
                <w:szCs w:val="20"/>
                <w:color w:val="auto"/>
              </w:rPr>
            </w:pPr>
            <w:r>
              <w:rPr>
                <w:rFonts w:ascii="Arial" w:cs="Arial" w:eastAsia="Arial" w:hAnsi="Arial"/>
                <w:sz w:val="17"/>
                <w:szCs w:val="17"/>
                <w:color w:val="auto"/>
              </w:rPr>
              <w:t>10.28</w:t>
            </w:r>
          </w:p>
        </w:tc>
        <w:tc>
          <w:tcPr>
            <w:tcW w:w="1700" w:type="dxa"/>
            <w:vAlign w:val="bottom"/>
          </w:tcPr>
          <w:p>
            <w:pPr>
              <w:jc w:val="right"/>
              <w:ind w:right="158"/>
              <w:spacing w:after="0"/>
              <w:rPr>
                <w:sz w:val="20"/>
                <w:szCs w:val="20"/>
                <w:color w:val="auto"/>
              </w:rPr>
            </w:pPr>
            <w:r>
              <w:rPr>
                <w:rFonts w:ascii="Arial" w:cs="Arial" w:eastAsia="Arial" w:hAnsi="Arial"/>
                <w:sz w:val="17"/>
                <w:szCs w:val="17"/>
                <w:color w:val="auto"/>
              </w:rPr>
              <w:t>10.28</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September 2006</w:t>
            </w:r>
          </w:p>
        </w:tc>
        <w:tc>
          <w:tcPr>
            <w:tcW w:w="288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93,503</w:t>
            </w:r>
          </w:p>
        </w:tc>
        <w:tc>
          <w:tcPr>
            <w:tcW w:w="1420" w:type="dxa"/>
            <w:vAlign w:val="bottom"/>
            <w:shd w:val="clear" w:color="auto" w:fill="CCEEFF"/>
          </w:tcPr>
          <w:p>
            <w:pPr>
              <w:jc w:val="right"/>
              <w:ind w:right="278"/>
              <w:spacing w:after="0"/>
              <w:rPr>
                <w:sz w:val="20"/>
                <w:szCs w:val="20"/>
                <w:color w:val="auto"/>
              </w:rPr>
            </w:pPr>
            <w:r>
              <w:rPr>
                <w:rFonts w:ascii="Arial" w:cs="Arial" w:eastAsia="Arial" w:hAnsi="Arial"/>
                <w:sz w:val="17"/>
                <w:szCs w:val="17"/>
                <w:color w:val="auto"/>
              </w:rPr>
              <w:t>13.26</w:t>
            </w:r>
          </w:p>
        </w:tc>
        <w:tc>
          <w:tcPr>
            <w:tcW w:w="170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13.26</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320" w:right="340" w:hanging="310"/>
        <w:spacing w:after="0" w:line="258" w:lineRule="auto"/>
        <w:tabs>
          <w:tab w:leader="none" w:pos="3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Intrinsic value reflects the amount by which the value of the shares as of the grant date exceeds the exercise price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-265430</wp:posOffset>
            </wp:positionV>
            <wp:extent cx="6311265" cy="2495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11265" cy="249555"/>
                    </a:xfrm>
                    <a:prstGeom prst="rect">
                      <a:avLst/>
                    </a:prstGeom>
                    <a:noFill/>
                  </pic:spPr>
                </pic:pic>
              </a:graphicData>
            </a:graphic>
          </wp:anchor>
        </w:drawing>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8" w:right="1039" w:bottom="1440" w:gutter="0" w:footer="0" w:header="0"/>
        </w:sectPr>
      </w:pPr>
    </w:p>
    <w:bookmarkStart w:id="210" w:name="page211"/>
    <w:bookmarkEnd w:id="210"/>
    <w:p>
      <w:pPr>
        <w:spacing w:after="0"/>
        <w:tabs>
          <w:tab w:leader="none" w:pos="480" w:val="left"/>
        </w:tabs>
        <w:rPr>
          <w:sz w:val="20"/>
          <w:szCs w:val="20"/>
          <w:color w:val="auto"/>
        </w:rPr>
      </w:pPr>
      <w:r>
        <w:rPr>
          <w:rFonts w:ascii="Arial" w:cs="Arial" w:eastAsia="Arial" w:hAnsi="Arial"/>
          <w:sz w:val="21"/>
          <w:szCs w:val="21"/>
          <w:b w:val="1"/>
          <w:bCs w:val="1"/>
          <w:color w:val="auto"/>
        </w:rPr>
        <w:t>11.</w:t>
        <w:tab/>
        <w:t>Income taxes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provision for income taxes attributable to operations consist of the following:</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Nine months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gridSpan w:val="5"/>
          </w:tcPr>
          <w:p>
            <w:pPr>
              <w:jc w:val="right"/>
              <w:ind w:right="60"/>
              <w:spacing w:after="0"/>
              <w:rPr>
                <w:sz w:val="20"/>
                <w:szCs w:val="20"/>
                <w:color w:val="auto"/>
              </w:rPr>
            </w:pPr>
            <w:r>
              <w:rPr>
                <w:rFonts w:ascii="Arial" w:cs="Arial" w:eastAsia="Arial" w:hAnsi="Arial"/>
                <w:sz w:val="16"/>
                <w:szCs w:val="16"/>
                <w:b w:val="1"/>
                <w:bCs w:val="1"/>
                <w:color w:val="auto"/>
                <w:w w:val="98"/>
              </w:rPr>
              <w:t>Year ended December 31,</w:t>
            </w:r>
          </w:p>
        </w:tc>
        <w:tc>
          <w:tcPr>
            <w:tcW w:w="320" w:type="dxa"/>
            <w:vAlign w:val="bottom"/>
          </w:tcPr>
          <w:p>
            <w:pPr>
              <w:spacing w:after="0"/>
              <w:rPr>
                <w:sz w:val="17"/>
                <w:szCs w:val="17"/>
                <w:color w:val="auto"/>
              </w:rPr>
            </w:pPr>
          </w:p>
        </w:tc>
        <w:tc>
          <w:tcPr>
            <w:tcW w:w="178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ended September 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2004</w:t>
            </w:r>
          </w:p>
        </w:tc>
        <w:tc>
          <w:tcPr>
            <w:tcW w:w="5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jc w:val="right"/>
              <w:ind w:right="141"/>
              <w:spacing w:after="0"/>
              <w:rPr>
                <w:sz w:val="20"/>
                <w:szCs w:val="20"/>
                <w:color w:val="auto"/>
              </w:rPr>
            </w:pPr>
            <w:r>
              <w:rPr>
                <w:rFonts w:ascii="Arial" w:cs="Arial" w:eastAsia="Arial" w:hAnsi="Arial"/>
                <w:sz w:val="16"/>
                <w:szCs w:val="16"/>
                <w:b w:val="1"/>
                <w:bCs w:val="1"/>
                <w:color w:val="auto"/>
              </w:rPr>
              <w:t>2005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Pr>
          <w:p>
            <w:pPr>
              <w:ind w:left="40"/>
              <w:spacing w:after="0"/>
              <w:rPr>
                <w:sz w:val="20"/>
                <w:szCs w:val="20"/>
                <w:color w:val="auto"/>
              </w:rPr>
            </w:pPr>
            <w:r>
              <w:rPr>
                <w:rFonts w:ascii="Arial" w:cs="Arial" w:eastAsia="Arial" w:hAnsi="Arial"/>
                <w:sz w:val="17"/>
                <w:szCs w:val="17"/>
                <w:color w:val="auto"/>
              </w:rPr>
              <w:t>Federal</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$1,717</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$5,547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$ 16,093</w:t>
            </w:r>
          </w:p>
        </w:tc>
        <w:tc>
          <w:tcPr>
            <w:tcW w:w="60" w:type="dxa"/>
            <w:vAlign w:val="bottom"/>
          </w:tcPr>
          <w:p>
            <w:pPr>
              <w:spacing w:after="0"/>
              <w:rPr>
                <w:sz w:val="17"/>
                <w:szCs w:val="17"/>
                <w:color w:val="auto"/>
              </w:rPr>
            </w:pPr>
          </w:p>
        </w:tc>
        <w:tc>
          <w:tcPr>
            <w:tcW w:w="1240" w:type="dxa"/>
            <w:vAlign w:val="bottom"/>
            <w:gridSpan w:val="5"/>
          </w:tcPr>
          <w:p>
            <w:pPr>
              <w:jc w:val="right"/>
              <w:ind w:right="141"/>
              <w:spacing w:after="0"/>
              <w:rPr>
                <w:sz w:val="20"/>
                <w:szCs w:val="20"/>
                <w:color w:val="auto"/>
              </w:rPr>
            </w:pPr>
            <w:r>
              <w:rPr>
                <w:rFonts w:ascii="Arial" w:cs="Arial" w:eastAsia="Arial" w:hAnsi="Arial"/>
                <w:sz w:val="17"/>
                <w:szCs w:val="17"/>
                <w:color w:val="auto"/>
              </w:rPr>
              <w:t>$ 12,222</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$(3,650)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8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200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60" w:type="dxa"/>
            <w:vAlign w:val="bottom"/>
            <w:gridSpan w:val="3"/>
          </w:tcPr>
          <w:p>
            <w:pPr>
              <w:ind w:left="20"/>
              <w:spacing w:after="0"/>
              <w:rPr>
                <w:sz w:val="20"/>
                <w:szCs w:val="20"/>
                <w:color w:val="auto"/>
              </w:rPr>
            </w:pPr>
            <w:r>
              <w:rPr>
                <w:rFonts w:ascii="Arial" w:cs="Arial" w:eastAsia="Arial" w:hAnsi="Arial"/>
                <w:sz w:val="17"/>
                <w:szCs w:val="17"/>
                <w:color w:val="auto"/>
              </w:rPr>
              <w:t>Total current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1,717</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5,547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16,293</w:t>
            </w:r>
          </w:p>
        </w:tc>
        <w:tc>
          <w:tcPr>
            <w:tcW w:w="60" w:type="dxa"/>
            <w:vAlign w:val="bottom"/>
          </w:tcPr>
          <w:p>
            <w:pPr>
              <w:spacing w:after="0"/>
              <w:rPr>
                <w:sz w:val="18"/>
                <w:szCs w:val="18"/>
                <w:color w:val="auto"/>
              </w:rPr>
            </w:pPr>
          </w:p>
        </w:tc>
        <w:tc>
          <w:tcPr>
            <w:tcW w:w="1240" w:type="dxa"/>
            <w:vAlign w:val="bottom"/>
            <w:gridSpan w:val="5"/>
          </w:tcPr>
          <w:p>
            <w:pPr>
              <w:jc w:val="right"/>
              <w:ind w:right="141"/>
              <w:spacing w:after="0"/>
              <w:rPr>
                <w:sz w:val="20"/>
                <w:szCs w:val="20"/>
                <w:color w:val="auto"/>
              </w:rPr>
            </w:pPr>
            <w:r>
              <w:rPr>
                <w:rFonts w:ascii="Arial" w:cs="Arial" w:eastAsia="Arial" w:hAnsi="Arial"/>
                <w:sz w:val="17"/>
                <w:szCs w:val="17"/>
                <w:color w:val="auto"/>
              </w:rPr>
              <w:t>12,422</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(3,550)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w:t>
            </w: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tcPr>
          <w:p>
            <w:pPr>
              <w:ind w:left="160"/>
              <w:spacing w:after="0"/>
              <w:rPr>
                <w:sz w:val="20"/>
                <w:szCs w:val="20"/>
                <w:color w:val="auto"/>
              </w:rPr>
            </w:pPr>
            <w:r>
              <w:rPr>
                <w:rFonts w:ascii="Arial" w:cs="Arial" w:eastAsia="Arial" w:hAnsi="Arial"/>
                <w:sz w:val="17"/>
                <w:szCs w:val="17"/>
                <w:color w:val="auto"/>
              </w:rPr>
              <w:t>Federal</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(416)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(372)</w:t>
            </w:r>
          </w:p>
        </w:tc>
        <w:tc>
          <w:tcPr>
            <w:tcW w:w="5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(9,769)</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7"/>
                <w:szCs w:val="17"/>
                <w:color w:val="auto"/>
              </w:rPr>
              <w:t>(9,177)</w:t>
            </w:r>
          </w:p>
        </w:tc>
        <w:tc>
          <w:tcPr>
            <w:tcW w:w="780" w:type="dxa"/>
            <w:vAlign w:val="bottom"/>
          </w:tcPr>
          <w:p>
            <w:pPr>
              <w:jc w:val="right"/>
              <w:spacing w:after="0"/>
              <w:rPr>
                <w:sz w:val="20"/>
                <w:szCs w:val="20"/>
                <w:color w:val="auto"/>
              </w:rPr>
            </w:pPr>
            <w:r>
              <w:rPr>
                <w:rFonts w:ascii="Arial" w:cs="Arial" w:eastAsia="Arial" w:hAnsi="Arial"/>
                <w:sz w:val="17"/>
                <w:szCs w:val="17"/>
                <w:color w:val="auto"/>
              </w:rPr>
              <w:t>833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State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5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7"/>
                <w:szCs w:val="17"/>
                <w:color w:val="auto"/>
              </w:rPr>
              <w:t>(1,136)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60" w:type="dxa"/>
            <w:vAlign w:val="bottom"/>
            <w:gridSpan w:val="3"/>
          </w:tcPr>
          <w:p>
            <w:pPr>
              <w:ind w:left="20"/>
              <w:spacing w:after="0"/>
              <w:rPr>
                <w:sz w:val="20"/>
                <w:szCs w:val="20"/>
                <w:color w:val="auto"/>
              </w:rPr>
            </w:pPr>
            <w:r>
              <w:rPr>
                <w:rFonts w:ascii="Arial" w:cs="Arial" w:eastAsia="Arial" w:hAnsi="Arial"/>
                <w:sz w:val="17"/>
                <w:szCs w:val="17"/>
                <w:color w:val="auto"/>
              </w:rPr>
              <w:t>Total deferred</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(467)</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(418)</w:t>
            </w: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(10,968)</w:t>
            </w:r>
          </w:p>
        </w:tc>
        <w:tc>
          <w:tcPr>
            <w:tcW w:w="124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7"/>
                <w:szCs w:val="17"/>
                <w:color w:val="auto"/>
              </w:rPr>
              <w:t>(10,313)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933</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provision (benefit) for income taxes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$5,129</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5,325</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1"/>
              <w:spacing w:after="0"/>
              <w:rPr>
                <w:sz w:val="20"/>
                <w:szCs w:val="20"/>
                <w:color w:val="auto"/>
              </w:rPr>
            </w:pPr>
            <w:r>
              <w:rPr>
                <w:rFonts w:ascii="Arial" w:cs="Arial" w:eastAsia="Arial" w:hAnsi="Arial"/>
                <w:sz w:val="17"/>
                <w:szCs w:val="17"/>
                <w:color w:val="auto"/>
              </w:rPr>
              <w:t>2,109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060" w:type="dxa"/>
            <w:vAlign w:val="bottom"/>
            <w:gridSpan w:val="3"/>
          </w:tcPr>
          <w:p>
            <w:pPr>
              <w:spacing w:after="0"/>
              <w:rPr>
                <w:sz w:val="20"/>
                <w:szCs w:val="20"/>
                <w:color w:val="auto"/>
              </w:rPr>
            </w:pPr>
            <w:r>
              <w:rPr>
                <w:rFonts w:ascii="Arial" w:cs="Arial" w:eastAsia="Arial" w:hAnsi="Arial"/>
                <w:sz w:val="17"/>
                <w:szCs w:val="17"/>
                <w:color w:val="auto"/>
              </w:rPr>
              <w:t>The Company’s net deferred tax asset consists of the following:</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5"/>
          </w:tcPr>
          <w:p>
            <w:pPr>
              <w:jc w:val="right"/>
              <w:ind w:right="80"/>
              <w:spacing w:after="0"/>
              <w:rPr>
                <w:sz w:val="20"/>
                <w:szCs w:val="20"/>
                <w:color w:val="auto"/>
              </w:rPr>
            </w:pPr>
            <w:r>
              <w:rPr>
                <w:rFonts w:ascii="Arial" w:cs="Arial" w:eastAsia="Arial" w:hAnsi="Arial"/>
                <w:sz w:val="16"/>
                <w:szCs w:val="16"/>
                <w:b w:val="1"/>
                <w:bCs w:val="1"/>
                <w:color w:val="auto"/>
                <w:w w:val="96"/>
              </w:rPr>
              <w:t>December 31,</w:t>
            </w: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5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operating loss carryforward</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5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2,242</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1"/>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Purchased in-process research and development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645</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721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compensation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1,457</w:t>
            </w: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1,696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Foreign deferrals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27,797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30,343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1,219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3"/>
          </w:tcPr>
          <w:p>
            <w:pPr>
              <w:ind w:left="20"/>
              <w:spacing w:after="0"/>
              <w:rPr>
                <w:sz w:val="20"/>
                <w:szCs w:val="20"/>
                <w:color w:val="auto"/>
              </w:rPr>
            </w:pPr>
            <w:r>
              <w:rPr>
                <w:rFonts w:ascii="Arial" w:cs="Arial" w:eastAsia="Arial" w:hAnsi="Arial"/>
                <w:sz w:val="17"/>
                <w:szCs w:val="17"/>
                <w:color w:val="auto"/>
              </w:rPr>
              <w:t>Deferred tax asset</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3"/>
              </w:rPr>
              <w:t>3,651</w:t>
            </w:r>
          </w:p>
        </w:tc>
        <w:tc>
          <w:tcPr>
            <w:tcW w:w="1020" w:type="dxa"/>
            <w:vAlign w:val="bottom"/>
            <w:gridSpan w:val="4"/>
          </w:tcPr>
          <w:p>
            <w:pPr>
              <w:jc w:val="right"/>
              <w:spacing w:after="0"/>
              <w:rPr>
                <w:sz w:val="20"/>
                <w:szCs w:val="20"/>
                <w:color w:val="auto"/>
              </w:rPr>
            </w:pPr>
            <w:r>
              <w:rPr>
                <w:rFonts w:ascii="Arial" w:cs="Arial" w:eastAsia="Arial" w:hAnsi="Arial"/>
                <w:sz w:val="17"/>
                <w:szCs w:val="17"/>
                <w:color w:val="auto"/>
              </w:rPr>
              <w:t>33,675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37,864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Fixed assets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(1,859)</w:t>
            </w: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(1,387)</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(393)</w:t>
            </w: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(673)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liability</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(1,780)</w:t>
            </w: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(1,614)</w:t>
            </w:r>
          </w:p>
        </w:tc>
        <w:tc>
          <w:tcPr>
            <w:tcW w:w="0" w:type="dxa"/>
            <w:vAlign w:val="bottom"/>
          </w:tcPr>
          <w:p>
            <w:pPr>
              <w:spacing w:after="0"/>
              <w:rPr>
                <w:sz w:val="1"/>
                <w:szCs w:val="1"/>
                <w:color w:val="auto"/>
              </w:rPr>
            </w:pPr>
          </w:p>
        </w:tc>
      </w:tr>
      <w:tr>
        <w:trPr>
          <w:trHeight w:val="20"/>
        </w:trPr>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60" w:type="dxa"/>
            <w:vAlign w:val="bottom"/>
            <w:gridSpan w:val="3"/>
          </w:tcPr>
          <w:p>
            <w:pPr>
              <w:ind w:left="20"/>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w:t>
            </w:r>
          </w:p>
        </w:tc>
        <w:tc>
          <w:tcPr>
            <w:tcW w:w="11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7"/>
                <w:szCs w:val="17"/>
                <w:color w:val="auto"/>
              </w:rPr>
              <w:t>(19,925)</w:t>
            </w:r>
          </w:p>
        </w:tc>
        <w:tc>
          <w:tcPr>
            <w:tcW w:w="3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(25,213)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deferred tax asset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$ 1,002</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$ 11,970</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1"/>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Net operating loss carryforwards consist of $92 million for state jurisdictions and $70 million for foreign jurisdictions. The state net operating loss carryforwards will begin to expire in 2018. The foreign net operating loss carryforwards will have an indefinite life unless the foreign entities have a change in the nature or conduct of the business in the three years following a change in ownership. The use of the Company’s net operating loss carryforwards may be restricted due to changes in Company ownership. The Company paid $4,280, $ 0, and $17,985 in income taxes in 2003, 2004, and 2005, respectively. For the nine months ended September 30, 2005 and 2006, the Company paid $3,335 and $1,470 in income taxes, respectively.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211" w:name="page212"/>
    <w:bookmarkEnd w:id="211"/>
    <w:p>
      <w:pPr>
        <w:ind w:right="320"/>
        <w:spacing w:after="0" w:line="258" w:lineRule="auto"/>
        <w:rPr>
          <w:sz w:val="20"/>
          <w:szCs w:val="20"/>
          <w:color w:val="auto"/>
        </w:rPr>
      </w:pPr>
      <w:r>
        <w:rPr>
          <w:rFonts w:ascii="Arial" w:cs="Arial" w:eastAsia="Arial" w:hAnsi="Arial"/>
          <w:sz w:val="17"/>
          <w:szCs w:val="17"/>
          <w:color w:val="auto"/>
        </w:rPr>
        <w:t>The provision for income taxes differs from the amount of taxes determined by applying the U.S. federal statutory rate to loss before provision for income taxes as a result of the following:</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6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8"/>
              </w:rPr>
              <w:t>Year ended December 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2003</w:t>
            </w:r>
          </w:p>
        </w:tc>
        <w:tc>
          <w:tcPr>
            <w:tcW w:w="1080" w:type="dxa"/>
            <w:vAlign w:val="bottom"/>
            <w:tcBorders>
              <w:top w:val="single" w:sz="8" w:color="auto"/>
            </w:tcBorders>
          </w:tcPr>
          <w:p>
            <w:pPr>
              <w:jc w:val="right"/>
              <w:ind w:right="134"/>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2005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Federal tax at statutory rates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$1,996</w:t>
            </w: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$5,863</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7,388</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2,926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State taxes, net of federal benefit</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(230)</w:t>
            </w:r>
          </w:p>
        </w:tc>
        <w:tc>
          <w:tcPr>
            <w:tcW w:w="1080" w:type="dxa"/>
            <w:vAlign w:val="bottom"/>
          </w:tcPr>
          <w:p>
            <w:pPr>
              <w:jc w:val="right"/>
              <w:ind w:right="74"/>
              <w:spacing w:after="0"/>
              <w:rPr>
                <w:sz w:val="20"/>
                <w:szCs w:val="20"/>
                <w:color w:val="auto"/>
              </w:rPr>
            </w:pPr>
            <w:r>
              <w:rPr>
                <w:rFonts w:ascii="Arial" w:cs="Arial" w:eastAsia="Arial" w:hAnsi="Arial"/>
                <w:sz w:val="17"/>
                <w:szCs w:val="17"/>
                <w:color w:val="auto"/>
              </w:rPr>
              <w:t>(714)</w:t>
            </w:r>
          </w:p>
        </w:tc>
        <w:tc>
          <w:tcPr>
            <w:tcW w:w="2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(2,329)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(1,864)</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Impact of foreign operations</w:t>
            </w: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(17,982)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(17,368)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Change in valuation allowance</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187</w:t>
            </w: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479</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19,259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Arial" w:cs="Arial" w:eastAsia="Arial" w:hAnsi="Arial"/>
                <w:sz w:val="17"/>
                <w:szCs w:val="17"/>
                <w:color w:val="auto"/>
              </w:rPr>
              <w:t>17,712</w:t>
            </w:r>
          </w:p>
        </w:tc>
        <w:tc>
          <w:tcPr>
            <w:tcW w:w="780" w:type="dxa"/>
            <w:vAlign w:val="bottom"/>
          </w:tcPr>
          <w:p>
            <w:pPr>
              <w:jc w:val="right"/>
              <w:spacing w:after="0"/>
              <w:rPr>
                <w:sz w:val="20"/>
                <w:szCs w:val="20"/>
                <w:color w:val="auto"/>
              </w:rPr>
            </w:pPr>
            <w:r>
              <w:rPr>
                <w:rFonts w:ascii="Arial" w:cs="Arial" w:eastAsia="Arial" w:hAnsi="Arial"/>
                <w:sz w:val="17"/>
                <w:szCs w:val="17"/>
                <w:color w:val="auto"/>
              </w:rPr>
              <w:t>5,288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credits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(492)</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(474)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Arial" w:cs="Arial" w:eastAsia="Arial" w:hAnsi="Arial"/>
                <w:sz w:val="17"/>
                <w:szCs w:val="17"/>
                <w:color w:val="auto"/>
              </w:rPr>
              <w:t>Other differences</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(255)</w:t>
            </w: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11</w:t>
            </w:r>
          </w:p>
        </w:tc>
        <w:tc>
          <w:tcPr>
            <w:tcW w:w="2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(211)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35"/>
              <w:spacing w:after="0"/>
              <w:rPr>
                <w:sz w:val="20"/>
                <w:szCs w:val="20"/>
                <w:color w:val="auto"/>
              </w:rPr>
            </w:pPr>
            <w:r>
              <w:rPr>
                <w:rFonts w:ascii="Arial" w:cs="Arial" w:eastAsia="Arial" w:hAnsi="Arial"/>
                <w:sz w:val="17"/>
                <w:szCs w:val="17"/>
                <w:color w:val="auto"/>
              </w:rPr>
              <w:t>1,198</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(1,840)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(18)</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gridSpan w:val="3"/>
          </w:tcPr>
          <w:p>
            <w:pPr>
              <w:spacing w:after="0"/>
              <w:rPr>
                <w:sz w:val="20"/>
                <w:szCs w:val="20"/>
                <w:color w:val="auto"/>
              </w:rPr>
            </w:pPr>
            <w:r>
              <w:rPr>
                <w:rFonts w:ascii="Arial" w:cs="Arial" w:eastAsia="Arial" w:hAnsi="Arial"/>
                <w:sz w:val="17"/>
                <w:szCs w:val="17"/>
                <w:color w:val="auto"/>
              </w:rPr>
              <w:t>Federal tax at statutory rates</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$1,250</w:t>
            </w: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$5,129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5,325</w:t>
            </w:r>
          </w:p>
        </w:tc>
        <w:tc>
          <w:tcPr>
            <w:tcW w:w="2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35"/>
              <w:spacing w:after="0"/>
              <w:rPr>
                <w:sz w:val="20"/>
                <w:szCs w:val="20"/>
                <w:color w:val="auto"/>
              </w:rPr>
            </w:pPr>
            <w:r>
              <w:rPr>
                <w:rFonts w:ascii="Arial" w:cs="Arial" w:eastAsia="Arial" w:hAnsi="Arial"/>
                <w:sz w:val="17"/>
                <w:szCs w:val="17"/>
                <w:color w:val="auto"/>
              </w:rPr>
              <w:t>2,109</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$(2,617)</w:t>
            </w:r>
          </w:p>
        </w:tc>
        <w:tc>
          <w:tcPr>
            <w:tcW w:w="0" w:type="dxa"/>
            <w:vAlign w:val="bottom"/>
          </w:tcPr>
          <w:p>
            <w:pPr>
              <w:spacing w:after="0"/>
              <w:rPr>
                <w:sz w:val="1"/>
                <w:szCs w:val="1"/>
                <w:color w:val="auto"/>
              </w:rPr>
            </w:pPr>
          </w:p>
        </w:tc>
      </w:tr>
      <w:tr>
        <w:trPr>
          <w:trHeight w:val="26"/>
        </w:trPr>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The estimated effective annual tax rate for the nine months ended September 30, 2005 and 2006 was 25% and 44%, respectively. The increase in the estimated rate is due primarily to an increase in the valuation allowance related to estimated foreign and state net operating losses.</w:t>
      </w:r>
    </w:p>
    <w:p>
      <w:pPr>
        <w:spacing w:after="0" w:line="44"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The Company is the subject of an ongoing federal income tax audit for the tax year ended December 31, 2004. The financial statement impact of the audit has been estimated at approximately $500. This amount has been accrued as of September 30, 2006.</w:t>
      </w:r>
    </w:p>
    <w:p>
      <w:pPr>
        <w:spacing w:after="0" w:line="117"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12.</w:t>
        <w:tab/>
        <w:t>401(k) savings plan</w:t>
      </w:r>
    </w:p>
    <w:p>
      <w:pPr>
        <w:spacing w:after="0" w:line="9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During 1999, the Company established a defined contribution savings plan under Section 401(k) of the Internal Revenue Code. The 401(k) Plan covers substantially all employees. Under the 401(k) Plan, employees may make elective salary deferrals. The Company provides for matching of qualified deferrals up to 50% of the first 6% of the employee’s salary. During the years ended December 31, 2003, 2004 and 2005, the Company made matching contributions of approximately $182, $ 452 and $520, respectively. During the nine months ended September 30, 2005 and 2006, the Company made matching contributions of approximately $384 and $431, respectively.</w:t>
      </w:r>
    </w:p>
    <w:p>
      <w:pPr>
        <w:spacing w:after="0" w:line="125"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13.</w:t>
      </w:r>
      <w:r>
        <w:rPr>
          <w:sz w:val="20"/>
          <w:szCs w:val="20"/>
          <w:color w:val="auto"/>
        </w:rPr>
        <w:tab/>
      </w:r>
      <w:r>
        <w:rPr>
          <w:rFonts w:ascii="Arial" w:cs="Arial" w:eastAsia="Arial" w:hAnsi="Arial"/>
          <w:sz w:val="20"/>
          <w:szCs w:val="20"/>
          <w:b w:val="1"/>
          <w:bCs w:val="1"/>
          <w:color w:val="auto"/>
        </w:rPr>
        <w:t>Commitments and settlement gains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86"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The Company leases laboratory and office facilities, office equipment and vehicles under various operating lease agreements. The Company leases office and laboratory space in Gaithersburg, Maryland under a noncancelable operating lease that contains a 3% annual escalation and expires on November 30, 2008. For the years ended December 31, 2003, 2004 and 2005 and the nine months ended September 30, 2005 and 2006, total rent expense was $890, $1,334 and $2,526 and $1,834 and $1,428,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payments under operating lease obligations as of December 31, 2005 are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5540" w:type="dxa"/>
            <w:vAlign w:val="bottom"/>
            <w:shd w:val="clear" w:color="auto" w:fill="000000"/>
          </w:tcPr>
          <w:p>
            <w:pPr>
              <w:spacing w:after="0"/>
              <w:rPr>
                <w:sz w:val="3"/>
                <w:szCs w:val="3"/>
                <w:color w:val="auto"/>
              </w:rPr>
            </w:pPr>
          </w:p>
        </w:tc>
        <w:tc>
          <w:tcPr>
            <w:tcW w:w="330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r>
      <w:tr>
        <w:trPr>
          <w:trHeight w:val="196"/>
        </w:trPr>
        <w:tc>
          <w:tcPr>
            <w:tcW w:w="5700" w:type="dxa"/>
            <w:vAlign w:val="bottom"/>
            <w:gridSpan w:val="2"/>
          </w:tcPr>
          <w:p>
            <w:pPr>
              <w:spacing w:after="0"/>
              <w:rPr>
                <w:sz w:val="20"/>
                <w:szCs w:val="20"/>
                <w:color w:val="auto"/>
              </w:rPr>
            </w:pPr>
            <w:r>
              <w:rPr>
                <w:rFonts w:ascii="Arial" w:cs="Arial" w:eastAsia="Arial" w:hAnsi="Arial"/>
                <w:sz w:val="17"/>
                <w:szCs w:val="17"/>
                <w:color w:val="auto"/>
              </w:rPr>
              <w:t>2006</w:t>
            </w:r>
          </w:p>
        </w:tc>
        <w:tc>
          <w:tcPr>
            <w:tcW w:w="3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1,689</w:t>
            </w:r>
          </w:p>
        </w:tc>
      </w:tr>
      <w:tr>
        <w:trPr>
          <w:trHeight w:val="196"/>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2007</w:t>
            </w:r>
          </w:p>
        </w:tc>
        <w:tc>
          <w:tcPr>
            <w:tcW w:w="3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w:t>
            </w:r>
          </w:p>
        </w:tc>
      </w:tr>
      <w:tr>
        <w:trPr>
          <w:trHeight w:val="196"/>
        </w:trPr>
        <w:tc>
          <w:tcPr>
            <w:tcW w:w="5700" w:type="dxa"/>
            <w:vAlign w:val="bottom"/>
            <w:gridSpan w:val="2"/>
          </w:tcPr>
          <w:p>
            <w:pPr>
              <w:spacing w:after="0"/>
              <w:rPr>
                <w:sz w:val="20"/>
                <w:szCs w:val="20"/>
                <w:color w:val="auto"/>
              </w:rPr>
            </w:pPr>
            <w:r>
              <w:rPr>
                <w:rFonts w:ascii="Arial" w:cs="Arial" w:eastAsia="Arial" w:hAnsi="Arial"/>
                <w:sz w:val="17"/>
                <w:szCs w:val="17"/>
                <w:color w:val="auto"/>
              </w:rPr>
              <w:t>2008</w:t>
            </w:r>
          </w:p>
        </w:tc>
        <w:tc>
          <w:tcPr>
            <w:tcW w:w="3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1,188</w:t>
            </w:r>
          </w:p>
        </w:tc>
      </w:tr>
      <w:tr>
        <w:trPr>
          <w:trHeight w:val="196"/>
        </w:trPr>
        <w:tc>
          <w:tcPr>
            <w:tcW w:w="5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2009</w:t>
            </w:r>
          </w:p>
        </w:tc>
        <w:tc>
          <w:tcPr>
            <w:tcW w:w="33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03"/>
        </w:trPr>
        <w:tc>
          <w:tcPr>
            <w:tcW w:w="5700" w:type="dxa"/>
            <w:vAlign w:val="bottom"/>
            <w:gridSpan w:val="2"/>
          </w:tcPr>
          <w:p>
            <w:pPr>
              <w:spacing w:after="0"/>
              <w:rPr>
                <w:sz w:val="20"/>
                <w:szCs w:val="20"/>
                <w:color w:val="auto"/>
              </w:rPr>
            </w:pPr>
            <w:r>
              <w:rPr>
                <w:rFonts w:ascii="Arial" w:cs="Arial" w:eastAsia="Arial" w:hAnsi="Arial"/>
                <w:sz w:val="17"/>
                <w:szCs w:val="17"/>
                <w:color w:val="auto"/>
              </w:rPr>
              <w:t>Total minimum lease payments</w:t>
            </w:r>
          </w:p>
        </w:tc>
        <w:tc>
          <w:tcPr>
            <w:tcW w:w="3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4,182</w:t>
            </w:r>
          </w:p>
        </w:tc>
      </w:tr>
      <w:tr>
        <w:trPr>
          <w:trHeight w:val="26"/>
        </w:trPr>
        <w:tc>
          <w:tcPr>
            <w:tcW w:w="160" w:type="dxa"/>
            <w:vAlign w:val="bottom"/>
            <w:shd w:val="clear" w:color="auto" w:fill="CCEEFF"/>
          </w:tcPr>
          <w:p>
            <w:pPr>
              <w:spacing w:after="0"/>
              <w:rPr>
                <w:sz w:val="2"/>
                <w:szCs w:val="2"/>
                <w:color w:val="auto"/>
              </w:rPr>
            </w:pPr>
          </w:p>
        </w:tc>
        <w:tc>
          <w:tcPr>
            <w:tcW w:w="5540" w:type="dxa"/>
            <w:vAlign w:val="bottom"/>
            <w:shd w:val="clear" w:color="auto" w:fill="000000"/>
          </w:tcPr>
          <w:p>
            <w:pPr>
              <w:spacing w:after="0"/>
              <w:rPr>
                <w:sz w:val="2"/>
                <w:szCs w:val="2"/>
                <w:color w:val="auto"/>
              </w:rPr>
            </w:pPr>
          </w:p>
        </w:tc>
        <w:tc>
          <w:tcPr>
            <w:tcW w:w="33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bl>
    <w:p>
      <w:pPr>
        <w:spacing w:after="0" w:line="104"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In July 2006, the Company entered into a lease agreement for approximately 23,000 square feet of office space in Rockville, Maryland. Annual rent begins at $600 per year and escalates at approximately</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12" w:name="page213"/>
    <w:bookmarkEnd w:id="212"/>
    <w:p>
      <w:pPr>
        <w:spacing w:after="0"/>
        <w:rPr>
          <w:sz w:val="20"/>
          <w:szCs w:val="20"/>
          <w:color w:val="auto"/>
        </w:rPr>
      </w:pPr>
      <w:r>
        <w:rPr>
          <w:rFonts w:ascii="Arial" w:cs="Arial" w:eastAsia="Arial" w:hAnsi="Arial"/>
          <w:sz w:val="17"/>
          <w:szCs w:val="17"/>
          <w:color w:val="auto"/>
        </w:rPr>
        <w:t>3% per year over the ten year term of the lease. The Company has a five year renewal option at the end of the initial term.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Vendor contracts</w:t>
      </w:r>
    </w:p>
    <w:p>
      <w:pPr>
        <w:spacing w:after="0" w:line="141"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In accordance with a recently signed research contract, the Company is committed to spending a minimum of $200 in research and development activities by September 2007. To date, the Company has incurred minimal expenditures under this contract.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June 2002, the Company initiated a lawsuit against Élan Pharmaceuticals and related entities in an effort to clarify intellectual property rights, including the recovery of royalties and other costs and fees, to which the Company believed it was entitled under a set of 1991 agreements and to clarify intellectual property rights associated with those agreements. The Company sought damages, injunctive relief and declaratory relief. On June 27, 2005, the Company obtained a settlement pursuant to which Élan and related entities agreed to pay the Company $10,000. Payment of such settlement was received by the Company in July 2005. The agreement also clarified the parties’ intellectual property rights. Upon receipt of the settlement from Élan Pharmaceuticals and related entities, the Company distributed a net settlement amount (total proceeds from the settlement less reserves for applicable federal and state income taxes, legal expenses related to the suit and other miscellaneous expenses) of $5,400 to all Company stockholders of record as of June 15, 2005.</w:t>
      </w:r>
    </w:p>
    <w:p>
      <w:pPr>
        <w:spacing w:after="0" w:line="104"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In 1998, the Company recorded obligations related to the initial purchase agreement of Michigan Biologic Products Institute of $10,119. During 2004, the Company settled its entire remaining purchase obligations to the State of Michigan for $6,300, resulting in a gain of $3,819, which is reflected as a component of operations on the accompanying statement of operations.</w:t>
      </w:r>
    </w:p>
    <w:p>
      <w:pPr>
        <w:spacing w:after="0" w:line="96"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From time to time, the Company is involved in product liability claims and other litigation considered normal in the nature of its business. The Company does not believe that any such proceedings would have a material, adverse effect on the results of its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Related party transactions</w:t>
      </w:r>
    </w:p>
    <w:p>
      <w:pPr>
        <w:spacing w:after="0" w:line="144"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Simba LLC, a Maryland based limited liability company 100% owned by the Company’s Chief Executive Officer and his wife, provides chartered air transportation. Simba offers its services to the Company on a discount from Simba’s normal commercial rate. For the years ended December 31, 2003, 2004 and 2005 and the nine months ended September 30, 2005 and 2006, the Company paid approximately $0, $32 and $34 and $34 and $13, respectively, for transportation on an as needed basis for business purposes. As of May 2006, this arrangement has been terminated.</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has entered into marketing and sales contracts with family members of the Chief Executive Officer to market and sell BioThrax in certain international territories if certain conditions are met. A consulting arrangement with the Chief Executive Officer’s sister requires a payment of 4% of net sales, not to exceed $2.00 per dose, under the agreement. A marketing arrangement with an entity affiliated with the Chief Executive Officer and his family requires a payment of 40% of gross sales in countries in the Middle East and North Africa, except Israel. No royalty payments under these agreements have been triggered for the years ended December 31, 2003, 2004 and 2005 and the nine months ended September 30, 2005 and 2006. The arrangement with the Chief Executive Officer’s sister has been terminated.</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For the years ended December 31, 2003, 2004 and 2005 and the nine months ended September 30, 2005 and 2006, the Company paid approximately $116, $494 and $794, and $630 and $370, respectively, in consulting and lease and transportation arrangements with various persons or entities affiliated with the Chief Executive Officer or two members of the board of directors. There was no</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924" w:right="1079" w:bottom="1440" w:gutter="0" w:footer="0" w:header="0"/>
        </w:sectPr>
      </w:pPr>
    </w:p>
    <w:bookmarkStart w:id="213" w:name="page214"/>
    <w:bookmarkEnd w:id="213"/>
    <w:p>
      <w:pPr>
        <w:ind w:left="680" w:right="920"/>
        <w:spacing w:after="0" w:line="247" w:lineRule="auto"/>
        <w:rPr>
          <w:sz w:val="20"/>
          <w:szCs w:val="20"/>
          <w:color w:val="auto"/>
        </w:rPr>
      </w:pPr>
      <w:r>
        <w:rPr>
          <w:rFonts w:ascii="Arial" w:cs="Arial" w:eastAsia="Arial" w:hAnsi="Arial"/>
          <w:sz w:val="17"/>
          <w:szCs w:val="17"/>
          <w:color w:val="auto"/>
        </w:rPr>
        <w:t>accounts payable balance for these services at September 30, 2006. The Company currently has an agreement with a director to perform corporate strategic issues consultation and directed project support to the marketing and communications group and an agreement with East West Resources Corporation, a company owned by the Chief Executive Officer, to provide transportation and logistical support.</w:t>
      </w:r>
    </w:p>
    <w:p>
      <w:pPr>
        <w:spacing w:after="0" w:line="172" w:lineRule="exact"/>
        <w:rPr>
          <w:sz w:val="20"/>
          <w:szCs w:val="20"/>
          <w:color w:val="auto"/>
        </w:rPr>
      </w:pPr>
    </w:p>
    <w:p>
      <w:pPr>
        <w:ind w:left="680"/>
        <w:spacing w:after="0"/>
        <w:tabs>
          <w:tab w:leader="none" w:pos="1160" w:val="left"/>
        </w:tabs>
        <w:rPr>
          <w:sz w:val="20"/>
          <w:szCs w:val="20"/>
          <w:color w:val="auto"/>
        </w:rPr>
      </w:pPr>
      <w:r>
        <w:rPr>
          <w:rFonts w:ascii="Arial" w:cs="Arial" w:eastAsia="Arial" w:hAnsi="Arial"/>
          <w:sz w:val="21"/>
          <w:szCs w:val="21"/>
          <w:b w:val="1"/>
          <w:bCs w:val="1"/>
          <w:color w:val="auto"/>
        </w:rPr>
        <w:t>15.</w:t>
      </w:r>
      <w:r>
        <w:rPr>
          <w:sz w:val="20"/>
          <w:szCs w:val="20"/>
          <w:color w:val="auto"/>
        </w:rPr>
        <w:tab/>
      </w:r>
      <w:r>
        <w:rPr>
          <w:rFonts w:ascii="Arial" w:cs="Arial" w:eastAsia="Arial" w:hAnsi="Arial"/>
          <w:sz w:val="20"/>
          <w:szCs w:val="20"/>
          <w:b w:val="1"/>
          <w:bCs w:val="1"/>
          <w:color w:val="auto"/>
        </w:rPr>
        <w:t>Segment information</w:t>
      </w:r>
    </w:p>
    <w:p>
      <w:pPr>
        <w:spacing w:after="0" w:line="144" w:lineRule="exact"/>
        <w:rPr>
          <w:sz w:val="20"/>
          <w:szCs w:val="20"/>
          <w:color w:val="auto"/>
        </w:rPr>
      </w:pPr>
    </w:p>
    <w:p>
      <w:pPr>
        <w:ind w:left="680" w:right="800"/>
        <w:spacing w:after="0" w:line="244" w:lineRule="auto"/>
        <w:rPr>
          <w:sz w:val="20"/>
          <w:szCs w:val="20"/>
          <w:color w:val="auto"/>
        </w:rPr>
      </w:pPr>
      <w:r>
        <w:rPr>
          <w:rFonts w:ascii="Arial" w:cs="Arial" w:eastAsia="Arial" w:hAnsi="Arial"/>
          <w:sz w:val="17"/>
          <w:szCs w:val="17"/>
          <w:color w:val="auto"/>
        </w:rPr>
        <w:t>The Company operates in two business segments: biodefense and commercial. In the biodefense business, the Company develops and commercializes products for use against biological agents that are potential weapons of bioterrorism. Revenues in this segment relate to the Company’s FDA approved product, BioThrax. In the commercial business, the Company develops products for use against infectious diseases with significant unmet or underserved medical needs. Revenues in this segment consist primarily of development and grant revenues received under collaboration and grant arrangements. The all other segment relates to the general operating costs of the business and includes costs of the centralized services departments, which are not allocated to the other segments. The assets in this segment consist of cash and fixed assets.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6"/>
                <w:szCs w:val="16"/>
                <w:b w:val="1"/>
                <w:bCs w:val="1"/>
                <w:color w:val="auto"/>
              </w:rPr>
              <w:t>Biodefense</w:t>
            </w: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Commercial</w:t>
            </w:r>
          </w:p>
        </w:tc>
        <w:tc>
          <w:tcPr>
            <w:tcW w:w="1060" w:type="dxa"/>
            <w:vAlign w:val="bottom"/>
            <w:gridSpan w:val="2"/>
          </w:tcPr>
          <w:p>
            <w:pPr>
              <w:jc w:val="right"/>
              <w:ind w:right="133"/>
              <w:spacing w:after="0"/>
              <w:rPr>
                <w:sz w:val="20"/>
                <w:szCs w:val="20"/>
                <w:color w:val="auto"/>
              </w:rPr>
            </w:pPr>
            <w:r>
              <w:rPr>
                <w:rFonts w:ascii="Arial" w:cs="Arial" w:eastAsia="Arial" w:hAnsi="Arial"/>
                <w:sz w:val="16"/>
                <w:szCs w:val="16"/>
                <w:b w:val="1"/>
                <w:bCs w:val="1"/>
                <w:color w:val="auto"/>
              </w:rPr>
              <w:t>All other</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2005</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External revenue</w:t>
            </w:r>
          </w:p>
        </w:tc>
        <w:tc>
          <w:tcPr>
            <w:tcW w:w="1660" w:type="dxa"/>
            <w:vAlign w:val="bottom"/>
            <w:gridSpan w:val="2"/>
          </w:tcPr>
          <w:p>
            <w:pPr>
              <w:jc w:val="center"/>
              <w:ind w:left="7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128,219</w:t>
            </w:r>
          </w:p>
        </w:tc>
        <w:tc>
          <w:tcPr>
            <w:tcW w:w="340" w:type="dxa"/>
            <w:vAlign w:val="bottom"/>
          </w:tcPr>
          <w:p>
            <w:pPr>
              <w:ind w:left="1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2,469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130,688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10,327</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6,962</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1,092</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18,381</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Interest revenue</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485</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(767)</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2,911</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411</w:t>
            </w:r>
          </w:p>
        </w:tc>
        <w:tc>
          <w:tcPr>
            <w:tcW w:w="28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226</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3,548</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58,632</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(40,325)</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(2,523)</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15,784</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Assets</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40,502</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5,489</w:t>
            </w:r>
          </w:p>
        </w:tc>
        <w:tc>
          <w:tcPr>
            <w:tcW w:w="28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54,341</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100,332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Expenditures for long-lived assets</w:t>
            </w:r>
          </w:p>
        </w:tc>
        <w:tc>
          <w:tcPr>
            <w:tcW w:w="1660" w:type="dxa"/>
            <w:vAlign w:val="bottom"/>
            <w:gridSpan w:val="2"/>
            <w:shd w:val="clear" w:color="auto" w:fill="CCEEFF"/>
          </w:tcPr>
          <w:p>
            <w:pPr>
              <w:jc w:val="center"/>
              <w:ind w:left="7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3,286</w:t>
            </w:r>
          </w:p>
        </w:tc>
        <w:tc>
          <w:tcPr>
            <w:tcW w:w="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3,052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194</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6,532</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b w:val="1"/>
                <w:bCs w:val="1"/>
                <w:color w:val="auto"/>
              </w:rPr>
              <w:t>Year Ended December 31, 2004</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External revenue</w:t>
            </w:r>
          </w:p>
        </w:tc>
        <w:tc>
          <w:tcPr>
            <w:tcW w:w="1660" w:type="dxa"/>
            <w:vAlign w:val="bottom"/>
            <w:gridSpan w:val="2"/>
            <w:shd w:val="clear" w:color="auto" w:fill="CCEEFF"/>
          </w:tcPr>
          <w:p>
            <w:pPr>
              <w:jc w:val="center"/>
              <w:ind w:left="7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82,585</w:t>
            </w:r>
          </w:p>
        </w:tc>
        <w:tc>
          <w:tcPr>
            <w:tcW w:w="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909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83,494</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Research and development</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6,279</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1,136</w:t>
            </w:r>
          </w:p>
        </w:tc>
        <w:tc>
          <w:tcPr>
            <w:tcW w:w="280" w:type="dxa"/>
            <w:vAlign w:val="bottom"/>
          </w:tcPr>
          <w:p>
            <w:pPr>
              <w:spacing w:after="0"/>
              <w:rPr>
                <w:sz w:val="17"/>
                <w:szCs w:val="17"/>
                <w:color w:val="auto"/>
              </w:rPr>
            </w:pP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2,702</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10,117</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revenue</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65</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Arial" w:cs="Arial" w:eastAsia="Arial" w:hAnsi="Arial"/>
                <w:sz w:val="17"/>
                <w:szCs w:val="17"/>
                <w:color w:val="auto"/>
              </w:rPr>
              <w:t>(241)</w:t>
            </w:r>
          </w:p>
        </w:tc>
        <w:tc>
          <w:tcPr>
            <w:tcW w:w="2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(241)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1,685</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169</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21,776</w:t>
            </w:r>
          </w:p>
        </w:tc>
        <w:tc>
          <w:tcPr>
            <w:tcW w:w="340" w:type="dxa"/>
            <w:vAlign w:val="bottom"/>
          </w:tcPr>
          <w:p>
            <w:pPr>
              <w:spacing w:after="0"/>
              <w:rPr>
                <w:sz w:val="17"/>
                <w:szCs w:val="17"/>
                <w:color w:val="auto"/>
              </w:rPr>
            </w:pPr>
          </w:p>
        </w:tc>
        <w:tc>
          <w:tcPr>
            <w:tcW w:w="920" w:type="dxa"/>
            <w:vAlign w:val="bottom"/>
          </w:tcPr>
          <w:p>
            <w:pPr>
              <w:jc w:val="right"/>
              <w:ind w:right="73"/>
              <w:spacing w:after="0"/>
              <w:rPr>
                <w:sz w:val="20"/>
                <w:szCs w:val="20"/>
                <w:color w:val="auto"/>
              </w:rPr>
            </w:pPr>
            <w:r>
              <w:rPr>
                <w:rFonts w:ascii="Arial" w:cs="Arial" w:eastAsia="Arial" w:hAnsi="Arial"/>
                <w:sz w:val="17"/>
                <w:szCs w:val="17"/>
                <w:color w:val="auto"/>
              </w:rPr>
              <w:t>(5,428)</w:t>
            </w:r>
          </w:p>
        </w:tc>
        <w:tc>
          <w:tcPr>
            <w:tcW w:w="28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Arial" w:cs="Arial" w:eastAsia="Arial" w:hAnsi="Arial"/>
                <w:sz w:val="17"/>
                <w:szCs w:val="17"/>
                <w:color w:val="auto"/>
              </w:rPr>
              <w:t>(4,876)</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11,472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Assets</w:t>
            </w:r>
          </w:p>
        </w:tc>
        <w:tc>
          <w:tcPr>
            <w:tcW w:w="1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51,626</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3,491</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13,939</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69,056</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3700" w:type="dxa"/>
            <w:vAlign w:val="bottom"/>
            <w:gridSpan w:val="2"/>
          </w:tcPr>
          <w:p>
            <w:pPr>
              <w:spacing w:after="0"/>
              <w:rPr>
                <w:sz w:val="20"/>
                <w:szCs w:val="20"/>
                <w:color w:val="auto"/>
              </w:rPr>
            </w:pPr>
            <w:r>
              <w:rPr>
                <w:rFonts w:ascii="Arial" w:cs="Arial" w:eastAsia="Arial" w:hAnsi="Arial"/>
                <w:sz w:val="17"/>
                <w:szCs w:val="17"/>
                <w:color w:val="auto"/>
              </w:rPr>
              <w:t>Expenditures for long-lived assets</w:t>
            </w:r>
          </w:p>
        </w:tc>
        <w:tc>
          <w:tcPr>
            <w:tcW w:w="1660" w:type="dxa"/>
            <w:vAlign w:val="bottom"/>
            <w:gridSpan w:val="2"/>
          </w:tcPr>
          <w:p>
            <w:pPr>
              <w:jc w:val="center"/>
              <w:ind w:left="7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3"/>
              <w:spacing w:after="0"/>
              <w:rPr>
                <w:sz w:val="20"/>
                <w:szCs w:val="20"/>
                <w:color w:val="auto"/>
              </w:rPr>
            </w:pPr>
            <w:r>
              <w:rPr>
                <w:rFonts w:ascii="Arial" w:cs="Arial" w:eastAsia="Arial" w:hAnsi="Arial"/>
                <w:sz w:val="17"/>
                <w:szCs w:val="17"/>
                <w:color w:val="auto"/>
              </w:rPr>
              <w:t>8,320</w:t>
            </w:r>
          </w:p>
        </w:tc>
        <w:tc>
          <w:tcPr>
            <w:tcW w:w="340" w:type="dxa"/>
            <w:vAlign w:val="bottom"/>
          </w:tcPr>
          <w:p>
            <w:pPr>
              <w:ind w:left="1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3"/>
              <w:spacing w:after="0"/>
              <w:rPr>
                <w:sz w:val="20"/>
                <w:szCs w:val="20"/>
                <w:color w:val="auto"/>
              </w:rPr>
            </w:pPr>
            <w:r>
              <w:rPr>
                <w:rFonts w:ascii="Arial" w:cs="Arial" w:eastAsia="Arial" w:hAnsi="Arial"/>
                <w:sz w:val="17"/>
                <w:szCs w:val="17"/>
                <w:color w:val="auto"/>
              </w:rPr>
              <w:t>668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8,084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17,072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6"/>
        </w:trPr>
        <w:tc>
          <w:tcPr>
            <w:tcW w:w="70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center"/>
              <w:ind w:left="773"/>
              <w:spacing w:after="0"/>
              <w:rPr>
                <w:sz w:val="20"/>
                <w:szCs w:val="20"/>
                <w:color w:val="auto"/>
              </w:rPr>
            </w:pPr>
            <w:r>
              <w:rPr>
                <w:rFonts w:ascii="Arial" w:cs="Arial" w:eastAsia="Arial" w:hAnsi="Arial"/>
                <w:sz w:val="17"/>
                <w:szCs w:val="17"/>
                <w:color w:val="auto"/>
              </w:rPr>
              <w:t>F-29</w:t>
            </w: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354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214" w:name="page215"/>
    <w:bookmarkEnd w:id="214"/>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Reportable segments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6"/>
                <w:szCs w:val="16"/>
                <w:b w:val="1"/>
                <w:bCs w:val="1"/>
                <w:color w:val="auto"/>
              </w:rPr>
              <w:t>Biodefense</w:t>
            </w: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Commercial</w:t>
            </w:r>
          </w:p>
        </w:tc>
        <w:tc>
          <w:tcPr>
            <w:tcW w:w="1060" w:type="dxa"/>
            <w:vAlign w:val="bottom"/>
            <w:gridSpan w:val="2"/>
          </w:tcPr>
          <w:p>
            <w:pPr>
              <w:jc w:val="right"/>
              <w:ind w:right="134"/>
              <w:spacing w:after="0"/>
              <w:rPr>
                <w:sz w:val="20"/>
                <w:szCs w:val="20"/>
                <w:color w:val="auto"/>
              </w:rPr>
            </w:pPr>
            <w:r>
              <w:rPr>
                <w:rFonts w:ascii="Arial" w:cs="Arial" w:eastAsia="Arial" w:hAnsi="Arial"/>
                <w:sz w:val="16"/>
                <w:szCs w:val="16"/>
                <w:b w:val="1"/>
                <w:bCs w:val="1"/>
                <w:color w:val="auto"/>
              </w:rPr>
              <w:t>All other</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2003</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External revenue</w:t>
            </w:r>
          </w:p>
        </w:tc>
        <w:tc>
          <w:tcPr>
            <w:tcW w:w="15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55,536</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233</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55,769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4,352</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477</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1,498</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Interest revenue</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7"/>
                <w:szCs w:val="17"/>
                <w:color w:val="auto"/>
              </w:rPr>
              <w:t>100</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(293)</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1,153</w:t>
            </w:r>
          </w:p>
        </w:tc>
        <w:tc>
          <w:tcPr>
            <w:tcW w:w="400" w:type="dxa"/>
            <w:vAlign w:val="bottom"/>
          </w:tcPr>
          <w:p>
            <w:pPr>
              <w:spacing w:after="0"/>
              <w:rPr>
                <w:sz w:val="17"/>
                <w:szCs w:val="17"/>
                <w:color w:val="auto"/>
              </w:rPr>
            </w:pP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61</w:t>
            </w:r>
          </w:p>
        </w:tc>
        <w:tc>
          <w:tcPr>
            <w:tcW w:w="3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6,106</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(1,459)</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(193)</w:t>
            </w:r>
          </w:p>
        </w:tc>
        <w:tc>
          <w:tcPr>
            <w:tcW w:w="3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Arial" w:cs="Arial" w:eastAsia="Arial" w:hAnsi="Arial"/>
                <w:sz w:val="17"/>
                <w:szCs w:val="17"/>
                <w:color w:val="auto"/>
              </w:rPr>
              <w:t>Asset</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54"/>
              <w:spacing w:after="0"/>
              <w:rPr>
                <w:sz w:val="20"/>
                <w:szCs w:val="20"/>
                <w:color w:val="auto"/>
              </w:rPr>
            </w:pPr>
            <w:r>
              <w:rPr>
                <w:rFonts w:ascii="Arial" w:cs="Arial" w:eastAsia="Arial" w:hAnsi="Arial"/>
                <w:sz w:val="17"/>
                <w:szCs w:val="17"/>
                <w:color w:val="auto"/>
              </w:rPr>
              <w:t>28,266</w:t>
            </w:r>
          </w:p>
        </w:tc>
        <w:tc>
          <w:tcPr>
            <w:tcW w:w="400" w:type="dxa"/>
            <w:vAlign w:val="bottom"/>
          </w:tcPr>
          <w:p>
            <w:pPr>
              <w:spacing w:after="0"/>
              <w:rPr>
                <w:sz w:val="17"/>
                <w:szCs w:val="17"/>
                <w:color w:val="auto"/>
              </w:rPr>
            </w:pPr>
          </w:p>
        </w:tc>
        <w:tc>
          <w:tcPr>
            <w:tcW w:w="860" w:type="dxa"/>
            <w:vAlign w:val="bottom"/>
          </w:tcPr>
          <w:p>
            <w:pPr>
              <w:jc w:val="right"/>
              <w:ind w:right="133"/>
              <w:spacing w:after="0"/>
              <w:rPr>
                <w:sz w:val="20"/>
                <w:szCs w:val="20"/>
                <w:color w:val="auto"/>
              </w:rPr>
            </w:pPr>
            <w:r>
              <w:rPr>
                <w:rFonts w:ascii="Arial" w:cs="Arial" w:eastAsia="Arial" w:hAnsi="Arial"/>
                <w:sz w:val="17"/>
                <w:szCs w:val="17"/>
                <w:color w:val="auto"/>
              </w:rPr>
              <w:t>2,462</w:t>
            </w:r>
          </w:p>
        </w:tc>
        <w:tc>
          <w:tcPr>
            <w:tcW w:w="3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7"/>
                <w:szCs w:val="17"/>
                <w:color w:val="auto"/>
              </w:rPr>
              <w:t>7,119</w:t>
            </w:r>
          </w:p>
        </w:tc>
        <w:tc>
          <w:tcPr>
            <w:tcW w:w="3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37,847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Expenditures for long-lived assets</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4,020</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103</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 accounting policies of the segments are the same as those described in the summary of significant accounting policies in Note 2 — Summary of significant accounting policies. There are no inter-segment transactions.</w:t>
      </w:r>
    </w:p>
    <w:p>
      <w:pPr>
        <w:spacing w:after="0" w:line="164"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16.</w:t>
        <w:tab/>
        <w:t>Quarterly financial data (unaudited)</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Quarterly financial information for the years ended December 31, 2005 and 2004 is presented in the following tables:</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240" w:type="dxa"/>
            <w:vAlign w:val="bottom"/>
            <w:tcBorders>
              <w:top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March 31</w:t>
            </w:r>
          </w:p>
        </w:tc>
        <w:tc>
          <w:tcPr>
            <w:tcW w:w="132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June 30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Fiscal year 2005</w:t>
            </w: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Revenues</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$ 15,261</w:t>
            </w:r>
          </w:p>
        </w:tc>
        <w:tc>
          <w:tcPr>
            <w:tcW w:w="1320" w:type="dxa"/>
            <w:vAlign w:val="bottom"/>
          </w:tcPr>
          <w:p>
            <w:pPr>
              <w:jc w:val="right"/>
              <w:ind w:right="314"/>
              <w:spacing w:after="0"/>
              <w:rPr>
                <w:sz w:val="20"/>
                <w:szCs w:val="20"/>
                <w:color w:val="auto"/>
              </w:rPr>
            </w:pPr>
            <w:r>
              <w:rPr>
                <w:rFonts w:ascii="Arial" w:cs="Arial" w:eastAsia="Arial" w:hAnsi="Arial"/>
                <w:sz w:val="17"/>
                <w:szCs w:val="17"/>
                <w:color w:val="auto"/>
              </w:rPr>
              <w:t>$ 44,058</w:t>
            </w:r>
          </w:p>
        </w:tc>
        <w:tc>
          <w:tcPr>
            <w:tcW w:w="1400" w:type="dxa"/>
            <w:vAlign w:val="bottom"/>
          </w:tcPr>
          <w:p>
            <w:pPr>
              <w:jc w:val="right"/>
              <w:spacing w:after="0"/>
              <w:rPr>
                <w:sz w:val="20"/>
                <w:szCs w:val="20"/>
                <w:color w:val="auto"/>
              </w:rPr>
            </w:pPr>
            <w:r>
              <w:rPr>
                <w:rFonts w:ascii="Arial" w:cs="Arial" w:eastAsia="Arial" w:hAnsi="Arial"/>
                <w:sz w:val="17"/>
                <w:szCs w:val="17"/>
                <w:color w:val="auto"/>
              </w:rPr>
              <w:t>$ 27,581</w:t>
            </w:r>
          </w:p>
        </w:tc>
        <w:tc>
          <w:tcPr>
            <w:tcW w:w="1580" w:type="dxa"/>
            <w:vAlign w:val="bottom"/>
          </w:tcPr>
          <w:p>
            <w:pPr>
              <w:jc w:val="right"/>
              <w:spacing w:after="0"/>
              <w:rPr>
                <w:sz w:val="20"/>
                <w:szCs w:val="20"/>
                <w:color w:val="auto"/>
              </w:rPr>
            </w:pPr>
            <w:r>
              <w:rPr>
                <w:rFonts w:ascii="Arial" w:cs="Arial" w:eastAsia="Arial" w:hAnsi="Arial"/>
                <w:sz w:val="17"/>
                <w:szCs w:val="17"/>
                <w:color w:val="auto"/>
              </w:rPr>
              <w:t>$ 43,788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425</w:t>
            </w:r>
          </w:p>
        </w:tc>
        <w:tc>
          <w:tcPr>
            <w:tcW w:w="13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3,699</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4,498</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Net income (loss)</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225</w:t>
            </w:r>
          </w:p>
        </w:tc>
        <w:tc>
          <w:tcPr>
            <w:tcW w:w="1320" w:type="dxa"/>
            <w:vAlign w:val="bottom"/>
          </w:tcPr>
          <w:p>
            <w:pPr>
              <w:jc w:val="right"/>
              <w:ind w:right="314"/>
              <w:spacing w:after="0"/>
              <w:rPr>
                <w:sz w:val="20"/>
                <w:szCs w:val="20"/>
                <w:color w:val="auto"/>
              </w:rPr>
            </w:pPr>
            <w:r>
              <w:rPr>
                <w:rFonts w:ascii="Arial" w:cs="Arial" w:eastAsia="Arial" w:hAnsi="Arial"/>
                <w:sz w:val="17"/>
                <w:szCs w:val="17"/>
                <w:color w:val="auto"/>
              </w:rPr>
              <w:t>2,616</w:t>
            </w:r>
          </w:p>
        </w:tc>
        <w:tc>
          <w:tcPr>
            <w:tcW w:w="1400" w:type="dxa"/>
            <w:vAlign w:val="bottom"/>
          </w:tcPr>
          <w:p>
            <w:pPr>
              <w:jc w:val="right"/>
              <w:spacing w:after="0"/>
              <w:rPr>
                <w:sz w:val="20"/>
                <w:szCs w:val="20"/>
                <w:color w:val="auto"/>
              </w:rPr>
            </w:pPr>
            <w:r>
              <w:rPr>
                <w:rFonts w:ascii="Arial" w:cs="Arial" w:eastAsia="Arial" w:hAnsi="Arial"/>
                <w:sz w:val="17"/>
                <w:szCs w:val="17"/>
                <w:color w:val="auto"/>
              </w:rPr>
              <w:t>3,410</w:t>
            </w:r>
          </w:p>
        </w:tc>
        <w:tc>
          <w:tcPr>
            <w:tcW w:w="1580" w:type="dxa"/>
            <w:vAlign w:val="bottom"/>
          </w:tcPr>
          <w:p>
            <w:pPr>
              <w:jc w:val="right"/>
              <w:spacing w:after="0"/>
              <w:rPr>
                <w:sz w:val="20"/>
                <w:szCs w:val="20"/>
                <w:color w:val="auto"/>
              </w:rPr>
            </w:pPr>
            <w:r>
              <w:rPr>
                <w:rFonts w:ascii="Arial" w:cs="Arial" w:eastAsia="Arial" w:hAnsi="Arial"/>
                <w:sz w:val="17"/>
                <w:szCs w:val="17"/>
                <w:color w:val="auto"/>
              </w:rPr>
              <w:t>9,533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basic</w:t>
            </w: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0.01</w:t>
            </w:r>
          </w:p>
        </w:tc>
        <w:tc>
          <w:tcPr>
            <w:tcW w:w="13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0.14</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Net income (loss) per share, diluted</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0.01</w:t>
            </w:r>
          </w:p>
        </w:tc>
        <w:tc>
          <w:tcPr>
            <w:tcW w:w="1320" w:type="dxa"/>
            <w:vAlign w:val="bottom"/>
          </w:tcPr>
          <w:p>
            <w:pPr>
              <w:jc w:val="right"/>
              <w:ind w:right="314"/>
              <w:spacing w:after="0"/>
              <w:rPr>
                <w:sz w:val="20"/>
                <w:szCs w:val="20"/>
                <w:color w:val="auto"/>
              </w:rPr>
            </w:pPr>
            <w:r>
              <w:rPr>
                <w:rFonts w:ascii="Arial" w:cs="Arial" w:eastAsia="Arial" w:hAnsi="Arial"/>
                <w:sz w:val="17"/>
                <w:szCs w:val="17"/>
                <w:color w:val="auto"/>
              </w:rPr>
              <w:t>0.12</w:t>
            </w:r>
          </w:p>
        </w:tc>
        <w:tc>
          <w:tcPr>
            <w:tcW w:w="1400" w:type="dxa"/>
            <w:vAlign w:val="bottom"/>
          </w:tcPr>
          <w:p>
            <w:pPr>
              <w:jc w:val="right"/>
              <w:spacing w:after="0"/>
              <w:rPr>
                <w:sz w:val="20"/>
                <w:szCs w:val="20"/>
                <w:color w:val="auto"/>
              </w:rPr>
            </w:pPr>
            <w:r>
              <w:rPr>
                <w:rFonts w:ascii="Arial" w:cs="Arial" w:eastAsia="Arial" w:hAnsi="Arial"/>
                <w:sz w:val="17"/>
                <w:szCs w:val="17"/>
                <w:color w:val="auto"/>
              </w:rPr>
              <w:t>0.13</w:t>
            </w:r>
          </w:p>
        </w:tc>
        <w:tc>
          <w:tcPr>
            <w:tcW w:w="1580" w:type="dxa"/>
            <w:vAlign w:val="bottom"/>
          </w:tcPr>
          <w:p>
            <w:pPr>
              <w:jc w:val="right"/>
              <w:spacing w:after="0"/>
              <w:rPr>
                <w:sz w:val="20"/>
                <w:szCs w:val="20"/>
                <w:color w:val="auto"/>
              </w:rPr>
            </w:pPr>
            <w:r>
              <w:rPr>
                <w:rFonts w:ascii="Arial" w:cs="Arial" w:eastAsia="Arial" w:hAnsi="Arial"/>
                <w:sz w:val="17"/>
                <w:szCs w:val="17"/>
                <w:color w:val="auto"/>
              </w:rPr>
              <w:t>0.38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Fiscal year 2004</w:t>
            </w: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Revenues</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$ 20,360</w:t>
            </w:r>
          </w:p>
        </w:tc>
        <w:tc>
          <w:tcPr>
            <w:tcW w:w="1320" w:type="dxa"/>
            <w:vAlign w:val="bottom"/>
          </w:tcPr>
          <w:p>
            <w:pPr>
              <w:jc w:val="right"/>
              <w:ind w:right="314"/>
              <w:spacing w:after="0"/>
              <w:rPr>
                <w:sz w:val="20"/>
                <w:szCs w:val="20"/>
                <w:color w:val="auto"/>
              </w:rPr>
            </w:pPr>
            <w:r>
              <w:rPr>
                <w:rFonts w:ascii="Arial" w:cs="Arial" w:eastAsia="Arial" w:hAnsi="Arial"/>
                <w:sz w:val="17"/>
                <w:szCs w:val="17"/>
                <w:color w:val="auto"/>
              </w:rPr>
              <w:t>$ 13,044</w:t>
            </w:r>
          </w:p>
        </w:tc>
        <w:tc>
          <w:tcPr>
            <w:tcW w:w="1400" w:type="dxa"/>
            <w:vAlign w:val="bottom"/>
          </w:tcPr>
          <w:p>
            <w:pPr>
              <w:jc w:val="right"/>
              <w:spacing w:after="0"/>
              <w:rPr>
                <w:sz w:val="20"/>
                <w:szCs w:val="20"/>
                <w:color w:val="auto"/>
              </w:rPr>
            </w:pPr>
            <w:r>
              <w:rPr>
                <w:rFonts w:ascii="Arial" w:cs="Arial" w:eastAsia="Arial" w:hAnsi="Arial"/>
                <w:sz w:val="17"/>
                <w:szCs w:val="17"/>
                <w:color w:val="auto"/>
              </w:rPr>
              <w:t>$ 22,241</w:t>
            </w:r>
          </w:p>
        </w:tc>
        <w:tc>
          <w:tcPr>
            <w:tcW w:w="1580" w:type="dxa"/>
            <w:vAlign w:val="bottom"/>
          </w:tcPr>
          <w:p>
            <w:pPr>
              <w:jc w:val="right"/>
              <w:spacing w:after="0"/>
              <w:rPr>
                <w:sz w:val="20"/>
                <w:szCs w:val="20"/>
                <w:color w:val="auto"/>
              </w:rPr>
            </w:pPr>
            <w:r>
              <w:rPr>
                <w:rFonts w:ascii="Arial" w:cs="Arial" w:eastAsia="Arial" w:hAnsi="Arial"/>
                <w:sz w:val="17"/>
                <w:szCs w:val="17"/>
                <w:color w:val="auto"/>
              </w:rPr>
              <w:t>$ 27,848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3,758</w:t>
            </w:r>
          </w:p>
        </w:tc>
        <w:tc>
          <w:tcPr>
            <w:tcW w:w="13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(7,632)</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8,063</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Net income (loss)</w:t>
            </w:r>
          </w:p>
        </w:tc>
        <w:tc>
          <w:tcPr>
            <w:tcW w:w="1360" w:type="dxa"/>
            <w:vAlign w:val="bottom"/>
          </w:tcPr>
          <w:p>
            <w:pPr>
              <w:jc w:val="right"/>
              <w:ind w:right="194"/>
              <w:spacing w:after="0"/>
              <w:rPr>
                <w:sz w:val="20"/>
                <w:szCs w:val="20"/>
                <w:color w:val="auto"/>
              </w:rPr>
            </w:pPr>
            <w:r>
              <w:rPr>
                <w:rFonts w:ascii="Arial" w:cs="Arial" w:eastAsia="Arial" w:hAnsi="Arial"/>
                <w:sz w:val="17"/>
                <w:szCs w:val="17"/>
                <w:color w:val="auto"/>
              </w:rPr>
              <w:t>2,582</w:t>
            </w:r>
          </w:p>
        </w:tc>
        <w:tc>
          <w:tcPr>
            <w:tcW w:w="1320" w:type="dxa"/>
            <w:vAlign w:val="bottom"/>
          </w:tcPr>
          <w:p>
            <w:pPr>
              <w:jc w:val="right"/>
              <w:ind w:right="254"/>
              <w:spacing w:after="0"/>
              <w:rPr>
                <w:sz w:val="20"/>
                <w:szCs w:val="20"/>
                <w:color w:val="auto"/>
              </w:rPr>
            </w:pPr>
            <w:r>
              <w:rPr>
                <w:rFonts w:ascii="Arial" w:cs="Arial" w:eastAsia="Arial" w:hAnsi="Arial"/>
                <w:sz w:val="17"/>
                <w:szCs w:val="17"/>
                <w:color w:val="auto"/>
              </w:rPr>
              <w:t>(5,271)</w:t>
            </w:r>
          </w:p>
        </w:tc>
        <w:tc>
          <w:tcPr>
            <w:tcW w:w="1400" w:type="dxa"/>
            <w:vAlign w:val="bottom"/>
          </w:tcPr>
          <w:p>
            <w:pPr>
              <w:jc w:val="right"/>
              <w:spacing w:after="0"/>
              <w:rPr>
                <w:sz w:val="20"/>
                <w:szCs w:val="20"/>
                <w:color w:val="auto"/>
              </w:rPr>
            </w:pPr>
            <w:r>
              <w:rPr>
                <w:rFonts w:ascii="Arial" w:cs="Arial" w:eastAsia="Arial" w:hAnsi="Arial"/>
                <w:sz w:val="17"/>
                <w:szCs w:val="17"/>
                <w:color w:val="auto"/>
              </w:rPr>
              <w:t>5,580</w:t>
            </w:r>
          </w:p>
        </w:tc>
        <w:tc>
          <w:tcPr>
            <w:tcW w:w="1580" w:type="dxa"/>
            <w:vAlign w:val="bottom"/>
          </w:tcPr>
          <w:p>
            <w:pPr>
              <w:jc w:val="right"/>
              <w:spacing w:after="0"/>
              <w:rPr>
                <w:sz w:val="20"/>
                <w:szCs w:val="20"/>
                <w:color w:val="auto"/>
              </w:rPr>
            </w:pPr>
            <w:r>
              <w:rPr>
                <w:rFonts w:ascii="Arial" w:cs="Arial" w:eastAsia="Arial" w:hAnsi="Arial"/>
                <w:sz w:val="17"/>
                <w:szCs w:val="17"/>
                <w:color w:val="auto"/>
              </w:rPr>
              <w:t>8,560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basic</w:t>
            </w:r>
          </w:p>
        </w:tc>
        <w:tc>
          <w:tcPr>
            <w:tcW w:w="13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0.14</w:t>
            </w:r>
          </w:p>
        </w:tc>
        <w:tc>
          <w:tcPr>
            <w:tcW w:w="132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(0.27)</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0.46</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income (loss) per share, diluted</w:t>
            </w: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0.13</w:t>
            </w:r>
          </w:p>
        </w:tc>
        <w:tc>
          <w:tcPr>
            <w:tcW w:w="13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(0.27)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b w:val="1"/>
          <w:bCs w:val="1"/>
          <w:color w:val="auto"/>
        </w:rPr>
        <w:t>17.</w:t>
      </w:r>
      <w:r>
        <w:rPr>
          <w:sz w:val="20"/>
          <w:szCs w:val="20"/>
          <w:color w:val="auto"/>
        </w:rPr>
        <w:tab/>
      </w:r>
      <w:r>
        <w:rPr>
          <w:rFonts w:ascii="Arial" w:cs="Arial" w:eastAsia="Arial" w:hAnsi="Arial"/>
          <w:sz w:val="20"/>
          <w:szCs w:val="20"/>
          <w:b w:val="1"/>
          <w:bCs w:val="1"/>
          <w:color w:val="auto"/>
        </w:rPr>
        <w:t>Subsequent events</w:t>
      </w:r>
    </w:p>
    <w:p>
      <w:pPr>
        <w:spacing w:after="0" w:line="144"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On September 20, 2006, the Company’s board of directors recommended to the stockholders of the Company an amendment of the Company’s amended and restated certificate of incorporation, which the stockholders approved on October 27, 2006, that, among other things, reclassifies the Class A Common Stock as common stock, $0.001 par value per share (Common Stock), increases the number of authorized shares of Common Stock to 100,000,000 shares and adjusts the par value of the Preferred Stock from $0.01 par value per share to $0.001 par value per share. The amendment became effective on October 27, 2006. On September 20, 2006, the Company’s board of directors also authorized the pricing committee of the board of directors to effect a stock split of both the Common Stock, in the form of a dividend of shares of Common Stock, and the Class B Common Stock, in the form of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1062" w:right="1039" w:bottom="1440" w:gutter="0" w:footer="0" w:header="0"/>
        </w:sectPr>
      </w:pPr>
    </w:p>
    <w:bookmarkStart w:id="215" w:name="page216"/>
    <w:bookmarkEnd w:id="215"/>
    <w:p>
      <w:pPr>
        <w:spacing w:after="0" w:line="244" w:lineRule="auto"/>
        <w:rPr>
          <w:sz w:val="20"/>
          <w:szCs w:val="20"/>
          <w:color w:val="auto"/>
        </w:rPr>
      </w:pPr>
      <w:r>
        <w:rPr>
          <w:rFonts w:ascii="Arial" w:cs="Arial" w:eastAsia="Arial" w:hAnsi="Arial"/>
          <w:sz w:val="17"/>
          <w:szCs w:val="17"/>
          <w:color w:val="auto"/>
        </w:rPr>
        <w:t>dividend of shares of Class B Common Stock. The pricing committee subsequently declared a 2.8771-for-one stock split of the Common Stock and the Class B Common Stock effective as of October 27, 2006. The par values, the number of authorized shares and all share and per share amounts in the consolidated financial statements have been retroactively adjusted to give effect to the filing of the certificate of amendment of the Company’s amended and restated certificate of incorporation and the stock split. The consolidated financial statements do not reflect the reclassification of the Class A Common Stock as Common Stock, other than the related adjustment to par value and the increase in the number of authorized shares.</w:t>
      </w: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760"/>
          </w:cols>
          <w:pgMar w:left="920" w:top="925" w:right="1219" w:bottom="1440" w:gutter="0" w:footer="0" w:header="0"/>
        </w:sectPr>
      </w:pPr>
    </w:p>
    <w:bookmarkStart w:id="216" w:name="page217"/>
    <w:bookmarkEnd w:id="216"/>
    <w:p>
      <w:pPr>
        <w:jc w:val="center"/>
        <w:ind w:right="80"/>
        <w:spacing w:after="0"/>
        <w:rPr>
          <w:sz w:val="20"/>
          <w:szCs w:val="20"/>
          <w:color w:val="auto"/>
        </w:rPr>
      </w:pPr>
      <w:r>
        <w:rPr>
          <w:rFonts w:ascii="Arial" w:cs="Arial" w:eastAsia="Arial" w:hAnsi="Arial"/>
          <w:sz w:val="28"/>
          <w:szCs w:val="28"/>
          <w:b w:val="1"/>
          <w:bCs w:val="1"/>
          <w:color w:val="auto"/>
        </w:rPr>
        <w:t>Emergent Product Development UK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Emergent Product Development UK Limited</w:t>
      </w:r>
    </w:p>
    <w:p>
      <w:pPr>
        <w:spacing w:after="0" w:line="119"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We have audited the accompanying profit and loss account and statement of cash flows of Emergent Product Development UK Limited for each of the two years in the period ended December 31, 2004. These financial statements are the responsibility of the company’s management. Our responsibility is to express an opinion on these financial statements based on our audits.</w:t>
      </w:r>
    </w:p>
    <w:p>
      <w:pPr>
        <w:spacing w:after="0" w:line="96"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4"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results of the operations and the cash flows of Emergent Product Development UK Limited for each of the two years in the period ended December 31, 2004 in conformity with accounting principles generally accepted in the United Kingdom which differ in certain respects from those generally accepted in the United States (see Note 17 of Notes to the financial statements).</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London, England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October 24, 2006</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8" w:right="1039" w:bottom="144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28"/>
          <w:szCs w:val="28"/>
          <w:b w:val="1"/>
          <w:bCs w:val="1"/>
          <w:color w:val="auto"/>
        </w:rPr>
        <w:t>Emergent Product Development UK Limited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Profit and loss account</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60" w:type="dxa"/>
            <w:vAlign w:val="bottom"/>
            <w:tcBorders>
              <w:top w:val="single" w:sz="8" w:color="auto"/>
            </w:tcBorders>
          </w:tcPr>
          <w:p>
            <w:pPr>
              <w:jc w:val="right"/>
              <w:ind w:right="175"/>
              <w:spacing w:after="0" w:line="158" w:lineRule="exact"/>
              <w:rPr>
                <w:sz w:val="20"/>
                <w:szCs w:val="20"/>
                <w:color w:val="auto"/>
              </w:rPr>
            </w:pPr>
            <w:r>
              <w:rPr>
                <w:rFonts w:ascii="Arial" w:cs="Arial" w:eastAsia="Arial" w:hAnsi="Arial"/>
                <w:sz w:val="16"/>
                <w:szCs w:val="16"/>
                <w:b w:val="1"/>
                <w:bCs w:val="1"/>
                <w:color w:val="auto"/>
              </w:rPr>
              <w:t>2003</w:t>
            </w:r>
          </w:p>
        </w:tc>
        <w:tc>
          <w:tcPr>
            <w:tcW w:w="82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680" w:type="dxa"/>
            <w:vAlign w:val="bottom"/>
          </w:tcPr>
          <w:p>
            <w:pPr>
              <w:jc w:val="right"/>
              <w:ind w:right="294"/>
              <w:spacing w:after="0"/>
              <w:rPr>
                <w:sz w:val="20"/>
                <w:szCs w:val="20"/>
                <w:color w:val="auto"/>
              </w:rPr>
            </w:pPr>
            <w:r>
              <w:rPr>
                <w:rFonts w:ascii="Arial" w:cs="Arial" w:eastAsia="Arial" w:hAnsi="Arial"/>
                <w:sz w:val="16"/>
                <w:szCs w:val="16"/>
                <w:b w:val="1"/>
                <w:bCs w:val="1"/>
                <w:color w:val="auto"/>
              </w:rPr>
              <w:t>Notes</w:t>
            </w:r>
          </w:p>
        </w:tc>
        <w:tc>
          <w:tcPr>
            <w:tcW w:w="960" w:type="dxa"/>
            <w:vAlign w:val="bottom"/>
          </w:tcPr>
          <w:p>
            <w:pPr>
              <w:jc w:val="right"/>
              <w:ind w:right="175"/>
              <w:spacing w:after="0"/>
              <w:rPr>
                <w:sz w:val="20"/>
                <w:szCs w:val="20"/>
                <w:color w:val="auto"/>
              </w:rPr>
            </w:pPr>
            <w:r>
              <w:rPr>
                <w:rFonts w:ascii="Arial" w:cs="Arial" w:eastAsia="Arial" w:hAnsi="Arial"/>
                <w:sz w:val="16"/>
                <w:szCs w:val="16"/>
                <w:b w:val="1"/>
                <w:bCs w:val="1"/>
                <w:color w:val="auto"/>
              </w:rPr>
              <w:t>£’000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Turnover and gross profit</w:t>
            </w:r>
          </w:p>
        </w:tc>
        <w:tc>
          <w:tcPr>
            <w:tcW w:w="26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3</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93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80" w:type="dxa"/>
            <w:vAlign w:val="bottom"/>
            <w:gridSpan w:val="2"/>
          </w:tcPr>
          <w:p>
            <w:pPr>
              <w:spacing w:after="0" w:line="182" w:lineRule="exact"/>
              <w:rPr>
                <w:sz w:val="20"/>
                <w:szCs w:val="20"/>
                <w:color w:val="auto"/>
              </w:rPr>
            </w:pPr>
            <w:r>
              <w:rPr>
                <w:rFonts w:ascii="Arial" w:cs="Arial" w:eastAsia="Arial" w:hAnsi="Arial"/>
                <w:sz w:val="17"/>
                <w:szCs w:val="17"/>
                <w:color w:val="auto"/>
              </w:rPr>
              <w:t>Research and development costs</w:t>
            </w:r>
          </w:p>
        </w:tc>
        <w:tc>
          <w:tcPr>
            <w:tcW w:w="2680" w:type="dxa"/>
            <w:vAlign w:val="bottom"/>
          </w:tcPr>
          <w:p>
            <w:pPr>
              <w:spacing w:after="0"/>
              <w:rPr>
                <w:sz w:val="15"/>
                <w:szCs w:val="15"/>
                <w:color w:val="auto"/>
              </w:rPr>
            </w:pPr>
          </w:p>
        </w:tc>
        <w:tc>
          <w:tcPr>
            <w:tcW w:w="960" w:type="dxa"/>
            <w:vAlign w:val="bottom"/>
          </w:tcPr>
          <w:p>
            <w:pPr>
              <w:jc w:val="right"/>
              <w:ind w:right="175"/>
              <w:spacing w:after="0" w:line="182" w:lineRule="exact"/>
              <w:rPr>
                <w:sz w:val="20"/>
                <w:szCs w:val="20"/>
                <w:color w:val="auto"/>
              </w:rPr>
            </w:pPr>
            <w:r>
              <w:rPr>
                <w:rFonts w:ascii="Arial" w:cs="Arial" w:eastAsia="Arial" w:hAnsi="Arial"/>
                <w:sz w:val="17"/>
                <w:szCs w:val="17"/>
                <w:color w:val="auto"/>
              </w:rPr>
              <w:t>10,337</w:t>
            </w:r>
          </w:p>
        </w:tc>
        <w:tc>
          <w:tcPr>
            <w:tcW w:w="820" w:type="dxa"/>
            <w:vAlign w:val="bottom"/>
          </w:tcPr>
          <w:p>
            <w:pPr>
              <w:jc w:val="right"/>
              <w:spacing w:after="0" w:line="182" w:lineRule="exact"/>
              <w:rPr>
                <w:sz w:val="20"/>
                <w:szCs w:val="20"/>
                <w:color w:val="auto"/>
              </w:rPr>
            </w:pPr>
            <w:r>
              <w:rPr>
                <w:rFonts w:ascii="Arial" w:cs="Arial" w:eastAsia="Arial" w:hAnsi="Arial"/>
                <w:sz w:val="17"/>
                <w:szCs w:val="17"/>
                <w:color w:val="auto"/>
              </w:rPr>
              <w:t>9,601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Other costs</w:t>
            </w:r>
          </w:p>
        </w:tc>
        <w:tc>
          <w:tcPr>
            <w:tcW w:w="26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80" w:type="dxa"/>
            <w:vAlign w:val="bottom"/>
            <w:gridSpan w:val="2"/>
          </w:tcPr>
          <w:p>
            <w:pPr>
              <w:spacing w:after="0"/>
              <w:rPr>
                <w:sz w:val="20"/>
                <w:szCs w:val="20"/>
                <w:color w:val="auto"/>
              </w:rPr>
            </w:pPr>
            <w:r>
              <w:rPr>
                <w:rFonts w:ascii="Arial" w:cs="Arial" w:eastAsia="Arial" w:hAnsi="Arial"/>
                <w:sz w:val="17"/>
                <w:szCs w:val="17"/>
                <w:color w:val="auto"/>
              </w:rPr>
              <w:t>Total administrative expenses</w:t>
            </w:r>
          </w:p>
        </w:tc>
        <w:tc>
          <w:tcPr>
            <w:tcW w:w="2680" w:type="dxa"/>
            <w:vAlign w:val="bottom"/>
          </w:tcPr>
          <w:p>
            <w:pPr>
              <w:spacing w:after="0"/>
              <w:rPr>
                <w:sz w:val="16"/>
                <w:szCs w:val="16"/>
                <w:color w:val="auto"/>
              </w:rPr>
            </w:pPr>
          </w:p>
        </w:tc>
        <w:tc>
          <w:tcPr>
            <w:tcW w:w="960" w:type="dxa"/>
            <w:vAlign w:val="bottom"/>
            <w:tcBorders>
              <w:bottom w:val="single" w:sz="8" w:color="000003"/>
            </w:tcBorders>
          </w:tcPr>
          <w:p>
            <w:pPr>
              <w:jc w:val="right"/>
              <w:ind w:right="175"/>
              <w:spacing w:after="0"/>
              <w:rPr>
                <w:sz w:val="20"/>
                <w:szCs w:val="20"/>
                <w:color w:val="auto"/>
              </w:rPr>
            </w:pPr>
            <w:r>
              <w:rPr>
                <w:rFonts w:ascii="Arial" w:cs="Arial" w:eastAsia="Arial" w:hAnsi="Arial"/>
                <w:sz w:val="17"/>
                <w:szCs w:val="17"/>
                <w:color w:val="auto"/>
              </w:rPr>
              <w:t>11,137</w:t>
            </w:r>
          </w:p>
        </w:tc>
        <w:tc>
          <w:tcPr>
            <w:tcW w:w="82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10,549</w:t>
            </w:r>
          </w:p>
        </w:tc>
        <w:tc>
          <w:tcPr>
            <w:tcW w:w="80" w:type="dxa"/>
            <w:vAlign w:val="bottom"/>
            <w:tcBorders>
              <w:bottom w:val="single" w:sz="8" w:color="000003"/>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Operating loss</w:t>
            </w:r>
          </w:p>
        </w:tc>
        <w:tc>
          <w:tcPr>
            <w:tcW w:w="26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(11,044)</w:t>
            </w: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Interest receivable</w:t>
            </w:r>
          </w:p>
        </w:tc>
        <w:tc>
          <w:tcPr>
            <w:tcW w:w="2680" w:type="dxa"/>
            <w:vAlign w:val="bottom"/>
          </w:tcPr>
          <w:p>
            <w:pPr>
              <w:jc w:val="right"/>
              <w:ind w:right="294"/>
              <w:spacing w:after="0"/>
              <w:rPr>
                <w:sz w:val="20"/>
                <w:szCs w:val="20"/>
                <w:color w:val="auto"/>
              </w:rPr>
            </w:pPr>
            <w:r>
              <w:rPr>
                <w:rFonts w:ascii="Arial" w:cs="Arial" w:eastAsia="Arial" w:hAnsi="Arial"/>
                <w:sz w:val="17"/>
                <w:szCs w:val="17"/>
                <w:color w:val="auto"/>
              </w:rPr>
              <w:t>5</w:t>
            </w:r>
          </w:p>
        </w:tc>
        <w:tc>
          <w:tcPr>
            <w:tcW w:w="960" w:type="dxa"/>
            <w:vAlign w:val="bottom"/>
            <w:tcBorders>
              <w:bottom w:val="single" w:sz="8" w:color="000003"/>
            </w:tcBorders>
          </w:tcPr>
          <w:p>
            <w:pPr>
              <w:jc w:val="right"/>
              <w:ind w:right="175"/>
              <w:spacing w:after="0"/>
              <w:rPr>
                <w:sz w:val="20"/>
                <w:szCs w:val="20"/>
                <w:color w:val="auto"/>
              </w:rPr>
            </w:pPr>
            <w:r>
              <w:rPr>
                <w:rFonts w:ascii="Arial" w:cs="Arial" w:eastAsia="Arial" w:hAnsi="Arial"/>
                <w:sz w:val="17"/>
                <w:szCs w:val="17"/>
                <w:color w:val="auto"/>
              </w:rPr>
              <w:t>144</w:t>
            </w:r>
          </w:p>
        </w:tc>
        <w:tc>
          <w:tcPr>
            <w:tcW w:w="82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131</w:t>
            </w:r>
          </w:p>
        </w:tc>
        <w:tc>
          <w:tcPr>
            <w:tcW w:w="80" w:type="dxa"/>
            <w:vAlign w:val="bottom"/>
            <w:tcBorders>
              <w:bottom w:val="single" w:sz="8" w:color="000003"/>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Loss on ordinary activities before taxation</w:t>
            </w:r>
          </w:p>
        </w:tc>
        <w:tc>
          <w:tcPr>
            <w:tcW w:w="2680" w:type="dxa"/>
            <w:vAlign w:val="bottom"/>
            <w:shd w:val="clear" w:color="auto" w:fill="CCEEFF"/>
          </w:tcPr>
          <w:p>
            <w:pPr>
              <w:jc w:val="right"/>
              <w:ind w:right="294"/>
              <w:spacing w:after="0" w:line="189" w:lineRule="exact"/>
              <w:rPr>
                <w:sz w:val="20"/>
                <w:szCs w:val="20"/>
                <w:color w:val="auto"/>
              </w:rPr>
            </w:pPr>
            <w:r>
              <w:rPr>
                <w:rFonts w:ascii="Arial" w:cs="Arial" w:eastAsia="Arial" w:hAnsi="Arial"/>
                <w:sz w:val="17"/>
                <w:szCs w:val="17"/>
                <w:color w:val="auto"/>
              </w:rPr>
              <w:t>3</w:t>
            </w:r>
          </w:p>
        </w:tc>
        <w:tc>
          <w:tcPr>
            <w:tcW w:w="9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(10,900)</w:t>
            </w: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Taxation on loss on ordinary activities</w:t>
            </w:r>
          </w:p>
        </w:tc>
        <w:tc>
          <w:tcPr>
            <w:tcW w:w="2680" w:type="dxa"/>
            <w:vAlign w:val="bottom"/>
          </w:tcPr>
          <w:p>
            <w:pPr>
              <w:jc w:val="right"/>
              <w:ind w:right="294"/>
              <w:spacing w:after="0"/>
              <w:rPr>
                <w:sz w:val="20"/>
                <w:szCs w:val="20"/>
                <w:color w:val="auto"/>
              </w:rPr>
            </w:pPr>
            <w:r>
              <w:rPr>
                <w:rFonts w:ascii="Arial" w:cs="Arial" w:eastAsia="Arial" w:hAnsi="Arial"/>
                <w:sz w:val="17"/>
                <w:szCs w:val="17"/>
                <w:color w:val="auto"/>
              </w:rPr>
              <w:t>7</w:t>
            </w:r>
          </w:p>
        </w:tc>
        <w:tc>
          <w:tcPr>
            <w:tcW w:w="960" w:type="dxa"/>
            <w:vAlign w:val="bottom"/>
            <w:tcBorders>
              <w:bottom w:val="single" w:sz="8" w:color="000003"/>
            </w:tcBorders>
          </w:tcPr>
          <w:p>
            <w:pPr>
              <w:jc w:val="right"/>
              <w:ind w:right="175"/>
              <w:spacing w:after="0"/>
              <w:rPr>
                <w:sz w:val="20"/>
                <w:szCs w:val="20"/>
                <w:color w:val="auto"/>
              </w:rPr>
            </w:pPr>
            <w:r>
              <w:rPr>
                <w:rFonts w:ascii="Arial" w:cs="Arial" w:eastAsia="Arial" w:hAnsi="Arial"/>
                <w:sz w:val="17"/>
                <w:szCs w:val="17"/>
                <w:color w:val="auto"/>
              </w:rPr>
              <w:t>1,173</w:t>
            </w:r>
          </w:p>
        </w:tc>
        <w:tc>
          <w:tcPr>
            <w:tcW w:w="82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1,256</w:t>
            </w:r>
          </w:p>
        </w:tc>
        <w:tc>
          <w:tcPr>
            <w:tcW w:w="80" w:type="dxa"/>
            <w:vAlign w:val="bottom"/>
            <w:tcBorders>
              <w:bottom w:val="single" w:sz="8" w:color="000003"/>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Loss for the financial year</w:t>
            </w:r>
          </w:p>
        </w:tc>
        <w:tc>
          <w:tcPr>
            <w:tcW w:w="2680" w:type="dxa"/>
            <w:vAlign w:val="bottom"/>
            <w:shd w:val="clear" w:color="auto" w:fill="CCEEFF"/>
          </w:tcPr>
          <w:p>
            <w:pPr>
              <w:jc w:val="right"/>
              <w:ind w:right="294"/>
              <w:spacing w:after="0" w:line="189" w:lineRule="exact"/>
              <w:rPr>
                <w:sz w:val="20"/>
                <w:szCs w:val="20"/>
                <w:color w:val="auto"/>
              </w:rPr>
            </w:pPr>
            <w:r>
              <w:rPr>
                <w:rFonts w:ascii="Arial" w:cs="Arial" w:eastAsia="Arial" w:hAnsi="Arial"/>
                <w:sz w:val="17"/>
                <w:szCs w:val="17"/>
                <w:color w:val="auto"/>
              </w:rPr>
              <w:t>9</w:t>
            </w:r>
          </w:p>
        </w:tc>
        <w:tc>
          <w:tcPr>
            <w:tcW w:w="96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(9,727)</w:t>
            </w: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(9,120)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60" w:type="dxa"/>
            <w:vAlign w:val="bottom"/>
            <w:tcBorders>
              <w:bottom w:val="single" w:sz="8" w:color="000003"/>
            </w:tcBorders>
          </w:tcPr>
          <w:p>
            <w:pPr>
              <w:spacing w:after="0" w:line="20" w:lineRule="exact"/>
              <w:rPr>
                <w:sz w:val="1"/>
                <w:szCs w:val="1"/>
                <w:color w:val="auto"/>
              </w:rPr>
            </w:pPr>
          </w:p>
        </w:tc>
        <w:tc>
          <w:tcPr>
            <w:tcW w:w="82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All results are in respect of continuing operations. There were no recognised gains and losses other than for the loss for the year of £9,120,000 (2003: £9,727,000).</w:t>
      </w:r>
    </w:p>
    <w:p>
      <w:pPr>
        <w:spacing w:after="0" w:line="90"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A summary of the significant adjustments to loss for the financial year that would be required had United States generally accepted accounting principles been applied instead of those generally accepted in the United Kingdom, is set out in Note 17 of Notes to the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this profit and loss account.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1215" w:right="10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28"/>
          <w:szCs w:val="28"/>
          <w:b w:val="1"/>
          <w:bCs w:val="1"/>
          <w:color w:val="auto"/>
        </w:rPr>
        <w:t>Emergent Product Development UK Limited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Statement of cash flows</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5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For the year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0" w:type="dxa"/>
            <w:vAlign w:val="bottom"/>
            <w:tcBorders>
              <w:top w:val="single" w:sz="8" w:color="auto"/>
            </w:tcBorders>
          </w:tcPr>
          <w:p>
            <w:pPr>
              <w:jc w:val="right"/>
              <w:ind w:right="236"/>
              <w:spacing w:after="0" w:line="158" w:lineRule="exact"/>
              <w:rPr>
                <w:sz w:val="20"/>
                <w:szCs w:val="20"/>
                <w:color w:val="auto"/>
              </w:rPr>
            </w:pPr>
            <w:r>
              <w:rPr>
                <w:rFonts w:ascii="Arial" w:cs="Arial" w:eastAsia="Arial" w:hAnsi="Arial"/>
                <w:sz w:val="16"/>
                <w:szCs w:val="16"/>
                <w:b w:val="1"/>
                <w:bCs w:val="1"/>
                <w:color w:val="auto"/>
              </w:rPr>
              <w:t>2003</w:t>
            </w:r>
          </w:p>
        </w:tc>
        <w:tc>
          <w:tcPr>
            <w:tcW w:w="760" w:type="dxa"/>
            <w:vAlign w:val="bottom"/>
            <w:tcBorders>
              <w:top w:val="single" w:sz="8" w:color="auto"/>
            </w:tcBorders>
          </w:tcPr>
          <w:p>
            <w:pPr>
              <w:jc w:val="right"/>
              <w:spacing w:after="0" w:line="158"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500" w:type="dxa"/>
            <w:vAlign w:val="bottom"/>
          </w:tcPr>
          <w:p>
            <w:pPr>
              <w:jc w:val="right"/>
              <w:ind w:right="294"/>
              <w:spacing w:after="0"/>
              <w:rPr>
                <w:sz w:val="20"/>
                <w:szCs w:val="20"/>
                <w:color w:val="auto"/>
              </w:rPr>
            </w:pPr>
            <w:r>
              <w:rPr>
                <w:rFonts w:ascii="Arial" w:cs="Arial" w:eastAsia="Arial" w:hAnsi="Arial"/>
                <w:sz w:val="16"/>
                <w:szCs w:val="16"/>
                <w:b w:val="1"/>
                <w:bCs w:val="1"/>
                <w:color w:val="auto"/>
              </w:rPr>
              <w:t>Notes</w:t>
            </w:r>
          </w:p>
        </w:tc>
        <w:tc>
          <w:tcPr>
            <w:tcW w:w="1000" w:type="dxa"/>
            <w:vAlign w:val="bottom"/>
          </w:tcPr>
          <w:p>
            <w:pPr>
              <w:jc w:val="right"/>
              <w:ind w:right="236"/>
              <w:spacing w:after="0"/>
              <w:rPr>
                <w:sz w:val="20"/>
                <w:szCs w:val="20"/>
                <w:color w:val="auto"/>
              </w:rPr>
            </w:pPr>
            <w:r>
              <w:rPr>
                <w:rFonts w:ascii="Arial" w:cs="Arial" w:eastAsia="Arial" w:hAnsi="Arial"/>
                <w:sz w:val="16"/>
                <w:szCs w:val="16"/>
                <w:b w:val="1"/>
                <w:bCs w:val="1"/>
                <w:color w:val="auto"/>
              </w:rPr>
              <w:t>£’000</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cash outflow from operating activities</w:t>
            </w:r>
          </w:p>
        </w:tc>
        <w:tc>
          <w:tcPr>
            <w:tcW w:w="1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10</w:t>
            </w: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(11,111)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7"/>
                <w:szCs w:val="17"/>
                <w:color w:val="auto"/>
              </w:rPr>
              <w:t>Returns on investments and servicing of finance</w:t>
            </w:r>
          </w:p>
        </w:tc>
        <w:tc>
          <w:tcPr>
            <w:tcW w:w="1500" w:type="dxa"/>
            <w:vAlign w:val="bottom"/>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tcPr>
          <w:p>
            <w:pPr>
              <w:jc w:val="right"/>
              <w:ind w:right="236"/>
              <w:spacing w:after="0"/>
              <w:rPr>
                <w:sz w:val="20"/>
                <w:szCs w:val="20"/>
                <w:color w:val="auto"/>
              </w:rPr>
            </w:pPr>
            <w:r>
              <w:rPr>
                <w:rFonts w:ascii="Arial" w:cs="Arial" w:eastAsia="Arial" w:hAnsi="Arial"/>
                <w:sz w:val="17"/>
                <w:szCs w:val="17"/>
                <w:color w:val="auto"/>
              </w:rPr>
              <w:t>144</w:t>
            </w:r>
          </w:p>
        </w:tc>
        <w:tc>
          <w:tcPr>
            <w:tcW w:w="76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Taxation</w:t>
            </w:r>
          </w:p>
        </w:tc>
        <w:tc>
          <w:tcPr>
            <w:tcW w:w="1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949</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7"/>
                <w:szCs w:val="17"/>
                <w:color w:val="auto"/>
              </w:rPr>
              <w:t>Capital expenditure and financial investment</w:t>
            </w:r>
          </w:p>
        </w:tc>
        <w:tc>
          <w:tcPr>
            <w:tcW w:w="1500" w:type="dxa"/>
            <w:vAlign w:val="bottom"/>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(244)</w:t>
            </w: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cash outflow before management of liquid resources and financing</w:t>
            </w: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(10,262)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7"/>
                <w:szCs w:val="17"/>
                <w:color w:val="auto"/>
              </w:rPr>
              <w:t>Management of liquid resources</w:t>
            </w:r>
          </w:p>
        </w:tc>
        <w:tc>
          <w:tcPr>
            <w:tcW w:w="1500" w:type="dxa"/>
            <w:vAlign w:val="bottom"/>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tcPr>
          <w:p>
            <w:pPr>
              <w:jc w:val="right"/>
              <w:ind w:right="176"/>
              <w:spacing w:after="0"/>
              <w:rPr>
                <w:sz w:val="20"/>
                <w:szCs w:val="20"/>
                <w:color w:val="auto"/>
              </w:rPr>
            </w:pPr>
            <w:r>
              <w:rPr>
                <w:rFonts w:ascii="Arial" w:cs="Arial" w:eastAsia="Arial" w:hAnsi="Arial"/>
                <w:sz w:val="17"/>
                <w:szCs w:val="17"/>
                <w:color w:val="auto"/>
              </w:rPr>
              <w:t>(3,200)</w:t>
            </w:r>
          </w:p>
        </w:tc>
        <w:tc>
          <w:tcPr>
            <w:tcW w:w="76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Financing</w:t>
            </w:r>
          </w:p>
        </w:tc>
        <w:tc>
          <w:tcPr>
            <w:tcW w:w="150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11</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6,000</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Decrease in cash</w:t>
            </w:r>
          </w:p>
        </w:tc>
        <w:tc>
          <w:tcPr>
            <w:tcW w:w="15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gridSpan w:val="2"/>
            <w:vMerge w:val="continue"/>
          </w:tcPr>
          <w:p>
            <w:pPr>
              <w:spacing w:after="0"/>
              <w:rPr>
                <w:sz w:val="18"/>
                <w:szCs w:val="18"/>
                <w:color w:val="auto"/>
              </w:rPr>
            </w:pPr>
          </w:p>
        </w:tc>
        <w:tc>
          <w:tcPr>
            <w:tcW w:w="1500" w:type="dxa"/>
            <w:vAlign w:val="bottom"/>
          </w:tcPr>
          <w:p>
            <w:pPr>
              <w:jc w:val="right"/>
              <w:ind w:right="294"/>
              <w:spacing w:after="0"/>
              <w:rPr>
                <w:sz w:val="20"/>
                <w:szCs w:val="20"/>
                <w:color w:val="auto"/>
              </w:rPr>
            </w:pPr>
            <w:r>
              <w:rPr>
                <w:rFonts w:ascii="Arial" w:cs="Arial" w:eastAsia="Arial" w:hAnsi="Arial"/>
                <w:sz w:val="17"/>
                <w:szCs w:val="17"/>
                <w:color w:val="auto"/>
              </w:rPr>
              <w:t>12</w:t>
            </w:r>
          </w:p>
        </w:tc>
        <w:tc>
          <w:tcPr>
            <w:tcW w:w="1000" w:type="dxa"/>
            <w:vAlign w:val="bottom"/>
            <w:tcBorders>
              <w:bottom w:val="single" w:sz="8" w:color="000003"/>
            </w:tcBorders>
          </w:tcPr>
          <w:p>
            <w:pPr>
              <w:jc w:val="right"/>
              <w:ind w:right="176"/>
              <w:spacing w:after="0"/>
              <w:rPr>
                <w:sz w:val="20"/>
                <w:szCs w:val="20"/>
                <w:color w:val="auto"/>
              </w:rPr>
            </w:pPr>
            <w:r>
              <w:rPr>
                <w:rFonts w:ascii="Arial" w:cs="Arial" w:eastAsia="Arial" w:hAnsi="Arial"/>
                <w:sz w:val="17"/>
                <w:szCs w:val="17"/>
                <w:color w:val="auto"/>
              </w:rPr>
              <w:t>(7,462)</w:t>
            </w:r>
          </w:p>
        </w:tc>
        <w:tc>
          <w:tcPr>
            <w:tcW w:w="840" w:type="dxa"/>
            <w:vAlign w:val="bottom"/>
            <w:tcBorders>
              <w:bottom w:val="single" w:sz="8" w:color="000003"/>
            </w:tcBorders>
            <w:gridSpan w:val="2"/>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Borders>
              <w:bottom w:val="single" w:sz="8" w:color="000003"/>
            </w:tcBorders>
          </w:tcPr>
          <w:p>
            <w:pPr>
              <w:spacing w:after="0" w:line="20" w:lineRule="exact"/>
              <w:rPr>
                <w:sz w:val="1"/>
                <w:szCs w:val="1"/>
                <w:color w:val="auto"/>
              </w:rPr>
            </w:pPr>
          </w:p>
        </w:tc>
        <w:tc>
          <w:tcPr>
            <w:tcW w:w="760" w:type="dxa"/>
            <w:vAlign w:val="bottom"/>
            <w:tcBorders>
              <w:bottom w:val="single" w:sz="8" w:color="000003"/>
            </w:tcBorders>
          </w:tcPr>
          <w:p>
            <w:pPr>
              <w:spacing w:after="0" w:line="20" w:lineRule="exact"/>
              <w:rPr>
                <w:sz w:val="1"/>
                <w:szCs w:val="1"/>
                <w:color w:val="auto"/>
              </w:rPr>
            </w:pPr>
          </w:p>
        </w:tc>
        <w:tc>
          <w:tcPr>
            <w:tcW w:w="80" w:type="dxa"/>
            <w:vAlign w:val="bottom"/>
            <w:tcBorders>
              <w:bottom w:val="single" w:sz="8" w:color="000003"/>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The significant differences between the statement of cash flows presented above and that required under United States generally accepted accounting principles are described in Note 17 of Notes to the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this statement of cash flows.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1254" w:right="103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28"/>
          <w:szCs w:val="28"/>
          <w:b w:val="1"/>
          <w:bCs w:val="1"/>
          <w:color w:val="auto"/>
        </w:rPr>
        <w:t>Emergent Product Development UK Limited</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Notes to the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Accounting policies</w:t>
      </w:r>
    </w:p>
    <w:p>
      <w:pPr>
        <w:spacing w:after="0" w:line="144"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The company’s principal activity is the research and development of novel vaccines to combat infectious diseases. The company’s scientific platforms offer the potential both to identify genes implicated in causing infectious diseases and to target and develop novel vaccines and anti-microbial compounds for those diseases.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convention</w:t>
      </w:r>
    </w:p>
    <w:p>
      <w:pPr>
        <w:spacing w:after="0" w:line="141"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financial statements are prepared under the historical cost convention and in accordance with United Kingdom accounting standards.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Group reorganisation</w:t>
      </w:r>
    </w:p>
    <w:p>
      <w:pPr>
        <w:spacing w:after="0" w:line="141"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On June 4, 2004, Microscience Investments Limited (formerly Microscience Holdings plc) acquired 100% of the entire share capital (and all of the voting rights) of Emergent Product Development UK Limited (formerly Microscience Limited) in an exchange of shares, which resulted in the former shareholders of Emergent Product Development UK Limited holding the same proportion of the issued share capital of Microscience Investments Limited as they had held in Emergent Product Development UK Limited.</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preparing the financial statements — going concern</w:t>
      </w:r>
    </w:p>
    <w:p>
      <w:pPr>
        <w:spacing w:after="0" w:line="141" w:lineRule="exact"/>
        <w:rPr>
          <w:sz w:val="20"/>
          <w:szCs w:val="20"/>
          <w:color w:val="auto"/>
        </w:rPr>
      </w:pPr>
    </w:p>
    <w:p>
      <w:pPr>
        <w:ind w:right="400"/>
        <w:spacing w:after="0" w:line="250" w:lineRule="auto"/>
        <w:rPr>
          <w:sz w:val="20"/>
          <w:szCs w:val="20"/>
          <w:color w:val="auto"/>
        </w:rPr>
      </w:pPr>
      <w:r>
        <w:rPr>
          <w:rFonts w:ascii="Arial" w:cs="Arial" w:eastAsia="Arial" w:hAnsi="Arial"/>
          <w:sz w:val="17"/>
          <w:szCs w:val="17"/>
          <w:color w:val="auto"/>
        </w:rPr>
        <w:t>The financial statements have been prepared on a going concern basis, which assumes that the company will continue in operational existence for the foreseeable future. During the year ended December 31, 2004, the company incurred a loss of £9,120,000 (2003: loss £9,727,000).</w:t>
      </w:r>
    </w:p>
    <w:p>
      <w:pPr>
        <w:spacing w:after="0" w:line="96"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The validity of the going concern assumption depends on continued financial support from the ultimate parent company, Microscience Investments Limited, up to June 23, 2005, and from Emergent BioSolutions Inc. from June 24, 2005.</w:t>
      </w:r>
    </w:p>
    <w:p>
      <w:pPr>
        <w:spacing w:after="0" w:line="90"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To fund its continued trading since December 31, 2004, the company obtained working capital funding from Microscience Investments Limited until June 23, 2005. On June 24, 2005, the entire working capital funding balance of £3,281,000 with Microscience Investments Limited was repaid via the issue of 5,553,603 ordinary shares of 5p each. On the same date, the entire share capital of the company was acquired by Emergent Europe Inc., a wholly owned subsidiary of Emergent BioSolutions Inc. Since that date, the company has obtained working capital funding from Emergent BioSolutions Inc., together with confirmation that adequate funding will be made available to enable the company to discharge its liabilities as they fall due. With this support in place, the directors believe that it is appropriate for the financial statements to be prepared on a going concern basis.</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parties transactions</w:t>
      </w:r>
    </w:p>
    <w:p>
      <w:pPr>
        <w:spacing w:after="0" w:line="14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 was a wholly owned subsidiary of Microscience Investments Limited until June 23, 2005, the consolidated financial statements of which are publicly available for the two years ended December 31, 2004. Accordingly, the company has taken advantage of the exemption in FRS 8 from disclosing transactions with members or investees of the Microscience group.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Revenues are earned from collaborative research agreements and licence fee agreements. Licence fees are recognised up-front where the fee is non-refundable and there are no ongoing obligations. Milestone payments under collaborative research agreements are recognised as revenue when earned, as evidenced by achievement of the specified milestones and the absence of ongoing performance obligations. Any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sectPr>
      </w:pPr>
    </w:p>
    <w:bookmarkStart w:id="220" w:name="page221"/>
    <w:bookmarkEnd w:id="220"/>
    <w:p>
      <w:pPr>
        <w:ind w:right="240"/>
        <w:spacing w:after="0" w:line="258" w:lineRule="auto"/>
        <w:rPr>
          <w:sz w:val="20"/>
          <w:szCs w:val="20"/>
          <w:color w:val="auto"/>
        </w:rPr>
      </w:pPr>
      <w:r>
        <w:rPr>
          <w:rFonts w:ascii="Arial" w:cs="Arial" w:eastAsia="Arial" w:hAnsi="Arial"/>
          <w:sz w:val="17"/>
          <w:szCs w:val="17"/>
          <w:color w:val="auto"/>
        </w:rPr>
        <w:t>amounts received in advance of performance are recorded as deferred revenue. None of the revenues recognised to date are refundable if the relevant research effort is not successful.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Tangible fixed assets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All fixed assets are initially recorded at cost.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Depreciation</w:t>
      </w:r>
    </w:p>
    <w:p>
      <w:pPr>
        <w:spacing w:after="0" w:line="141"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Depreciation is provided on all tangible fixed assets, at rates calculated to write off the cost or valuation, less estimated residual value based on prices prevailing at the date of acquisition or revaluation, of each asset evenly over its expected useful life, as follows:</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39"/>
        </w:trPr>
        <w:tc>
          <w:tcPr>
            <w:tcW w:w="160" w:type="dxa"/>
            <w:vAlign w:val="bottom"/>
            <w:shd w:val="clear" w:color="auto" w:fill="CCEEFF"/>
          </w:tcPr>
          <w:p>
            <w:pPr>
              <w:spacing w:after="0"/>
              <w:rPr>
                <w:sz w:val="3"/>
                <w:szCs w:val="3"/>
                <w:color w:val="auto"/>
              </w:rPr>
            </w:pPr>
          </w:p>
        </w:tc>
        <w:tc>
          <w:tcPr>
            <w:tcW w:w="4440" w:type="dxa"/>
            <w:vAlign w:val="bottom"/>
            <w:shd w:val="clear" w:color="auto" w:fill="000000"/>
          </w:tcPr>
          <w:p>
            <w:pPr>
              <w:spacing w:after="0"/>
              <w:rPr>
                <w:sz w:val="3"/>
                <w:szCs w:val="3"/>
                <w:color w:val="auto"/>
              </w:rPr>
            </w:pPr>
          </w:p>
        </w:tc>
        <w:tc>
          <w:tcPr>
            <w:tcW w:w="5320" w:type="dxa"/>
            <w:vAlign w:val="bottom"/>
            <w:shd w:val="clear" w:color="auto" w:fill="000000"/>
          </w:tcPr>
          <w:p>
            <w:pPr>
              <w:spacing w:after="0"/>
              <w:rPr>
                <w:sz w:val="3"/>
                <w:szCs w:val="3"/>
                <w:color w:val="auto"/>
              </w:rPr>
            </w:pPr>
          </w:p>
        </w:tc>
      </w:tr>
      <w:tr>
        <w:trPr>
          <w:trHeight w:val="196"/>
        </w:trPr>
        <w:tc>
          <w:tcPr>
            <w:tcW w:w="4600" w:type="dxa"/>
            <w:vAlign w:val="bottom"/>
            <w:gridSpan w:val="2"/>
          </w:tcPr>
          <w:p>
            <w:pPr>
              <w:spacing w:after="0"/>
              <w:rPr>
                <w:sz w:val="20"/>
                <w:szCs w:val="20"/>
                <w:color w:val="auto"/>
              </w:rPr>
            </w:pPr>
            <w:r>
              <w:rPr>
                <w:rFonts w:ascii="Arial" w:cs="Arial" w:eastAsia="Arial" w:hAnsi="Arial"/>
                <w:sz w:val="17"/>
                <w:szCs w:val="17"/>
                <w:color w:val="auto"/>
              </w:rPr>
              <w:t>Computers and office fixtures and fittings</w:t>
            </w:r>
          </w:p>
        </w:tc>
        <w:tc>
          <w:tcPr>
            <w:tcW w:w="5320" w:type="dxa"/>
            <w:vAlign w:val="bottom"/>
          </w:tcPr>
          <w:p>
            <w:pPr>
              <w:ind w:left="960"/>
              <w:spacing w:after="0"/>
              <w:rPr>
                <w:sz w:val="20"/>
                <w:szCs w:val="20"/>
                <w:color w:val="auto"/>
              </w:rPr>
            </w:pPr>
            <w:r>
              <w:rPr>
                <w:rFonts w:ascii="Arial" w:cs="Arial" w:eastAsia="Arial" w:hAnsi="Arial"/>
                <w:sz w:val="17"/>
                <w:szCs w:val="17"/>
                <w:color w:val="auto"/>
              </w:rPr>
              <w:t>Over 3-5 years</w:t>
            </w:r>
          </w:p>
        </w:tc>
      </w:tr>
      <w:tr>
        <w:trPr>
          <w:trHeight w:val="196"/>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fixtures and fittings</w:t>
            </w:r>
          </w:p>
        </w:tc>
        <w:tc>
          <w:tcPr>
            <w:tcW w:w="53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Over 5 years</w:t>
            </w:r>
          </w:p>
        </w:tc>
      </w:tr>
      <w:tr>
        <w:trPr>
          <w:trHeight w:val="196"/>
        </w:trPr>
        <w:tc>
          <w:tcPr>
            <w:tcW w:w="460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5320" w:type="dxa"/>
            <w:vAlign w:val="bottom"/>
          </w:tcPr>
          <w:p>
            <w:pPr>
              <w:ind w:left="960"/>
              <w:spacing w:after="0"/>
              <w:rPr>
                <w:sz w:val="20"/>
                <w:szCs w:val="20"/>
                <w:color w:val="auto"/>
              </w:rPr>
            </w:pPr>
            <w:r>
              <w:rPr>
                <w:rFonts w:ascii="Arial" w:cs="Arial" w:eastAsia="Arial" w:hAnsi="Arial"/>
                <w:sz w:val="17"/>
                <w:szCs w:val="17"/>
                <w:color w:val="auto"/>
              </w:rPr>
              <w:t>Over the remaining term of the lease or the</w:t>
            </w:r>
          </w:p>
        </w:tc>
      </w:tr>
      <w:tr>
        <w:trPr>
          <w:trHeight w:val="210"/>
        </w:trPr>
        <w:tc>
          <w:tcPr>
            <w:tcW w:w="16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useful economic life, whichever is the shorter</w:t>
            </w:r>
          </w:p>
        </w:tc>
      </w:tr>
    </w:tbl>
    <w:p>
      <w:pPr>
        <w:spacing w:after="0" w:line="130"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The carrying values of tangible fixed assets are reviewed for impairment in periods if events or changes in circumstances indicate the carrying value may not be recoverable.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expenditure is charged to the profit and loss account as incurred.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4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Assets held under finance leases, which are leases where substantially all the risks and rewards of ownership of the asset have passed to the company, and hire purchase contracts are capitalised in the balance sheet and are depreciated over their useful lives. The capital elements of future obligations under the leases and hire purchase contracts are included as liabilities in the balance sheet.</w:t>
      </w:r>
    </w:p>
    <w:p>
      <w:pPr>
        <w:spacing w:after="0" w:line="99"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 interest elements of the rental obligations are charged in the profit and loss account over the periods of the contracts and represent a constant proportion of the balance of capital repayments outstanding.</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Rentals payable under operating leases are charged in the profit and loss account on a straight-line basis over the lease term.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Pensions</w:t>
      </w:r>
    </w:p>
    <w:p>
      <w:pPr>
        <w:spacing w:after="0" w:line="141"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The company makes contributions to personal pension plans for its employees. The contributions are charged to the profit and loss account as they become payable.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taxation</w:t>
      </w:r>
    </w:p>
    <w:p>
      <w:pPr>
        <w:spacing w:after="0" w:line="141" w:lineRule="exact"/>
        <w:rPr>
          <w:sz w:val="20"/>
          <w:szCs w:val="20"/>
          <w:color w:val="auto"/>
        </w:rPr>
      </w:pPr>
    </w:p>
    <w:p>
      <w:pPr>
        <w:ind w:right="260"/>
        <w:spacing w:after="0" w:line="250" w:lineRule="auto"/>
        <w:rPr>
          <w:sz w:val="20"/>
          <w:szCs w:val="20"/>
          <w:color w:val="auto"/>
        </w:rPr>
      </w:pPr>
      <w:r>
        <w:rPr>
          <w:rFonts w:ascii="Arial" w:cs="Arial" w:eastAsia="Arial" w:hAnsi="Arial"/>
          <w:sz w:val="17"/>
          <w:szCs w:val="17"/>
          <w:color w:val="auto"/>
        </w:rPr>
        <w:t>Deferred tax is recognised in respect of all timing differences that have originated but not reversed at the balance sheet date where transactions or events have occurred at that date that will result in an obligation to pay more, or a right to pay less or to receive more, tax, with the following exception:</w:t>
      </w:r>
    </w:p>
    <w:p>
      <w:pPr>
        <w:spacing w:after="0" w:line="96" w:lineRule="exact"/>
        <w:rPr>
          <w:sz w:val="20"/>
          <w:szCs w:val="20"/>
          <w:color w:val="auto"/>
        </w:rPr>
      </w:pPr>
    </w:p>
    <w:p>
      <w:pPr>
        <w:ind w:left="220" w:right="60" w:hanging="210"/>
        <w:spacing w:after="0" w:line="258" w:lineRule="auto"/>
        <w:tabs>
          <w:tab w:leader="none" w:pos="2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deferred tax assets are recognised only to the extent that the directors consider that it is more likely than not that there will be suitable taxable profits from which the future reversal of the underlying timing differences can be deducted.</w:t>
      </w:r>
    </w:p>
    <w:p>
      <w:pPr>
        <w:spacing w:after="0" w:line="90" w:lineRule="exact"/>
        <w:rPr>
          <w:sz w:val="20"/>
          <w:szCs w:val="20"/>
          <w:color w:val="auto"/>
        </w:rPr>
      </w:pPr>
    </w:p>
    <w:p>
      <w:pPr>
        <w:ind w:right="400"/>
        <w:spacing w:after="0" w:line="258" w:lineRule="auto"/>
        <w:rPr>
          <w:sz w:val="20"/>
          <w:szCs w:val="20"/>
          <w:color w:val="auto"/>
        </w:rPr>
      </w:pPr>
      <w:r>
        <w:rPr>
          <w:rFonts w:ascii="Arial" w:cs="Arial" w:eastAsia="Arial" w:hAnsi="Arial"/>
          <w:sz w:val="17"/>
          <w:szCs w:val="17"/>
          <w:color w:val="auto"/>
        </w:rPr>
        <w:t>Deferred tax is measured on an undiscounted basis at the tax rates that are expected to apply in the periods in which timing differences reverse, based on tax rates and laws enacted or substantively enacted at the balance sheet date.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Full provision for deferred tax is made in accordance with FRS 19.</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21" w:name="page222"/>
    <w:bookmarkEnd w:id="221"/>
    <w:p>
      <w:pPr>
        <w:spacing w:after="0"/>
        <w:rPr>
          <w:sz w:val="20"/>
          <w:szCs w:val="20"/>
          <w:color w:val="auto"/>
        </w:rPr>
      </w:pPr>
      <w:r>
        <w:rPr>
          <w:rFonts w:ascii="Arial" w:cs="Arial" w:eastAsia="Arial" w:hAnsi="Arial"/>
          <w:sz w:val="17"/>
          <w:szCs w:val="17"/>
          <w:b w:val="1"/>
          <w:bCs w:val="1"/>
          <w:color w:val="auto"/>
        </w:rPr>
        <w:t>Research and development tax credits</w:t>
      </w:r>
    </w:p>
    <w:p>
      <w:pPr>
        <w:spacing w:after="0" w:line="141"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The Finance Act 2000 allows research companies of a certain size to claim a tax credit for qualifying research expenditures. The company has claimed these credits. The relevant tax credit for the year is shown in the profit and loss account as a reduction of any taxation due.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share options</w:t>
      </w:r>
    </w:p>
    <w:p>
      <w:pPr>
        <w:spacing w:after="0" w:line="14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has granted share options to employees and, in accordance with Urgent Issues Task Force Abstract Number 17 (UITF17), records a non-cash charge to the profit and loss account for the difference between the exercise price of the option and the fair value of the underlying shares on the date of grant. The profit and loss charge is recognised over the period during which the incentive benefits of the option relate. During 2004, the company was acquired by Microscience Investments Limited and options previously granted to employees were rolled over into equivalent options over shares in the holding company. The effect of this reorganisation on options granted by the company is shown in Note 8.</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41"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color w:val="auto"/>
        </w:rPr>
        <w:t>Transactions in foreign currencies are recorded at the rate ruling at the date of the transaction. Monetary assets and liabilities denominated in foreign currencies are retranslated at the rate of exchange ruling at the balance sheet date. All differences are taken to the profit and loss account.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 arrangements</w:t>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company has entered into certain collaboration arrangements whereby the parties agree to work jointly on research and development of potential therapeutic products. Under such arrangements, the parties agree which element of research and development each will perform. These arrangements do not include the creation of any separate entity to conduct the activities nor any separate and distinct assets or liabilities. The parties agree that the combined cost of all relevant activities will be borne by the parties in a particular proportion and that net revenues derived from sales of any resulting product will be shared similarly. The sharing of costs will result in balancing payments between the parties and such payments receivable will be respectively added to or deducted from research and development costs in the profit and loss account. Any amounts receivable or payable at a period end are included in the balance sheet under debtors or creditors.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Turnover</w:t>
      </w:r>
    </w:p>
    <w:p>
      <w:pPr>
        <w:spacing w:after="0" w:line="14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Turnover, which is stated net of value added tax, represents revenues recognised from collaborative research agreements, and is generated wholly in Europe. Turnover is attributable to one business segment.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20"/>
          </w:cols>
          <w:pgMar w:left="920" w:top="903" w:right="1059" w:bottom="1440" w:gutter="0" w:footer="0" w:header="0"/>
        </w:sectPr>
      </w:pPr>
    </w:p>
    <w:bookmarkStart w:id="222" w:name="page223"/>
    <w:bookmarkEnd w:id="222"/>
    <w:p>
      <w:pPr>
        <w:ind w:left="680"/>
        <w:spacing w:after="0"/>
        <w:rPr>
          <w:sz w:val="20"/>
          <w:szCs w:val="20"/>
          <w:color w:val="auto"/>
        </w:rPr>
      </w:pPr>
      <w:r>
        <w:rPr>
          <w:rFonts w:ascii="Arial" w:cs="Arial" w:eastAsia="Arial" w:hAnsi="Arial"/>
          <w:sz w:val="21"/>
          <w:szCs w:val="21"/>
          <w:b w:val="1"/>
          <w:bCs w:val="1"/>
          <w:color w:val="auto"/>
        </w:rPr>
        <w:t>3. Loss on ordinary activities before taxation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loss on ordinary activities before taxation is stated after charging:</w:t>
      </w:r>
    </w:p>
    <w:p>
      <w:pPr>
        <w:spacing w:after="0" w:line="113"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18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2003</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61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Auditors’ remuneration — audit services</w:t>
            </w:r>
          </w:p>
        </w:tc>
        <w:tc>
          <w:tcPr>
            <w:tcW w:w="3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ind w:left="1820"/>
              <w:spacing w:after="0"/>
              <w:rPr>
                <w:sz w:val="20"/>
                <w:szCs w:val="20"/>
                <w:color w:val="auto"/>
              </w:rPr>
            </w:pPr>
            <w:r>
              <w:rPr>
                <w:rFonts w:ascii="Arial" w:cs="Arial" w:eastAsia="Arial" w:hAnsi="Arial"/>
                <w:sz w:val="17"/>
                <w:szCs w:val="17"/>
                <w:color w:val="auto"/>
              </w:rPr>
              <w:t>— non-audit services</w:t>
            </w:r>
          </w:p>
        </w:tc>
        <w:tc>
          <w:tcPr>
            <w:tcW w:w="3080" w:type="dxa"/>
            <w:vAlign w:val="bottom"/>
          </w:tcPr>
          <w:p>
            <w:pPr>
              <w:jc w:val="right"/>
              <w:ind w:right="155"/>
              <w:spacing w:after="0"/>
              <w:rPr>
                <w:sz w:val="20"/>
                <w:szCs w:val="20"/>
                <w:color w:val="auto"/>
              </w:rPr>
            </w:pPr>
            <w:r>
              <w:rPr>
                <w:rFonts w:ascii="Arial" w:cs="Arial" w:eastAsia="Arial" w:hAnsi="Arial"/>
                <w:sz w:val="17"/>
                <w:szCs w:val="17"/>
                <w:color w:val="auto"/>
              </w:rPr>
              <w:t>5</w:t>
            </w:r>
          </w:p>
        </w:tc>
        <w:tc>
          <w:tcPr>
            <w:tcW w:w="640" w:type="dxa"/>
            <w:vAlign w:val="bottom"/>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owned fixed assets</w:t>
            </w:r>
          </w:p>
        </w:tc>
        <w:tc>
          <w:tcPr>
            <w:tcW w:w="3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323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Depreciation of assets held under finance leases</w:t>
            </w:r>
          </w:p>
        </w:tc>
        <w:tc>
          <w:tcPr>
            <w:tcW w:w="3080" w:type="dxa"/>
            <w:vAlign w:val="bottom"/>
          </w:tcPr>
          <w:p>
            <w:pPr>
              <w:jc w:val="right"/>
              <w:ind w:right="155"/>
              <w:spacing w:after="0"/>
              <w:rPr>
                <w:sz w:val="20"/>
                <w:szCs w:val="20"/>
                <w:color w:val="auto"/>
              </w:rPr>
            </w:pPr>
            <w:r>
              <w:rPr>
                <w:rFonts w:ascii="Arial" w:cs="Arial" w:eastAsia="Arial" w:hAnsi="Arial"/>
                <w:sz w:val="17"/>
                <w:szCs w:val="17"/>
                <w:color w:val="auto"/>
              </w:rPr>
              <w:t>7</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Loss on disposal of fixed assets</w:t>
            </w:r>
          </w:p>
        </w:tc>
        <w:tc>
          <w:tcPr>
            <w:tcW w:w="3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spacing w:after="0"/>
              <w:rPr>
                <w:sz w:val="20"/>
                <w:szCs w:val="20"/>
                <w:color w:val="auto"/>
              </w:rPr>
            </w:pPr>
            <w:r>
              <w:rPr>
                <w:rFonts w:ascii="Arial" w:cs="Arial" w:eastAsia="Arial" w:hAnsi="Arial"/>
                <w:sz w:val="17"/>
                <w:szCs w:val="17"/>
                <w:color w:val="auto"/>
              </w:rPr>
              <w:t>Operating lease rentals — land and buildings</w:t>
            </w:r>
          </w:p>
        </w:tc>
        <w:tc>
          <w:tcPr>
            <w:tcW w:w="3080" w:type="dxa"/>
            <w:vAlign w:val="bottom"/>
          </w:tcPr>
          <w:p>
            <w:pPr>
              <w:jc w:val="right"/>
              <w:ind w:right="155"/>
              <w:spacing w:after="0"/>
              <w:rPr>
                <w:sz w:val="20"/>
                <w:szCs w:val="20"/>
                <w:color w:val="auto"/>
              </w:rPr>
            </w:pPr>
            <w:r>
              <w:rPr>
                <w:rFonts w:ascii="Arial" w:cs="Arial" w:eastAsia="Arial" w:hAnsi="Arial"/>
                <w:sz w:val="17"/>
                <w:szCs w:val="17"/>
                <w:color w:val="auto"/>
              </w:rPr>
              <w:t>256</w:t>
            </w:r>
          </w:p>
        </w:tc>
        <w:tc>
          <w:tcPr>
            <w:tcW w:w="640" w:type="dxa"/>
            <w:vAlign w:val="bottom"/>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 plant and machinery</w:t>
            </w:r>
          </w:p>
        </w:tc>
        <w:tc>
          <w:tcPr>
            <w:tcW w:w="30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80" w:right="1500"/>
        <w:spacing w:after="0" w:line="258" w:lineRule="auto"/>
        <w:rPr>
          <w:sz w:val="20"/>
          <w:szCs w:val="20"/>
          <w:color w:val="auto"/>
        </w:rPr>
      </w:pPr>
      <w:r>
        <w:rPr>
          <w:rFonts w:ascii="Arial" w:cs="Arial" w:eastAsia="Arial" w:hAnsi="Arial"/>
          <w:sz w:val="17"/>
          <w:szCs w:val="17"/>
          <w:color w:val="auto"/>
        </w:rPr>
        <w:t>For the year ended December 31, 2004, fees paid to the auditors, Ernst &amp; Young LLP, include fees for work as reporting accountants in connection with an aborted UK initial public offering.</w:t>
      </w:r>
    </w:p>
    <w:p>
      <w:pPr>
        <w:spacing w:after="0" w:line="164"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4. Exceptional items</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2003</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624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Recognised in arriving at operating loss:</w:t>
            </w:r>
          </w:p>
        </w:tc>
        <w:tc>
          <w:tcPr>
            <w:tcW w:w="3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Costs associated with aborted initial public offering</w:t>
            </w:r>
          </w:p>
        </w:tc>
        <w:tc>
          <w:tcPr>
            <w:tcW w:w="3020" w:type="dxa"/>
            <w:vAlign w:val="bottom"/>
            <w:tcBorders>
              <w:bottom w:val="single" w:sz="8" w:color="auto"/>
            </w:tcBorders>
          </w:tcPr>
          <w:p>
            <w:pPr>
              <w:jc w:val="right"/>
              <w:ind w:right="179"/>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5. Interest receivable</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220" w:type="dxa"/>
            <w:vAlign w:val="bottom"/>
            <w:tcBorders>
              <w:top w:val="single" w:sz="8" w:color="auto"/>
            </w:tcBorders>
          </w:tcPr>
          <w:p>
            <w:pPr>
              <w:spacing w:after="0"/>
              <w:rPr>
                <w:sz w:val="17"/>
                <w:szCs w:val="17"/>
                <w:color w:val="auto"/>
              </w:rPr>
            </w:pPr>
          </w:p>
        </w:tc>
        <w:tc>
          <w:tcPr>
            <w:tcW w:w="40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2003</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2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Bank interest receivable</w:t>
            </w:r>
          </w:p>
        </w:tc>
        <w:tc>
          <w:tcPr>
            <w:tcW w:w="404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144</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6. Staff costs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 average monthly number of employees (including executive directors) employed by the company during the year was: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200" w:type="dxa"/>
            <w:vAlign w:val="bottom"/>
            <w:tcBorders>
              <w:top w:val="single" w:sz="8" w:color="auto"/>
            </w:tcBorders>
          </w:tcPr>
          <w:p>
            <w:pPr>
              <w:spacing w:after="0"/>
              <w:rPr>
                <w:sz w:val="17"/>
                <w:szCs w:val="17"/>
                <w:color w:val="auto"/>
              </w:rPr>
            </w:pPr>
          </w:p>
        </w:tc>
        <w:tc>
          <w:tcPr>
            <w:tcW w:w="5020" w:type="dxa"/>
            <w:vAlign w:val="bottom"/>
            <w:tcBorders>
              <w:top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2003</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No.</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2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5020" w:type="dxa"/>
            <w:vAlign w:val="bottom"/>
            <w:gridSpan w:val="3"/>
            <w:shd w:val="clear" w:color="auto" w:fill="CCEEFF"/>
          </w:tcPr>
          <w:p>
            <w:pPr>
              <w:jc w:val="right"/>
              <w:ind w:right="199"/>
              <w:spacing w:after="0"/>
              <w:rPr>
                <w:sz w:val="20"/>
                <w:szCs w:val="20"/>
                <w:color w:val="auto"/>
              </w:rPr>
            </w:pPr>
            <w:r>
              <w:rPr>
                <w:rFonts w:ascii="Arial" w:cs="Arial" w:eastAsia="Arial" w:hAnsi="Arial"/>
                <w:sz w:val="17"/>
                <w:szCs w:val="17"/>
                <w:color w:val="auto"/>
              </w:rPr>
              <w:t>65</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Management and administration</w:t>
            </w:r>
          </w:p>
        </w:tc>
        <w:tc>
          <w:tcPr>
            <w:tcW w:w="3960" w:type="dxa"/>
            <w:vAlign w:val="bottom"/>
            <w:gridSpan w:val="2"/>
          </w:tcPr>
          <w:p>
            <w:pPr>
              <w:spacing w:after="0"/>
              <w:rPr>
                <w:sz w:val="18"/>
                <w:szCs w:val="18"/>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7"/>
                <w:szCs w:val="17"/>
                <w:color w:val="auto"/>
              </w:rPr>
              <w:t>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5020" w:type="dxa"/>
            <w:vAlign w:val="bottom"/>
            <w:gridSpan w:val="3"/>
            <w:shd w:val="clear" w:color="auto" w:fill="CCEEFF"/>
          </w:tcPr>
          <w:p>
            <w:pPr>
              <w:jc w:val="right"/>
              <w:ind w:right="199"/>
              <w:spacing w:after="0"/>
              <w:rPr>
                <w:sz w:val="20"/>
                <w:szCs w:val="20"/>
                <w:color w:val="auto"/>
              </w:rPr>
            </w:pPr>
            <w:r>
              <w:rPr>
                <w:rFonts w:ascii="Arial" w:cs="Arial" w:eastAsia="Arial" w:hAnsi="Arial"/>
                <w:sz w:val="17"/>
                <w:szCs w:val="17"/>
                <w:color w:val="auto"/>
              </w:rPr>
              <w:t>72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900" w:type="dxa"/>
            <w:vAlign w:val="bottom"/>
            <w:gridSpan w:val="2"/>
          </w:tcPr>
          <w:p>
            <w:pPr>
              <w:ind w:left="680"/>
              <w:spacing w:after="0"/>
              <w:rPr>
                <w:sz w:val="20"/>
                <w:szCs w:val="20"/>
                <w:color w:val="auto"/>
              </w:rPr>
            </w:pPr>
            <w:r>
              <w:rPr>
                <w:rFonts w:ascii="Arial" w:cs="Arial" w:eastAsia="Arial" w:hAnsi="Arial"/>
                <w:sz w:val="17"/>
                <w:szCs w:val="17"/>
                <w:color w:val="auto"/>
              </w:rPr>
              <w:t>Staff costs, including executive directors, were:</w:t>
            </w: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00" w:type="dxa"/>
            <w:vAlign w:val="bottom"/>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020" w:type="dxa"/>
            <w:vAlign w:val="bottom"/>
            <w:gridSpan w:val="3"/>
          </w:tcPr>
          <w:p>
            <w:pPr>
              <w:jc w:val="right"/>
              <w:ind w:right="419"/>
              <w:spacing w:after="0" w:line="165" w:lineRule="exact"/>
              <w:rPr>
                <w:sz w:val="20"/>
                <w:szCs w:val="20"/>
                <w:color w:val="auto"/>
              </w:rPr>
            </w:pPr>
            <w:r>
              <w:rPr>
                <w:rFonts w:ascii="Arial" w:cs="Arial" w:eastAsia="Arial" w:hAnsi="Arial"/>
                <w:sz w:val="16"/>
                <w:szCs w:val="16"/>
                <w:b w:val="1"/>
                <w:bCs w:val="1"/>
                <w:color w:val="auto"/>
              </w:rPr>
              <w:t>2003</w:t>
            </w:r>
          </w:p>
        </w:tc>
        <w:tc>
          <w:tcPr>
            <w:tcW w:w="7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2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Wages and salaries</w:t>
            </w:r>
          </w:p>
        </w:tc>
        <w:tc>
          <w:tcPr>
            <w:tcW w:w="5020" w:type="dxa"/>
            <w:vAlign w:val="bottom"/>
            <w:gridSpan w:val="3"/>
            <w:shd w:val="clear" w:color="auto" w:fill="CCEEFF"/>
          </w:tcPr>
          <w:p>
            <w:pPr>
              <w:jc w:val="right"/>
              <w:ind w:right="419"/>
              <w:spacing w:after="0"/>
              <w:rPr>
                <w:sz w:val="20"/>
                <w:szCs w:val="20"/>
                <w:color w:val="auto"/>
              </w:rPr>
            </w:pPr>
            <w:r>
              <w:rPr>
                <w:rFonts w:ascii="Arial" w:cs="Arial" w:eastAsia="Arial" w:hAnsi="Arial"/>
                <w:sz w:val="17"/>
                <w:szCs w:val="17"/>
                <w:color w:val="auto"/>
              </w:rPr>
              <w:t>2,741</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7"/>
                <w:szCs w:val="17"/>
                <w:color w:val="auto"/>
              </w:rPr>
              <w:t>Social security costs</w:t>
            </w:r>
          </w:p>
        </w:tc>
        <w:tc>
          <w:tcPr>
            <w:tcW w:w="5020" w:type="dxa"/>
            <w:vAlign w:val="bottom"/>
            <w:gridSpan w:val="3"/>
          </w:tcPr>
          <w:p>
            <w:pPr>
              <w:jc w:val="right"/>
              <w:ind w:right="419"/>
              <w:spacing w:after="0"/>
              <w:rPr>
                <w:sz w:val="20"/>
                <w:szCs w:val="20"/>
                <w:color w:val="auto"/>
              </w:rPr>
            </w:pPr>
            <w:r>
              <w:rPr>
                <w:rFonts w:ascii="Arial" w:cs="Arial" w:eastAsia="Arial" w:hAnsi="Arial"/>
                <w:sz w:val="17"/>
                <w:szCs w:val="17"/>
                <w:color w:val="auto"/>
              </w:rPr>
              <w:t>300</w:t>
            </w:r>
          </w:p>
        </w:tc>
        <w:tc>
          <w:tcPr>
            <w:tcW w:w="700" w:type="dxa"/>
            <w:vAlign w:val="bottom"/>
          </w:tcPr>
          <w:p>
            <w:pPr>
              <w:jc w:val="right"/>
              <w:spacing w:after="0"/>
              <w:rPr>
                <w:sz w:val="20"/>
                <w:szCs w:val="20"/>
                <w:color w:val="auto"/>
              </w:rPr>
            </w:pPr>
            <w:r>
              <w:rPr>
                <w:rFonts w:ascii="Arial" w:cs="Arial" w:eastAsia="Arial" w:hAnsi="Arial"/>
                <w:sz w:val="17"/>
                <w:szCs w:val="17"/>
                <w:color w:val="auto"/>
              </w:rPr>
              <w:t>359</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Pension costs</w:t>
            </w:r>
          </w:p>
        </w:tc>
        <w:tc>
          <w:tcPr>
            <w:tcW w:w="5020" w:type="dxa"/>
            <w:vAlign w:val="bottom"/>
            <w:gridSpan w:val="3"/>
            <w:shd w:val="clear" w:color="auto" w:fill="CCEEFF"/>
          </w:tcPr>
          <w:p>
            <w:pPr>
              <w:jc w:val="right"/>
              <w:ind w:right="419"/>
              <w:spacing w:after="0"/>
              <w:rPr>
                <w:sz w:val="20"/>
                <w:szCs w:val="20"/>
                <w:color w:val="auto"/>
              </w:rPr>
            </w:pPr>
            <w:r>
              <w:rPr>
                <w:rFonts w:ascii="Arial" w:cs="Arial" w:eastAsia="Arial" w:hAnsi="Arial"/>
                <w:sz w:val="17"/>
                <w:szCs w:val="17"/>
                <w:color w:val="auto"/>
              </w:rPr>
              <w:t>192</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7"/>
                <w:szCs w:val="17"/>
                <w:color w:val="auto"/>
              </w:rPr>
              <w:t>3,233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7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020" w:type="dxa"/>
            <w:vAlign w:val="bottom"/>
            <w:gridSpan w:val="3"/>
          </w:tcPr>
          <w:p>
            <w:pPr>
              <w:jc w:val="right"/>
              <w:ind w:right="3999"/>
              <w:spacing w:after="0"/>
              <w:rPr>
                <w:sz w:val="20"/>
                <w:szCs w:val="20"/>
                <w:color w:val="auto"/>
              </w:rPr>
            </w:pPr>
            <w:r>
              <w:rPr>
                <w:rFonts w:ascii="Arial" w:cs="Arial" w:eastAsia="Arial" w:hAnsi="Arial"/>
                <w:sz w:val="17"/>
                <w:szCs w:val="17"/>
                <w:color w:val="auto"/>
              </w:rPr>
              <w:t>F-38</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200" w:type="dxa"/>
            <w:vAlign w:val="bottom"/>
            <w:tcBorders>
              <w:bottom w:val="single" w:sz="8" w:color="808080"/>
            </w:tcBorders>
          </w:tcPr>
          <w:p>
            <w:pPr>
              <w:spacing w:after="0"/>
              <w:rPr>
                <w:sz w:val="17"/>
                <w:szCs w:val="17"/>
                <w:color w:val="auto"/>
              </w:rPr>
            </w:pPr>
          </w:p>
        </w:tc>
        <w:tc>
          <w:tcPr>
            <w:tcW w:w="35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223" w:name="page224"/>
    <w:bookmarkEnd w:id="223"/>
    <w:p>
      <w:pPr>
        <w:ind w:left="680"/>
        <w:spacing w:after="0"/>
        <w:rPr>
          <w:sz w:val="20"/>
          <w:szCs w:val="20"/>
          <w:color w:val="auto"/>
        </w:rPr>
      </w:pPr>
      <w:r>
        <w:rPr>
          <w:rFonts w:ascii="Arial" w:cs="Arial" w:eastAsia="Arial" w:hAnsi="Arial"/>
          <w:sz w:val="17"/>
          <w:szCs w:val="17"/>
          <w:color w:val="auto"/>
        </w:rPr>
        <w:t>Directors’ emoluments were: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32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gridSpan w:val="4"/>
          </w:tcPr>
          <w:p>
            <w:pPr>
              <w:jc w:val="right"/>
              <w:ind w:right="298"/>
              <w:spacing w:after="0"/>
              <w:rPr>
                <w:sz w:val="20"/>
                <w:szCs w:val="20"/>
                <w:color w:val="auto"/>
              </w:rPr>
            </w:pPr>
            <w:r>
              <w:rPr>
                <w:rFonts w:ascii="Arial" w:cs="Arial" w:eastAsia="Arial" w:hAnsi="Arial"/>
                <w:sz w:val="16"/>
                <w:szCs w:val="16"/>
                <w:b w:val="1"/>
                <w:bCs w:val="1"/>
                <w:color w:val="auto"/>
              </w:rPr>
              <w:t>2003</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2004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£’000</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3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Wages, salaries and other benefits</w:t>
            </w:r>
          </w:p>
        </w:tc>
        <w:tc>
          <w:tcPr>
            <w:tcW w:w="4900" w:type="dxa"/>
            <w:vAlign w:val="bottom"/>
            <w:gridSpan w:val="4"/>
            <w:shd w:val="clear" w:color="auto" w:fill="CCEEFF"/>
          </w:tcPr>
          <w:p>
            <w:pPr>
              <w:jc w:val="right"/>
              <w:ind w:right="298"/>
              <w:spacing w:after="0"/>
              <w:rPr>
                <w:sz w:val="20"/>
                <w:szCs w:val="20"/>
                <w:color w:val="auto"/>
              </w:rPr>
            </w:pPr>
            <w:r>
              <w:rPr>
                <w:rFonts w:ascii="Arial" w:cs="Arial" w:eastAsia="Arial" w:hAnsi="Arial"/>
                <w:sz w:val="17"/>
                <w:szCs w:val="17"/>
                <w:color w:val="auto"/>
              </w:rPr>
              <w:t>633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Pension costs</w:t>
            </w:r>
          </w:p>
        </w:tc>
        <w:tc>
          <w:tcPr>
            <w:tcW w:w="4900" w:type="dxa"/>
            <w:vAlign w:val="bottom"/>
            <w:gridSpan w:val="4"/>
          </w:tcPr>
          <w:p>
            <w:pPr>
              <w:jc w:val="right"/>
              <w:ind w:right="298"/>
              <w:spacing w:after="0"/>
              <w:rPr>
                <w:sz w:val="20"/>
                <w:szCs w:val="20"/>
                <w:color w:val="auto"/>
              </w:rPr>
            </w:pPr>
            <w:r>
              <w:rPr>
                <w:rFonts w:ascii="Arial" w:cs="Arial" w:eastAsia="Arial" w:hAnsi="Arial"/>
                <w:sz w:val="17"/>
                <w:szCs w:val="17"/>
                <w:color w:val="auto"/>
              </w:rPr>
              <w:t>39</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Compensation for loss of office</w:t>
            </w:r>
          </w:p>
        </w:tc>
        <w:tc>
          <w:tcPr>
            <w:tcW w:w="3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98"/>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4"/>
          </w:tcPr>
          <w:p>
            <w:pPr>
              <w:jc w:val="right"/>
              <w:ind w:right="298"/>
              <w:spacing w:after="0"/>
              <w:rPr>
                <w:sz w:val="20"/>
                <w:szCs w:val="20"/>
                <w:color w:val="auto"/>
              </w:rPr>
            </w:pPr>
            <w:r>
              <w:rPr>
                <w:rFonts w:ascii="Arial" w:cs="Arial" w:eastAsia="Arial" w:hAnsi="Arial"/>
                <w:sz w:val="17"/>
                <w:szCs w:val="17"/>
                <w:color w:val="auto"/>
              </w:rPr>
              <w:t>672</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5020" w:type="dxa"/>
            <w:vAlign w:val="bottom"/>
            <w:gridSpan w:val="2"/>
          </w:tcPr>
          <w:p>
            <w:pPr>
              <w:ind w:left="680"/>
              <w:spacing w:after="0"/>
              <w:rPr>
                <w:sz w:val="20"/>
                <w:szCs w:val="20"/>
                <w:color w:val="auto"/>
              </w:rPr>
            </w:pPr>
            <w:r>
              <w:rPr>
                <w:rFonts w:ascii="Arial" w:cs="Arial" w:eastAsia="Arial" w:hAnsi="Arial"/>
                <w:sz w:val="17"/>
                <w:szCs w:val="17"/>
                <w:color w:val="auto"/>
              </w:rPr>
              <w:t>The emoluments of the highest paid director were:</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00" w:type="dxa"/>
            <w:vAlign w:val="bottom"/>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gridSpan w:val="2"/>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900" w:type="dxa"/>
            <w:vAlign w:val="bottom"/>
            <w:gridSpan w:val="4"/>
          </w:tcPr>
          <w:p>
            <w:pPr>
              <w:jc w:val="right"/>
              <w:ind w:right="298"/>
              <w:spacing w:after="0" w:line="165" w:lineRule="exact"/>
              <w:rPr>
                <w:sz w:val="20"/>
                <w:szCs w:val="20"/>
                <w:color w:val="auto"/>
              </w:rPr>
            </w:pPr>
            <w:r>
              <w:rPr>
                <w:rFonts w:ascii="Arial" w:cs="Arial" w:eastAsia="Arial" w:hAnsi="Arial"/>
                <w:sz w:val="16"/>
                <w:szCs w:val="16"/>
                <w:b w:val="1"/>
                <w:bCs w:val="1"/>
                <w:color w:val="auto"/>
              </w:rPr>
              <w:t>2003</w:t>
            </w:r>
          </w:p>
        </w:tc>
        <w:tc>
          <w:tcPr>
            <w:tcW w:w="7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£’000</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3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Wages, salaries and other benefits</w:t>
            </w:r>
          </w:p>
        </w:tc>
        <w:tc>
          <w:tcPr>
            <w:tcW w:w="4900" w:type="dxa"/>
            <w:vAlign w:val="bottom"/>
            <w:gridSpan w:val="4"/>
            <w:shd w:val="clear" w:color="auto" w:fill="CCEEFF"/>
          </w:tcPr>
          <w:p>
            <w:pPr>
              <w:jc w:val="right"/>
              <w:ind w:right="298"/>
              <w:spacing w:after="0"/>
              <w:rPr>
                <w:sz w:val="20"/>
                <w:szCs w:val="20"/>
                <w:color w:val="auto"/>
              </w:rPr>
            </w:pPr>
            <w:r>
              <w:rPr>
                <w:rFonts w:ascii="Arial" w:cs="Arial" w:eastAsia="Arial" w:hAnsi="Arial"/>
                <w:sz w:val="17"/>
                <w:szCs w:val="17"/>
                <w:color w:val="auto"/>
              </w:rPr>
              <w:t>176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Pension costs</w:t>
            </w:r>
          </w:p>
        </w:tc>
        <w:tc>
          <w:tcPr>
            <w:tcW w:w="3620" w:type="dxa"/>
            <w:vAlign w:val="bottom"/>
          </w:tcPr>
          <w:p>
            <w:pPr>
              <w:spacing w:after="0"/>
              <w:rPr>
                <w:sz w:val="18"/>
                <w:szCs w:val="18"/>
                <w:color w:val="auto"/>
              </w:rPr>
            </w:pPr>
          </w:p>
        </w:tc>
        <w:tc>
          <w:tcPr>
            <w:tcW w:w="128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7"/>
                <w:szCs w:val="17"/>
                <w:color w:val="auto"/>
              </w:rPr>
              <w:t>14</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4900" w:type="dxa"/>
            <w:vAlign w:val="bottom"/>
            <w:gridSpan w:val="4"/>
            <w:shd w:val="clear" w:color="auto" w:fill="CCEEFF"/>
          </w:tcPr>
          <w:p>
            <w:pPr>
              <w:jc w:val="right"/>
              <w:ind w:right="298"/>
              <w:spacing w:after="0"/>
              <w:rPr>
                <w:sz w:val="20"/>
                <w:szCs w:val="20"/>
                <w:color w:val="auto"/>
              </w:rPr>
            </w:pPr>
            <w:r>
              <w:rPr>
                <w:rFonts w:ascii="Arial" w:cs="Arial" w:eastAsia="Arial" w:hAnsi="Arial"/>
                <w:sz w:val="17"/>
                <w:szCs w:val="17"/>
                <w:color w:val="auto"/>
              </w:rPr>
              <w:t>190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20" w:type="dxa"/>
            <w:vAlign w:val="bottom"/>
            <w:gridSpan w:val="2"/>
          </w:tcPr>
          <w:p>
            <w:pPr>
              <w:ind w:left="680"/>
              <w:spacing w:after="0"/>
              <w:rPr>
                <w:sz w:val="20"/>
                <w:szCs w:val="20"/>
                <w:color w:val="auto"/>
              </w:rPr>
            </w:pPr>
            <w:r>
              <w:rPr>
                <w:rFonts w:ascii="Arial" w:cs="Arial" w:eastAsia="Arial" w:hAnsi="Arial"/>
                <w:sz w:val="21"/>
                <w:szCs w:val="21"/>
                <w:b w:val="1"/>
                <w:bCs w:val="1"/>
                <w:color w:val="auto"/>
              </w:rPr>
              <w:t>7. Taxation</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020" w:type="dxa"/>
            <w:vAlign w:val="bottom"/>
            <w:gridSpan w:val="2"/>
          </w:tcPr>
          <w:p>
            <w:pPr>
              <w:ind w:left="680"/>
              <w:spacing w:after="0"/>
              <w:rPr>
                <w:sz w:val="20"/>
                <w:szCs w:val="20"/>
                <w:color w:val="auto"/>
              </w:rPr>
            </w:pPr>
            <w:r>
              <w:rPr>
                <w:rFonts w:ascii="Arial" w:cs="Arial" w:eastAsia="Arial" w:hAnsi="Arial"/>
                <w:sz w:val="17"/>
                <w:szCs w:val="17"/>
                <w:b w:val="1"/>
                <w:bCs w:val="1"/>
                <w:i w:val="1"/>
                <w:iCs w:val="1"/>
                <w:color w:val="auto"/>
              </w:rPr>
              <w:t>(a) Tax on loss on ordinary activities</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20" w:type="dxa"/>
            <w:vAlign w:val="bottom"/>
            <w:gridSpan w:val="2"/>
          </w:tcPr>
          <w:p>
            <w:pPr>
              <w:ind w:left="680"/>
              <w:spacing w:after="0"/>
              <w:rPr>
                <w:sz w:val="20"/>
                <w:szCs w:val="20"/>
                <w:color w:val="auto"/>
              </w:rPr>
            </w:pPr>
            <w:r>
              <w:rPr>
                <w:rFonts w:ascii="Arial" w:cs="Arial" w:eastAsia="Arial" w:hAnsi="Arial"/>
                <w:sz w:val="17"/>
                <w:szCs w:val="17"/>
                <w:color w:val="auto"/>
              </w:rPr>
              <w:t>The tax credit represents:</w:t>
            </w: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0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900" w:type="dxa"/>
            <w:vAlign w:val="bottom"/>
            <w:gridSpan w:val="4"/>
          </w:tcPr>
          <w:p>
            <w:pPr>
              <w:jc w:val="right"/>
              <w:ind w:right="78"/>
              <w:spacing w:after="0" w:line="165" w:lineRule="exact"/>
              <w:rPr>
                <w:sz w:val="20"/>
                <w:szCs w:val="20"/>
                <w:color w:val="auto"/>
              </w:rPr>
            </w:pPr>
            <w:r>
              <w:rPr>
                <w:rFonts w:ascii="Arial" w:cs="Arial" w:eastAsia="Arial" w:hAnsi="Arial"/>
                <w:sz w:val="16"/>
                <w:szCs w:val="16"/>
                <w:b w:val="1"/>
                <w:bCs w:val="1"/>
                <w:color w:val="auto"/>
              </w:rPr>
              <w:t>2003</w:t>
            </w:r>
          </w:p>
        </w:tc>
        <w:tc>
          <w:tcPr>
            <w:tcW w:w="6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78"/>
              <w:spacing w:after="0"/>
              <w:rPr>
                <w:sz w:val="20"/>
                <w:szCs w:val="20"/>
                <w:color w:val="auto"/>
              </w:rPr>
            </w:pPr>
            <w:r>
              <w:rPr>
                <w:rFonts w:ascii="Arial" w:cs="Arial" w:eastAsia="Arial" w:hAnsi="Arial"/>
                <w:sz w:val="16"/>
                <w:szCs w:val="16"/>
                <w:b w:val="1"/>
                <w:bCs w:val="1"/>
                <w:color w:val="auto"/>
              </w:rPr>
              <w:t>£’000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43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3"/>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tax credit</w:t>
            </w:r>
          </w:p>
        </w:tc>
        <w:tc>
          <w:tcPr>
            <w:tcW w:w="4900" w:type="dxa"/>
            <w:vAlign w:val="bottom"/>
            <w:gridSpan w:val="4"/>
            <w:shd w:val="clear" w:color="auto" w:fill="CCEEFF"/>
          </w:tcPr>
          <w:p>
            <w:pPr>
              <w:jc w:val="right"/>
              <w:ind w:right="78"/>
              <w:spacing w:after="0"/>
              <w:rPr>
                <w:sz w:val="20"/>
                <w:szCs w:val="20"/>
                <w:color w:val="auto"/>
              </w:rPr>
            </w:pPr>
            <w:r>
              <w:rPr>
                <w:rFonts w:ascii="Arial" w:cs="Arial" w:eastAsia="Arial" w:hAnsi="Arial"/>
                <w:sz w:val="17"/>
                <w:szCs w:val="17"/>
                <w:color w:val="auto"/>
              </w:rPr>
              <w:t>1,124</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7"/>
                <w:szCs w:val="17"/>
                <w:color w:val="auto"/>
              </w:rPr>
              <w:t>Adjustments in respect of previous periods</w:t>
            </w:r>
          </w:p>
        </w:tc>
        <w:tc>
          <w:tcPr>
            <w:tcW w:w="3720" w:type="dxa"/>
            <w:vAlign w:val="bottom"/>
            <w:gridSpan w:val="3"/>
          </w:tcPr>
          <w:p>
            <w:pPr>
              <w:spacing w:after="0"/>
              <w:rPr>
                <w:sz w:val="18"/>
                <w:szCs w:val="18"/>
                <w:color w:val="auto"/>
              </w:rPr>
            </w:pPr>
          </w:p>
        </w:tc>
        <w:tc>
          <w:tcPr>
            <w:tcW w:w="118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color w:val="auto"/>
              </w:rPr>
              <w:t>49</w:t>
            </w: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(note 7(b))</w:t>
            </w:r>
          </w:p>
        </w:tc>
        <w:tc>
          <w:tcPr>
            <w:tcW w:w="4900" w:type="dxa"/>
            <w:vAlign w:val="bottom"/>
            <w:gridSpan w:val="4"/>
            <w:shd w:val="clear" w:color="auto" w:fill="CCEEFF"/>
          </w:tcPr>
          <w:p>
            <w:pPr>
              <w:jc w:val="right"/>
              <w:ind w:right="78"/>
              <w:spacing w:after="0"/>
              <w:rPr>
                <w:sz w:val="20"/>
                <w:szCs w:val="20"/>
                <w:color w:val="auto"/>
              </w:rPr>
            </w:pPr>
            <w:r>
              <w:rPr>
                <w:rFonts w:ascii="Arial" w:cs="Arial" w:eastAsia="Arial" w:hAnsi="Arial"/>
                <w:sz w:val="17"/>
                <w:szCs w:val="17"/>
                <w:color w:val="auto"/>
              </w:rPr>
              <w:t>1,173</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1,256</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900" w:type="dxa"/>
            <w:vAlign w:val="bottom"/>
            <w:gridSpan w:val="4"/>
          </w:tcPr>
          <w:p>
            <w:pPr>
              <w:jc w:val="right"/>
              <w:ind w:right="3998"/>
              <w:spacing w:after="0"/>
              <w:rPr>
                <w:sz w:val="20"/>
                <w:szCs w:val="20"/>
                <w:color w:val="auto"/>
              </w:rPr>
            </w:pPr>
            <w:r>
              <w:rPr>
                <w:rFonts w:ascii="Arial" w:cs="Arial" w:eastAsia="Arial" w:hAnsi="Arial"/>
                <w:sz w:val="17"/>
                <w:szCs w:val="17"/>
                <w:color w:val="auto"/>
              </w:rPr>
              <w:t>F-39</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320" w:type="dxa"/>
            <w:vAlign w:val="bottom"/>
            <w:tcBorders>
              <w:bottom w:val="single" w:sz="8" w:color="808080"/>
            </w:tcBorders>
          </w:tcPr>
          <w:p>
            <w:pPr>
              <w:spacing w:after="0"/>
              <w:rPr>
                <w:sz w:val="17"/>
                <w:szCs w:val="17"/>
                <w:color w:val="auto"/>
              </w:rPr>
            </w:pPr>
          </w:p>
        </w:tc>
        <w:tc>
          <w:tcPr>
            <w:tcW w:w="3620" w:type="dxa"/>
            <w:vAlign w:val="bottom"/>
            <w:tcBorders>
              <w:bottom w:val="single" w:sz="8" w:color="808080"/>
            </w:tcBorders>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1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8" w:right="239" w:bottom="1440" w:gutter="0" w:footer="0" w:header="0"/>
        </w:sectPr>
      </w:pPr>
    </w:p>
    <w:bookmarkStart w:id="224" w:name="page225"/>
    <w:bookmarkEnd w:id="224"/>
    <w:p>
      <w:pPr>
        <w:ind w:left="680"/>
        <w:spacing w:after="0"/>
        <w:rPr>
          <w:sz w:val="20"/>
          <w:szCs w:val="20"/>
          <w:color w:val="auto"/>
        </w:rPr>
      </w:pPr>
      <w:r>
        <w:rPr>
          <w:rFonts w:ascii="Arial" w:cs="Arial" w:eastAsia="Arial" w:hAnsi="Arial"/>
          <w:sz w:val="17"/>
          <w:szCs w:val="17"/>
          <w:b w:val="1"/>
          <w:bCs w:val="1"/>
          <w:i w:val="1"/>
          <w:iCs w:val="1"/>
          <w:color w:val="auto"/>
        </w:rPr>
        <w:t>(b) Factors affecting the tax charge</w:t>
      </w:r>
    </w:p>
    <w:p>
      <w:pPr>
        <w:spacing w:after="0" w:line="139" w:lineRule="exact"/>
        <w:rPr>
          <w:sz w:val="20"/>
          <w:szCs w:val="20"/>
          <w:color w:val="auto"/>
        </w:rPr>
      </w:pPr>
    </w:p>
    <w:p>
      <w:pPr>
        <w:ind w:left="680" w:right="1080"/>
        <w:spacing w:after="0" w:line="258" w:lineRule="auto"/>
        <w:rPr>
          <w:sz w:val="20"/>
          <w:szCs w:val="20"/>
          <w:color w:val="auto"/>
        </w:rPr>
      </w:pPr>
      <w:r>
        <w:rPr>
          <w:rFonts w:ascii="Arial" w:cs="Arial" w:eastAsia="Arial" w:hAnsi="Arial"/>
          <w:sz w:val="17"/>
          <w:szCs w:val="17"/>
          <w:color w:val="auto"/>
        </w:rPr>
        <w:t>The tax assessed on the loss on ordinary activities for the year is lower than the standard rate of corporation tax in the United Kingdom of 30% (2003: 30%). The differences are reconciled below:</w:t>
      </w:r>
    </w:p>
    <w:p>
      <w:pPr>
        <w:spacing w:after="0" w:line="228"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7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2003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220" w:type="dxa"/>
            <w:vAlign w:val="bottom"/>
          </w:tcPr>
          <w:p>
            <w:pPr>
              <w:jc w:val="right"/>
              <w:ind w:right="234"/>
              <w:spacing w:after="0"/>
              <w:rPr>
                <w:sz w:val="20"/>
                <w:szCs w:val="20"/>
                <w:color w:val="auto"/>
              </w:rPr>
            </w:pPr>
            <w:r>
              <w:rPr>
                <w:rFonts w:ascii="Arial" w:cs="Arial" w:eastAsia="Arial" w:hAnsi="Arial"/>
                <w:sz w:val="16"/>
                <w:szCs w:val="16"/>
                <w:b w:val="1"/>
                <w:bCs w:val="1"/>
                <w:color w:val="auto"/>
              </w:rPr>
              <w:t>£’000</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7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Loss on ordinary activities before tax</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(10,900)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(10,376)</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gridSpan w:val="2"/>
          </w:tcPr>
          <w:p>
            <w:pPr>
              <w:spacing w:after="0"/>
              <w:rPr>
                <w:sz w:val="20"/>
                <w:szCs w:val="20"/>
                <w:color w:val="auto"/>
              </w:rPr>
            </w:pPr>
            <w:r>
              <w:rPr>
                <w:rFonts w:ascii="Arial" w:cs="Arial" w:eastAsia="Arial" w:hAnsi="Arial"/>
                <w:sz w:val="17"/>
                <w:szCs w:val="17"/>
                <w:color w:val="auto"/>
              </w:rPr>
              <w:t>Loss on ordinary activities multiplied by the standard rate of tax</w:t>
            </w:r>
          </w:p>
        </w:tc>
        <w:tc>
          <w:tcPr>
            <w:tcW w:w="1220" w:type="dxa"/>
            <w:vAlign w:val="bottom"/>
          </w:tcPr>
          <w:p>
            <w:pPr>
              <w:jc w:val="right"/>
              <w:ind w:right="174"/>
              <w:spacing w:after="0"/>
              <w:rPr>
                <w:sz w:val="20"/>
                <w:szCs w:val="20"/>
                <w:color w:val="auto"/>
              </w:rPr>
            </w:pPr>
            <w:r>
              <w:rPr>
                <w:rFonts w:ascii="Arial" w:cs="Arial" w:eastAsia="Arial" w:hAnsi="Arial"/>
                <w:sz w:val="17"/>
                <w:szCs w:val="17"/>
                <w:color w:val="auto"/>
              </w:rPr>
              <w:t>(3,270)</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Effect of:</w:t>
            </w: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7"/>
                <w:szCs w:val="17"/>
                <w:color w:val="auto"/>
              </w:rPr>
              <w:t>Disallowed expenses and non-taxable income</w:t>
            </w:r>
          </w:p>
        </w:tc>
        <w:tc>
          <w:tcPr>
            <w:tcW w:w="1220" w:type="dxa"/>
            <w:vAlign w:val="bottom"/>
          </w:tcPr>
          <w:p>
            <w:pPr>
              <w:jc w:val="right"/>
              <w:ind w:right="234"/>
              <w:spacing w:after="0"/>
              <w:rPr>
                <w:sz w:val="20"/>
                <w:szCs w:val="20"/>
                <w:color w:val="auto"/>
              </w:rPr>
            </w:pPr>
            <w:r>
              <w:rPr>
                <w:rFonts w:ascii="Arial" w:cs="Arial" w:eastAsia="Arial" w:hAnsi="Arial"/>
                <w:sz w:val="17"/>
                <w:szCs w:val="17"/>
                <w:color w:val="auto"/>
              </w:rPr>
              <w:t>1,333</w:t>
            </w:r>
          </w:p>
        </w:tc>
        <w:tc>
          <w:tcPr>
            <w:tcW w:w="860" w:type="dxa"/>
            <w:vAlign w:val="bottom"/>
          </w:tcPr>
          <w:p>
            <w:pPr>
              <w:jc w:val="right"/>
              <w:spacing w:after="0"/>
              <w:rPr>
                <w:sz w:val="20"/>
                <w:szCs w:val="20"/>
                <w:color w:val="auto"/>
              </w:rPr>
            </w:pPr>
            <w:r>
              <w:rPr>
                <w:rFonts w:ascii="Arial" w:cs="Arial" w:eastAsia="Arial" w:hAnsi="Arial"/>
                <w:sz w:val="17"/>
                <w:szCs w:val="17"/>
                <w:color w:val="auto"/>
              </w:rPr>
              <w:t>1,785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Capital allowances in arrears of depreciation</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48</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7"/>
                <w:szCs w:val="17"/>
                <w:color w:val="auto"/>
              </w:rPr>
              <w:t>Tax losses</w:t>
            </w:r>
          </w:p>
        </w:tc>
        <w:tc>
          <w:tcPr>
            <w:tcW w:w="1220" w:type="dxa"/>
            <w:vAlign w:val="bottom"/>
          </w:tcPr>
          <w:p>
            <w:pPr>
              <w:jc w:val="right"/>
              <w:ind w:right="234"/>
              <w:spacing w:after="0"/>
              <w:rPr>
                <w:sz w:val="20"/>
                <w:szCs w:val="20"/>
                <w:color w:val="auto"/>
              </w:rPr>
            </w:pPr>
            <w:r>
              <w:rPr>
                <w:rFonts w:ascii="Arial" w:cs="Arial" w:eastAsia="Arial" w:hAnsi="Arial"/>
                <w:sz w:val="17"/>
                <w:szCs w:val="17"/>
                <w:color w:val="auto"/>
              </w:rPr>
              <w:t>1,850</w:t>
            </w:r>
          </w:p>
        </w:tc>
        <w:tc>
          <w:tcPr>
            <w:tcW w:w="860" w:type="dxa"/>
            <w:vAlign w:val="bottom"/>
          </w:tcPr>
          <w:p>
            <w:pPr>
              <w:jc w:val="right"/>
              <w:spacing w:after="0"/>
              <w:rPr>
                <w:sz w:val="20"/>
                <w:szCs w:val="20"/>
                <w:color w:val="auto"/>
              </w:rPr>
            </w:pPr>
            <w:r>
              <w:rPr>
                <w:rFonts w:ascii="Arial" w:cs="Arial" w:eastAsia="Arial" w:hAnsi="Arial"/>
                <w:sz w:val="17"/>
                <w:szCs w:val="17"/>
                <w:color w:val="auto"/>
              </w:rPr>
              <w:t>1,310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tax credit</w:t>
            </w:r>
          </w:p>
        </w:tc>
        <w:tc>
          <w:tcPr>
            <w:tcW w:w="12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(1,124)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tcPr>
          <w:p>
            <w:pPr>
              <w:spacing w:after="0"/>
              <w:rPr>
                <w:sz w:val="20"/>
                <w:szCs w:val="20"/>
                <w:color w:val="auto"/>
              </w:rPr>
            </w:pPr>
            <w:r>
              <w:rPr>
                <w:rFonts w:ascii="Arial" w:cs="Arial" w:eastAsia="Arial" w:hAnsi="Arial"/>
                <w:sz w:val="17"/>
                <w:szCs w:val="17"/>
                <w:color w:val="auto"/>
              </w:rPr>
              <w:t>Adjustments in respect of previous periods</w:t>
            </w:r>
          </w:p>
        </w:tc>
        <w:tc>
          <w:tcPr>
            <w:tcW w:w="1220" w:type="dxa"/>
            <w:vAlign w:val="bottom"/>
          </w:tcPr>
          <w:p>
            <w:pPr>
              <w:jc w:val="right"/>
              <w:ind w:right="174"/>
              <w:spacing w:after="0"/>
              <w:rPr>
                <w:sz w:val="20"/>
                <w:szCs w:val="20"/>
                <w:color w:val="auto"/>
              </w:rPr>
            </w:pPr>
            <w:r>
              <w:rPr>
                <w:rFonts w:ascii="Arial" w:cs="Arial" w:eastAsia="Arial" w:hAnsi="Arial"/>
                <w:sz w:val="17"/>
                <w:szCs w:val="17"/>
                <w:color w:val="auto"/>
              </w:rPr>
              <w:t>(49)</w:t>
            </w:r>
          </w:p>
        </w:tc>
        <w:tc>
          <w:tcPr>
            <w:tcW w:w="860" w:type="dxa"/>
            <w:vAlign w:val="bottom"/>
          </w:tcPr>
          <w:p>
            <w:pPr>
              <w:jc w:val="right"/>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7"/>
                <w:szCs w:val="17"/>
                <w:color w:val="auto"/>
              </w:rPr>
              <w:t>Other timing differences</w:t>
            </w:r>
          </w:p>
        </w:tc>
        <w:tc>
          <w:tcPr>
            <w:tcW w:w="12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7760" w:type="dxa"/>
            <w:vAlign w:val="bottom"/>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current tax (note 7(a))</w:t>
            </w:r>
          </w:p>
        </w:tc>
        <w:tc>
          <w:tcPr>
            <w:tcW w:w="122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(1,173)</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(1,256)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80"/>
        <w:spacing w:after="0"/>
        <w:rPr>
          <w:sz w:val="20"/>
          <w:szCs w:val="20"/>
          <w:color w:val="auto"/>
        </w:rPr>
      </w:pPr>
      <w:r>
        <w:rPr>
          <w:rFonts w:ascii="Arial" w:cs="Arial" w:eastAsia="Arial" w:hAnsi="Arial"/>
          <w:sz w:val="17"/>
          <w:szCs w:val="17"/>
          <w:b w:val="1"/>
          <w:bCs w:val="1"/>
          <w:i w:val="1"/>
          <w:iCs w:val="1"/>
          <w:color w:val="auto"/>
        </w:rPr>
        <w:t>(c) Factors that may affect future tax charges</w:t>
      </w:r>
    </w:p>
    <w:p>
      <w:pPr>
        <w:spacing w:after="0" w:line="117" w:lineRule="exact"/>
        <w:rPr>
          <w:sz w:val="20"/>
          <w:szCs w:val="20"/>
          <w:color w:val="auto"/>
        </w:rPr>
      </w:pPr>
    </w:p>
    <w:p>
      <w:pPr>
        <w:ind w:left="680" w:right="920"/>
        <w:spacing w:after="0" w:line="256" w:lineRule="auto"/>
        <w:rPr>
          <w:sz w:val="20"/>
          <w:szCs w:val="20"/>
          <w:color w:val="auto"/>
        </w:rPr>
      </w:pPr>
      <w:r>
        <w:rPr>
          <w:rFonts w:ascii="Arial" w:cs="Arial" w:eastAsia="Arial" w:hAnsi="Arial"/>
          <w:sz w:val="17"/>
          <w:szCs w:val="17"/>
          <w:color w:val="auto"/>
        </w:rPr>
        <w:t>There are tax losses of approximately £27,200,000 (2003</w:t>
      </w:r>
      <w:r>
        <w:rPr>
          <w:rFonts w:ascii="Arial" w:cs="Arial" w:eastAsia="Arial" w:hAnsi="Arial"/>
          <w:sz w:val="17"/>
          <w:szCs w:val="17"/>
          <w:b w:val="1"/>
          <w:bCs w:val="1"/>
          <w:color w:val="auto"/>
        </w:rPr>
        <w:t>:</w:t>
      </w:r>
      <w:r>
        <w:rPr>
          <w:rFonts w:ascii="Arial" w:cs="Arial" w:eastAsia="Arial" w:hAnsi="Arial"/>
          <w:sz w:val="17"/>
          <w:szCs w:val="17"/>
          <w:color w:val="auto"/>
        </w:rPr>
        <w:t xml:space="preserve"> £22,400,000) available to carry forward against future trading profits, subject to the agreement of the Inland Revenue. No deferred tax assets have been recognised in respect of these amounts since the company does not anticipate generating taxable profits in the immediate future. The company claimed research and development tax credits for the year ended December 31, 2004 of £1,303,000 (year ended December 31, 2003: £1,124,000).</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8. Share capital</w:t>
      </w:r>
    </w:p>
    <w:p>
      <w:pPr>
        <w:spacing w:after="0" w:line="144" w:lineRule="exact"/>
        <w:rPr>
          <w:sz w:val="20"/>
          <w:szCs w:val="20"/>
          <w:color w:val="auto"/>
        </w:rPr>
      </w:pPr>
    </w:p>
    <w:p>
      <w:pPr>
        <w:ind w:left="680" w:right="1320"/>
        <w:spacing w:after="0" w:line="258" w:lineRule="auto"/>
        <w:rPr>
          <w:sz w:val="20"/>
          <w:szCs w:val="20"/>
          <w:color w:val="auto"/>
        </w:rPr>
      </w:pPr>
      <w:r>
        <w:rPr>
          <w:rFonts w:ascii="Arial" w:cs="Arial" w:eastAsia="Arial" w:hAnsi="Arial"/>
          <w:sz w:val="17"/>
          <w:szCs w:val="17"/>
          <w:color w:val="auto"/>
        </w:rPr>
        <w:t>As at January 1, 2003, and December 31, 2003 and 2004, the authorised and issued share capital of the company was as follows: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Authorised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1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January 1,</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January 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40" w:type="dxa"/>
            <w:vAlign w:val="bottom"/>
          </w:tcPr>
          <w:p>
            <w:pPr>
              <w:jc w:val="right"/>
              <w:ind w:right="501"/>
              <w:spacing w:after="0"/>
              <w:rPr>
                <w:sz w:val="20"/>
                <w:szCs w:val="20"/>
                <w:color w:val="auto"/>
              </w:rPr>
            </w:pPr>
            <w:r>
              <w:rPr>
                <w:rFonts w:ascii="Arial" w:cs="Arial" w:eastAsia="Arial" w:hAnsi="Arial"/>
                <w:sz w:val="16"/>
                <w:szCs w:val="16"/>
                <w:b w:val="1"/>
                <w:bCs w:val="1"/>
                <w:color w:val="auto"/>
              </w:rPr>
              <w:t>2003, and</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2003 and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40" w:type="dxa"/>
            <w:vAlign w:val="bottom"/>
          </w:tcPr>
          <w:p>
            <w:pPr>
              <w:jc w:val="right"/>
              <w:ind w:right="501"/>
              <w:spacing w:after="0"/>
              <w:rPr>
                <w:sz w:val="20"/>
                <w:szCs w:val="20"/>
                <w:color w:val="auto"/>
              </w:rPr>
            </w:pPr>
            <w:r>
              <w:rPr>
                <w:rFonts w:ascii="Arial" w:cs="Arial" w:eastAsia="Arial" w:hAnsi="Arial"/>
                <w:sz w:val="16"/>
                <w:szCs w:val="16"/>
                <w:b w:val="1"/>
                <w:bCs w:val="1"/>
                <w:color w:val="auto"/>
              </w:rPr>
              <w:t>December 31,</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200" w:type="dxa"/>
            <w:vAlign w:val="bottom"/>
            <w:gridSpan w:val="2"/>
          </w:tcPr>
          <w:p>
            <w:pPr>
              <w:jc w:val="right"/>
              <w:ind w:right="501"/>
              <w:spacing w:after="0"/>
              <w:rPr>
                <w:sz w:val="20"/>
                <w:szCs w:val="20"/>
                <w:color w:val="auto"/>
              </w:rPr>
            </w:pPr>
            <w:r>
              <w:rPr>
                <w:rFonts w:ascii="Arial" w:cs="Arial" w:eastAsia="Arial" w:hAnsi="Arial"/>
                <w:sz w:val="16"/>
                <w:szCs w:val="16"/>
                <w:b w:val="1"/>
                <w:bCs w:val="1"/>
                <w:color w:val="auto"/>
              </w:rPr>
              <w:t>2003</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No.</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700" w:type="dxa"/>
            <w:vAlign w:val="bottom"/>
            <w:vMerge w:val="restart"/>
          </w:tcPr>
          <w:p>
            <w:pPr>
              <w:spacing w:after="0"/>
              <w:rPr>
                <w:sz w:val="3"/>
                <w:szCs w:val="3"/>
                <w:color w:val="auto"/>
              </w:rPr>
            </w:pPr>
          </w:p>
        </w:tc>
        <w:tc>
          <w:tcPr>
            <w:tcW w:w="4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 Ordinary shares of 0.001p each</w:t>
            </w:r>
          </w:p>
        </w:tc>
        <w:tc>
          <w:tcPr>
            <w:tcW w:w="4200" w:type="dxa"/>
            <w:vAlign w:val="bottom"/>
            <w:gridSpan w:val="2"/>
            <w:shd w:val="clear" w:color="auto" w:fill="CCEEFF"/>
          </w:tcPr>
          <w:p>
            <w:pPr>
              <w:jc w:val="right"/>
              <w:ind w:right="501"/>
              <w:spacing w:after="0"/>
              <w:rPr>
                <w:sz w:val="20"/>
                <w:szCs w:val="20"/>
                <w:color w:val="auto"/>
              </w:rPr>
            </w:pPr>
            <w:r>
              <w:rPr>
                <w:rFonts w:ascii="Arial" w:cs="Arial" w:eastAsia="Arial" w:hAnsi="Arial"/>
                <w:sz w:val="17"/>
                <w:szCs w:val="17"/>
                <w:color w:val="auto"/>
              </w:rPr>
              <w:t>16,670,000</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‘B’ Ordinary shares of 0.001p each</w:t>
            </w:r>
          </w:p>
        </w:tc>
        <w:tc>
          <w:tcPr>
            <w:tcW w:w="4200" w:type="dxa"/>
            <w:vAlign w:val="bottom"/>
            <w:gridSpan w:val="2"/>
          </w:tcPr>
          <w:p>
            <w:pPr>
              <w:jc w:val="right"/>
              <w:ind w:right="501"/>
              <w:spacing w:after="0"/>
              <w:rPr>
                <w:sz w:val="20"/>
                <w:szCs w:val="20"/>
                <w:color w:val="auto"/>
              </w:rPr>
            </w:pPr>
            <w:r>
              <w:rPr>
                <w:rFonts w:ascii="Arial" w:cs="Arial" w:eastAsia="Arial" w:hAnsi="Arial"/>
                <w:sz w:val="17"/>
                <w:szCs w:val="17"/>
                <w:color w:val="auto"/>
              </w:rPr>
              <w:t>48,123,900</w:t>
            </w:r>
          </w:p>
        </w:tc>
        <w:tc>
          <w:tcPr>
            <w:tcW w:w="1600" w:type="dxa"/>
            <w:vAlign w:val="bottom"/>
          </w:tcPr>
          <w:p>
            <w:pPr>
              <w:jc w:val="right"/>
              <w:spacing w:after="0"/>
              <w:rPr>
                <w:sz w:val="20"/>
                <w:szCs w:val="20"/>
                <w:color w:val="auto"/>
              </w:rPr>
            </w:pPr>
            <w:r>
              <w:rPr>
                <w:rFonts w:ascii="Arial" w:cs="Arial" w:eastAsia="Arial" w:hAnsi="Arial"/>
                <w:sz w:val="17"/>
                <w:szCs w:val="17"/>
                <w:color w:val="auto"/>
              </w:rPr>
              <w:t>481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 Preferred Ordinary shares of 0.001p each</w:t>
            </w:r>
          </w:p>
        </w:tc>
        <w:tc>
          <w:tcPr>
            <w:tcW w:w="4200" w:type="dxa"/>
            <w:vAlign w:val="bottom"/>
            <w:gridSpan w:val="2"/>
            <w:shd w:val="clear" w:color="auto" w:fill="CCEEFF"/>
          </w:tcPr>
          <w:p>
            <w:pPr>
              <w:jc w:val="right"/>
              <w:ind w:right="501"/>
              <w:spacing w:after="0"/>
              <w:rPr>
                <w:sz w:val="20"/>
                <w:szCs w:val="20"/>
                <w:color w:val="auto"/>
              </w:rPr>
            </w:pPr>
            <w:r>
              <w:rPr>
                <w:rFonts w:ascii="Arial" w:cs="Arial" w:eastAsia="Arial" w:hAnsi="Arial"/>
                <w:sz w:val="17"/>
                <w:szCs w:val="17"/>
                <w:color w:val="auto"/>
              </w:rPr>
              <w:t>29,640,573</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rPr>
              <w:t>‘B’ Preferred Ordinary shares of 0.001p each</w:t>
            </w:r>
          </w:p>
        </w:tc>
        <w:tc>
          <w:tcPr>
            <w:tcW w:w="4200" w:type="dxa"/>
            <w:vAlign w:val="bottom"/>
            <w:gridSpan w:val="2"/>
          </w:tcPr>
          <w:p>
            <w:pPr>
              <w:jc w:val="right"/>
              <w:ind w:right="501"/>
              <w:spacing w:after="0"/>
              <w:rPr>
                <w:sz w:val="20"/>
                <w:szCs w:val="20"/>
                <w:color w:val="auto"/>
              </w:rPr>
            </w:pPr>
            <w:r>
              <w:rPr>
                <w:rFonts w:ascii="Arial" w:cs="Arial" w:eastAsia="Arial" w:hAnsi="Arial"/>
                <w:sz w:val="17"/>
                <w:szCs w:val="17"/>
                <w:color w:val="auto"/>
              </w:rPr>
              <w:t>86,148,649</w:t>
            </w:r>
          </w:p>
        </w:tc>
        <w:tc>
          <w:tcPr>
            <w:tcW w:w="1600" w:type="dxa"/>
            <w:vAlign w:val="bottom"/>
          </w:tcPr>
          <w:p>
            <w:pPr>
              <w:jc w:val="right"/>
              <w:spacing w:after="0"/>
              <w:rPr>
                <w:sz w:val="20"/>
                <w:szCs w:val="20"/>
                <w:color w:val="auto"/>
              </w:rPr>
            </w:pPr>
            <w:r>
              <w:rPr>
                <w:rFonts w:ascii="Arial" w:cs="Arial" w:eastAsia="Arial" w:hAnsi="Arial"/>
                <w:sz w:val="17"/>
                <w:szCs w:val="17"/>
                <w:color w:val="auto"/>
              </w:rPr>
              <w:t>861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Deferred shares of 99.998p each</w:t>
            </w:r>
          </w:p>
        </w:tc>
        <w:tc>
          <w:tcPr>
            <w:tcW w:w="4200" w:type="dxa"/>
            <w:vAlign w:val="bottom"/>
            <w:gridSpan w:val="2"/>
            <w:shd w:val="clear" w:color="auto" w:fill="CCEEFF"/>
          </w:tcPr>
          <w:p>
            <w:pPr>
              <w:jc w:val="right"/>
              <w:ind w:right="501"/>
              <w:spacing w:after="0"/>
              <w:rPr>
                <w:sz w:val="20"/>
                <w:szCs w:val="20"/>
                <w:color w:val="auto"/>
              </w:rPr>
            </w:pPr>
            <w:r>
              <w:rPr>
                <w:rFonts w:ascii="Arial" w:cs="Arial" w:eastAsia="Arial" w:hAnsi="Arial"/>
                <w:sz w:val="17"/>
                <w:szCs w:val="17"/>
                <w:color w:val="auto"/>
              </w:rPr>
              <w:t>11,434,241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11,434,012</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2"/>
          </w:tcPr>
          <w:p>
            <w:pPr>
              <w:jc w:val="right"/>
              <w:ind w:right="501"/>
              <w:spacing w:after="0"/>
              <w:rPr>
                <w:sz w:val="20"/>
                <w:szCs w:val="20"/>
                <w:color w:val="auto"/>
              </w:rPr>
            </w:pPr>
            <w:r>
              <w:rPr>
                <w:rFonts w:ascii="Arial" w:cs="Arial" w:eastAsia="Arial" w:hAnsi="Arial"/>
                <w:sz w:val="17"/>
                <w:szCs w:val="17"/>
                <w:color w:val="auto"/>
              </w:rPr>
              <w:t>192,017,363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11,435,817</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8"/>
        </w:trPr>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00" w:type="dxa"/>
            <w:vAlign w:val="bottom"/>
            <w:gridSpan w:val="2"/>
          </w:tcPr>
          <w:p>
            <w:pPr>
              <w:jc w:val="right"/>
              <w:ind w:right="3101"/>
              <w:spacing w:after="0"/>
              <w:rPr>
                <w:sz w:val="20"/>
                <w:szCs w:val="20"/>
                <w:color w:val="auto"/>
              </w:rPr>
            </w:pPr>
            <w:r>
              <w:rPr>
                <w:rFonts w:ascii="Arial" w:cs="Arial" w:eastAsia="Arial" w:hAnsi="Arial"/>
                <w:sz w:val="17"/>
                <w:szCs w:val="17"/>
                <w:color w:val="auto"/>
              </w:rPr>
              <w:t>F-40</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12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2440" w:type="dxa"/>
            <w:vAlign w:val="bottom"/>
            <w:tcBorders>
              <w:bottom w:val="single" w:sz="8" w:color="808080"/>
            </w:tcBorders>
          </w:tcPr>
          <w:p>
            <w:pPr>
              <w:spacing w:after="0"/>
              <w:rPr>
                <w:sz w:val="17"/>
                <w:szCs w:val="17"/>
                <w:color w:val="auto"/>
              </w:rPr>
            </w:pPr>
          </w:p>
        </w:tc>
        <w:tc>
          <w:tcPr>
            <w:tcW w:w="16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December 31,</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2"/>
          </w:tcPr>
          <w:p>
            <w:pPr>
              <w:jc w:val="right"/>
              <w:ind w:right="581"/>
              <w:spacing w:after="0"/>
              <w:rPr>
                <w:sz w:val="20"/>
                <w:szCs w:val="20"/>
                <w:color w:val="auto"/>
              </w:rPr>
            </w:pPr>
            <w:r>
              <w:rPr>
                <w:rFonts w:ascii="Arial" w:cs="Arial" w:eastAsia="Arial" w:hAnsi="Arial"/>
                <w:sz w:val="16"/>
                <w:szCs w:val="16"/>
                <w:b w:val="1"/>
                <w:bCs w:val="1"/>
                <w:color w:val="auto"/>
              </w:rPr>
              <w:t>2004</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No.</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5p each</w:t>
            </w: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8,640,000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Ordinary shares of 5p each</w:t>
            </w:r>
          </w:p>
        </w:tc>
        <w:tc>
          <w:tcPr>
            <w:tcW w:w="2580" w:type="dxa"/>
            <w:vAlign w:val="bottom"/>
            <w:gridSpan w:val="2"/>
          </w:tcPr>
          <w:p>
            <w:pPr>
              <w:jc w:val="right"/>
              <w:ind w:right="581"/>
              <w:spacing w:after="0"/>
              <w:rPr>
                <w:sz w:val="20"/>
                <w:szCs w:val="20"/>
                <w:color w:val="auto"/>
              </w:rPr>
            </w:pPr>
            <w:r>
              <w:rPr>
                <w:rFonts w:ascii="Arial" w:cs="Arial" w:eastAsia="Arial" w:hAnsi="Arial"/>
                <w:sz w:val="17"/>
                <w:szCs w:val="17"/>
                <w:color w:val="auto"/>
              </w:rPr>
              <w:t>27,034,698</w:t>
            </w:r>
          </w:p>
        </w:tc>
        <w:tc>
          <w:tcPr>
            <w:tcW w:w="1440" w:type="dxa"/>
            <w:vAlign w:val="bottom"/>
          </w:tcPr>
          <w:p>
            <w:pPr>
              <w:jc w:val="right"/>
              <w:spacing w:after="0"/>
              <w:rPr>
                <w:sz w:val="20"/>
                <w:szCs w:val="20"/>
                <w:color w:val="auto"/>
              </w:rPr>
            </w:pPr>
            <w:r>
              <w:rPr>
                <w:rFonts w:ascii="Arial" w:cs="Arial" w:eastAsia="Arial" w:hAnsi="Arial"/>
                <w:sz w:val="17"/>
                <w:szCs w:val="17"/>
                <w:color w:val="auto"/>
              </w:rPr>
              <w:t>1,351,735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5p each</w:t>
            </w: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14,820,287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Preferred Ordinary shares of 5p each</w:t>
            </w:r>
          </w:p>
        </w:tc>
        <w:tc>
          <w:tcPr>
            <w:tcW w:w="258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7"/>
                <w:szCs w:val="17"/>
                <w:color w:val="auto"/>
              </w:rPr>
              <w:t>43,074,325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2,153,716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93,569,310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4,678,465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920" w:type="dxa"/>
            <w:vAlign w:val="bottom"/>
            <w:gridSpan w:val="3"/>
          </w:tcPr>
          <w:p>
            <w:pPr>
              <w:spacing w:after="0"/>
              <w:rPr>
                <w:sz w:val="20"/>
                <w:szCs w:val="20"/>
                <w:color w:val="auto"/>
              </w:rPr>
            </w:pPr>
            <w:r>
              <w:rPr>
                <w:rFonts w:ascii="Arial" w:cs="Arial" w:eastAsia="Arial" w:hAnsi="Arial"/>
                <w:sz w:val="17"/>
                <w:szCs w:val="17"/>
                <w:b w:val="1"/>
                <w:bCs w:val="1"/>
                <w:color w:val="auto"/>
              </w:rPr>
              <w:t>Allotted, called up and fully paid</w:t>
            </w: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jc w:val="right"/>
              <w:ind w:right="341"/>
              <w:spacing w:after="0" w:line="165" w:lineRule="exact"/>
              <w:rPr>
                <w:sz w:val="20"/>
                <w:szCs w:val="20"/>
                <w:color w:val="auto"/>
              </w:rPr>
            </w:pPr>
            <w:r>
              <w:rPr>
                <w:rFonts w:ascii="Arial" w:cs="Arial" w:eastAsia="Arial" w:hAnsi="Arial"/>
                <w:sz w:val="16"/>
                <w:szCs w:val="16"/>
                <w:b w:val="1"/>
                <w:bCs w:val="1"/>
                <w:color w:val="auto"/>
              </w:rPr>
              <w:t>January 1,</w:t>
            </w:r>
          </w:p>
        </w:tc>
        <w:tc>
          <w:tcPr>
            <w:tcW w:w="14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January 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2"/>
          </w:tcPr>
          <w:p>
            <w:pPr>
              <w:jc w:val="right"/>
              <w:ind w:right="341"/>
              <w:spacing w:after="0"/>
              <w:rPr>
                <w:sz w:val="20"/>
                <w:szCs w:val="20"/>
                <w:color w:val="auto"/>
              </w:rPr>
            </w:pPr>
            <w:r>
              <w:rPr>
                <w:rFonts w:ascii="Arial" w:cs="Arial" w:eastAsia="Arial" w:hAnsi="Arial"/>
                <w:sz w:val="16"/>
                <w:szCs w:val="16"/>
                <w:b w:val="1"/>
                <w:bCs w:val="1"/>
                <w:color w:val="auto"/>
              </w:rPr>
              <w:t>2003</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No.</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0.001p each</w:t>
            </w:r>
          </w:p>
        </w:tc>
        <w:tc>
          <w:tcPr>
            <w:tcW w:w="2580" w:type="dxa"/>
            <w:vAlign w:val="bottom"/>
            <w:gridSpan w:val="2"/>
            <w:shd w:val="clear" w:color="auto" w:fill="CCEEFF"/>
          </w:tcPr>
          <w:p>
            <w:pPr>
              <w:jc w:val="right"/>
              <w:ind w:right="341"/>
              <w:spacing w:after="0"/>
              <w:rPr>
                <w:sz w:val="20"/>
                <w:szCs w:val="20"/>
                <w:color w:val="auto"/>
              </w:rPr>
            </w:pPr>
            <w:r>
              <w:rPr>
                <w:rFonts w:ascii="Arial" w:cs="Arial" w:eastAsia="Arial" w:hAnsi="Arial"/>
                <w:sz w:val="17"/>
                <w:szCs w:val="17"/>
                <w:color w:val="auto"/>
              </w:rPr>
              <w:t>4,188,400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Ordinary shares of 0.001p each</w:t>
            </w:r>
          </w:p>
        </w:tc>
        <w:tc>
          <w:tcPr>
            <w:tcW w:w="2580" w:type="dxa"/>
            <w:vAlign w:val="bottom"/>
            <w:gridSpan w:val="2"/>
          </w:tcPr>
          <w:p>
            <w:pPr>
              <w:jc w:val="right"/>
              <w:ind w:right="341"/>
              <w:spacing w:after="0"/>
              <w:rPr>
                <w:sz w:val="20"/>
                <w:szCs w:val="20"/>
                <w:color w:val="auto"/>
              </w:rPr>
            </w:pPr>
            <w:r>
              <w:rPr>
                <w:rFonts w:ascii="Arial" w:cs="Arial" w:eastAsia="Arial" w:hAnsi="Arial"/>
                <w:sz w:val="17"/>
                <w:szCs w:val="17"/>
                <w:color w:val="auto"/>
              </w:rPr>
              <w:t>47,013,800</w:t>
            </w:r>
          </w:p>
        </w:tc>
        <w:tc>
          <w:tcPr>
            <w:tcW w:w="1440" w:type="dxa"/>
            <w:vAlign w:val="bottom"/>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0.001p each</w:t>
            </w:r>
          </w:p>
        </w:tc>
        <w:tc>
          <w:tcPr>
            <w:tcW w:w="2580" w:type="dxa"/>
            <w:vAlign w:val="bottom"/>
            <w:gridSpan w:val="2"/>
            <w:shd w:val="clear" w:color="auto" w:fill="CCEEFF"/>
          </w:tcPr>
          <w:p>
            <w:pPr>
              <w:jc w:val="right"/>
              <w:ind w:right="341"/>
              <w:spacing w:after="0"/>
              <w:rPr>
                <w:sz w:val="20"/>
                <w:szCs w:val="20"/>
                <w:color w:val="auto"/>
              </w:rPr>
            </w:pPr>
            <w:r>
              <w:rPr>
                <w:rFonts w:ascii="Arial" w:cs="Arial" w:eastAsia="Arial" w:hAnsi="Arial"/>
                <w:sz w:val="17"/>
                <w:szCs w:val="17"/>
                <w:color w:val="auto"/>
              </w:rPr>
              <w:t>23,376,320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Preferred Ordinary shares of 0.001p each</w:t>
            </w:r>
          </w:p>
        </w:tc>
        <w:tc>
          <w:tcPr>
            <w:tcW w:w="2580" w:type="dxa"/>
            <w:vAlign w:val="bottom"/>
            <w:gridSpan w:val="2"/>
          </w:tcPr>
          <w:p>
            <w:pPr>
              <w:jc w:val="right"/>
              <w:ind w:right="341"/>
              <w:spacing w:after="0"/>
              <w:rPr>
                <w:sz w:val="20"/>
                <w:szCs w:val="20"/>
                <w:color w:val="auto"/>
              </w:rPr>
            </w:pPr>
            <w:r>
              <w:rPr>
                <w:rFonts w:ascii="Arial" w:cs="Arial" w:eastAsia="Arial" w:hAnsi="Arial"/>
                <w:sz w:val="17"/>
                <w:szCs w:val="17"/>
                <w:color w:val="auto"/>
              </w:rPr>
              <w:t>46,469,673</w:t>
            </w:r>
          </w:p>
        </w:tc>
        <w:tc>
          <w:tcPr>
            <w:tcW w:w="1440" w:type="dxa"/>
            <w:vAlign w:val="bottom"/>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shares of 99.998p each</w:t>
            </w:r>
          </w:p>
        </w:tc>
        <w:tc>
          <w:tcPr>
            <w:tcW w:w="2580" w:type="dxa"/>
            <w:vAlign w:val="bottom"/>
            <w:gridSpan w:val="2"/>
            <w:shd w:val="clear" w:color="auto" w:fill="CCEEFF"/>
          </w:tcPr>
          <w:p>
            <w:pPr>
              <w:jc w:val="right"/>
              <w:ind w:right="341"/>
              <w:spacing w:after="0"/>
              <w:rPr>
                <w:sz w:val="20"/>
                <w:szCs w:val="20"/>
                <w:color w:val="auto"/>
              </w:rPr>
            </w:pPr>
            <w:r>
              <w:rPr>
                <w:rFonts w:ascii="Arial" w:cs="Arial" w:eastAsia="Arial" w:hAnsi="Arial"/>
                <w:sz w:val="17"/>
                <w:szCs w:val="17"/>
                <w:color w:val="auto"/>
              </w:rPr>
              <w:t>11,434,241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11,434,012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7"/>
                <w:szCs w:val="17"/>
                <w:color w:val="auto"/>
              </w:rPr>
              <w:t>132,482,434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11,435,223</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jc w:val="right"/>
              <w:ind w:right="661"/>
              <w:spacing w:after="0" w:line="165" w:lineRule="exact"/>
              <w:rPr>
                <w:sz w:val="20"/>
                <w:szCs w:val="20"/>
                <w:color w:val="auto"/>
              </w:rPr>
            </w:pPr>
            <w:r>
              <w:rPr>
                <w:rFonts w:ascii="Arial" w:cs="Arial" w:eastAsia="Arial" w:hAnsi="Arial"/>
                <w:sz w:val="16"/>
                <w:szCs w:val="16"/>
                <w:b w:val="1"/>
                <w:bCs w:val="1"/>
                <w:color w:val="auto"/>
              </w:rPr>
              <w:t>December 31,</w:t>
            </w:r>
          </w:p>
        </w:tc>
        <w:tc>
          <w:tcPr>
            <w:tcW w:w="14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2"/>
          </w:tcPr>
          <w:p>
            <w:pPr>
              <w:jc w:val="right"/>
              <w:ind w:right="661"/>
              <w:spacing w:after="0"/>
              <w:rPr>
                <w:sz w:val="20"/>
                <w:szCs w:val="20"/>
                <w:color w:val="auto"/>
              </w:rPr>
            </w:pPr>
            <w:r>
              <w:rPr>
                <w:rFonts w:ascii="Arial" w:cs="Arial" w:eastAsia="Arial" w:hAnsi="Arial"/>
                <w:sz w:val="16"/>
                <w:szCs w:val="16"/>
                <w:b w:val="1"/>
                <w:bCs w:val="1"/>
                <w:color w:val="auto"/>
              </w:rPr>
              <w:t>2003</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No.</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0.001p each</w:t>
            </w:r>
          </w:p>
        </w:tc>
        <w:tc>
          <w:tcPr>
            <w:tcW w:w="2580" w:type="dxa"/>
            <w:vAlign w:val="bottom"/>
            <w:gridSpan w:val="2"/>
            <w:shd w:val="clear" w:color="auto" w:fill="CCEEFF"/>
          </w:tcPr>
          <w:p>
            <w:pPr>
              <w:jc w:val="right"/>
              <w:ind w:right="661"/>
              <w:spacing w:after="0"/>
              <w:rPr>
                <w:sz w:val="20"/>
                <w:szCs w:val="20"/>
                <w:color w:val="auto"/>
              </w:rPr>
            </w:pPr>
            <w:r>
              <w:rPr>
                <w:rFonts w:ascii="Arial" w:cs="Arial" w:eastAsia="Arial" w:hAnsi="Arial"/>
                <w:sz w:val="17"/>
                <w:szCs w:val="17"/>
                <w:color w:val="auto"/>
              </w:rPr>
              <w:t>4,188,400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Ordinary shares of 0.001p each</w:t>
            </w:r>
          </w:p>
        </w:tc>
        <w:tc>
          <w:tcPr>
            <w:tcW w:w="2580" w:type="dxa"/>
            <w:vAlign w:val="bottom"/>
            <w:gridSpan w:val="2"/>
          </w:tcPr>
          <w:p>
            <w:pPr>
              <w:jc w:val="right"/>
              <w:ind w:right="661"/>
              <w:spacing w:after="0"/>
              <w:rPr>
                <w:sz w:val="20"/>
                <w:szCs w:val="20"/>
                <w:color w:val="auto"/>
              </w:rPr>
            </w:pPr>
            <w:r>
              <w:rPr>
                <w:rFonts w:ascii="Arial" w:cs="Arial" w:eastAsia="Arial" w:hAnsi="Arial"/>
                <w:sz w:val="17"/>
                <w:szCs w:val="17"/>
                <w:color w:val="auto"/>
              </w:rPr>
              <w:t>47,013,800</w:t>
            </w:r>
          </w:p>
        </w:tc>
        <w:tc>
          <w:tcPr>
            <w:tcW w:w="1440" w:type="dxa"/>
            <w:vAlign w:val="bottom"/>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0.001p each</w:t>
            </w:r>
          </w:p>
        </w:tc>
        <w:tc>
          <w:tcPr>
            <w:tcW w:w="2580" w:type="dxa"/>
            <w:vAlign w:val="bottom"/>
            <w:gridSpan w:val="2"/>
            <w:shd w:val="clear" w:color="auto" w:fill="CCEEFF"/>
          </w:tcPr>
          <w:p>
            <w:pPr>
              <w:jc w:val="right"/>
              <w:ind w:right="661"/>
              <w:spacing w:after="0"/>
              <w:rPr>
                <w:sz w:val="20"/>
                <w:szCs w:val="20"/>
                <w:color w:val="auto"/>
              </w:rPr>
            </w:pPr>
            <w:r>
              <w:rPr>
                <w:rFonts w:ascii="Arial" w:cs="Arial" w:eastAsia="Arial" w:hAnsi="Arial"/>
                <w:sz w:val="17"/>
                <w:szCs w:val="17"/>
                <w:color w:val="auto"/>
              </w:rPr>
              <w:t>23,396,392</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Preferred Ordinary shares of 0.001p each</w:t>
            </w:r>
          </w:p>
        </w:tc>
        <w:tc>
          <w:tcPr>
            <w:tcW w:w="2580" w:type="dxa"/>
            <w:vAlign w:val="bottom"/>
            <w:gridSpan w:val="2"/>
          </w:tcPr>
          <w:p>
            <w:pPr>
              <w:jc w:val="right"/>
              <w:ind w:right="661"/>
              <w:spacing w:after="0"/>
              <w:rPr>
                <w:sz w:val="20"/>
                <w:szCs w:val="20"/>
                <w:color w:val="auto"/>
              </w:rPr>
            </w:pPr>
            <w:r>
              <w:rPr>
                <w:rFonts w:ascii="Arial" w:cs="Arial" w:eastAsia="Arial" w:hAnsi="Arial"/>
                <w:sz w:val="17"/>
                <w:szCs w:val="17"/>
                <w:color w:val="auto"/>
              </w:rPr>
              <w:t>65,039,776</w:t>
            </w:r>
          </w:p>
        </w:tc>
        <w:tc>
          <w:tcPr>
            <w:tcW w:w="1440" w:type="dxa"/>
            <w:vAlign w:val="bottom"/>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shares of 99.998p each</w:t>
            </w:r>
          </w:p>
        </w:tc>
        <w:tc>
          <w:tcPr>
            <w:tcW w:w="2580" w:type="dxa"/>
            <w:vAlign w:val="bottom"/>
            <w:gridSpan w:val="2"/>
            <w:shd w:val="clear" w:color="auto" w:fill="CCEEFF"/>
          </w:tcPr>
          <w:p>
            <w:pPr>
              <w:jc w:val="right"/>
              <w:ind w:right="661"/>
              <w:spacing w:after="0"/>
              <w:rPr>
                <w:sz w:val="20"/>
                <w:szCs w:val="20"/>
                <w:color w:val="auto"/>
              </w:rPr>
            </w:pPr>
            <w:r>
              <w:rPr>
                <w:rFonts w:ascii="Arial" w:cs="Arial" w:eastAsia="Arial" w:hAnsi="Arial"/>
                <w:sz w:val="17"/>
                <w:szCs w:val="17"/>
                <w:color w:val="auto"/>
              </w:rPr>
              <w:t>11,434,241</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11,434,012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jc w:val="right"/>
              <w:ind w:right="661"/>
              <w:spacing w:after="0"/>
              <w:rPr>
                <w:sz w:val="20"/>
                <w:szCs w:val="20"/>
                <w:color w:val="auto"/>
              </w:rPr>
            </w:pPr>
            <w:r>
              <w:rPr>
                <w:rFonts w:ascii="Arial" w:cs="Arial" w:eastAsia="Arial" w:hAnsi="Arial"/>
                <w:sz w:val="17"/>
                <w:szCs w:val="17"/>
                <w:color w:val="auto"/>
              </w:rPr>
              <w:t>151,072,609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11,435,408</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jc w:val="right"/>
              <w:ind w:right="581"/>
              <w:spacing w:after="0" w:line="165" w:lineRule="exact"/>
              <w:rPr>
                <w:sz w:val="20"/>
                <w:szCs w:val="20"/>
                <w:color w:val="auto"/>
              </w:rPr>
            </w:pPr>
            <w:r>
              <w:rPr>
                <w:rFonts w:ascii="Arial" w:cs="Arial" w:eastAsia="Arial" w:hAnsi="Arial"/>
                <w:sz w:val="16"/>
                <w:szCs w:val="16"/>
                <w:b w:val="1"/>
                <w:bCs w:val="1"/>
                <w:color w:val="auto"/>
              </w:rPr>
              <w:t>December 31,</w:t>
            </w:r>
          </w:p>
        </w:tc>
        <w:tc>
          <w:tcPr>
            <w:tcW w:w="14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2"/>
          </w:tcPr>
          <w:p>
            <w:pPr>
              <w:jc w:val="right"/>
              <w:ind w:right="581"/>
              <w:spacing w:after="0"/>
              <w:rPr>
                <w:sz w:val="20"/>
                <w:szCs w:val="20"/>
                <w:color w:val="auto"/>
              </w:rPr>
            </w:pPr>
            <w:r>
              <w:rPr>
                <w:rFonts w:ascii="Arial" w:cs="Arial" w:eastAsia="Arial" w:hAnsi="Arial"/>
                <w:sz w:val="16"/>
                <w:szCs w:val="16"/>
                <w:b w:val="1"/>
                <w:bCs w:val="1"/>
                <w:color w:val="auto"/>
              </w:rPr>
              <w:t>2004</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No.</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8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5p each</w:t>
            </w: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2,260,900</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Ordinary shares of 5p each</w:t>
            </w:r>
          </w:p>
        </w:tc>
        <w:tc>
          <w:tcPr>
            <w:tcW w:w="2580" w:type="dxa"/>
            <w:vAlign w:val="bottom"/>
            <w:gridSpan w:val="2"/>
          </w:tcPr>
          <w:p>
            <w:pPr>
              <w:jc w:val="right"/>
              <w:ind w:right="581"/>
              <w:spacing w:after="0"/>
              <w:rPr>
                <w:sz w:val="20"/>
                <w:szCs w:val="20"/>
                <w:color w:val="auto"/>
              </w:rPr>
            </w:pPr>
            <w:r>
              <w:rPr>
                <w:rFonts w:ascii="Arial" w:cs="Arial" w:eastAsia="Arial" w:hAnsi="Arial"/>
                <w:sz w:val="17"/>
                <w:szCs w:val="17"/>
                <w:color w:val="auto"/>
              </w:rPr>
              <w:t>25,756,900</w:t>
            </w:r>
          </w:p>
        </w:tc>
        <w:tc>
          <w:tcPr>
            <w:tcW w:w="1440" w:type="dxa"/>
            <w:vAlign w:val="bottom"/>
          </w:tcPr>
          <w:p>
            <w:pPr>
              <w:jc w:val="right"/>
              <w:spacing w:after="0"/>
              <w:rPr>
                <w:sz w:val="20"/>
                <w:szCs w:val="20"/>
                <w:color w:val="auto"/>
              </w:rPr>
            </w:pPr>
            <w:r>
              <w:rPr>
                <w:rFonts w:ascii="Arial" w:cs="Arial" w:eastAsia="Arial" w:hAnsi="Arial"/>
                <w:sz w:val="17"/>
                <w:szCs w:val="17"/>
                <w:color w:val="auto"/>
              </w:rPr>
              <w:t>1,287,845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5p each</w:t>
            </w: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11,698,197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‘B’ Preferred Ordinary shares of 5p each</w:t>
            </w:r>
          </w:p>
        </w:tc>
        <w:tc>
          <w:tcPr>
            <w:tcW w:w="2580" w:type="dxa"/>
            <w:vAlign w:val="bottom"/>
            <w:tcBorders>
              <w:bottom w:val="single" w:sz="8" w:color="auto"/>
            </w:tcBorders>
            <w:gridSpan w:val="2"/>
          </w:tcPr>
          <w:p>
            <w:pPr>
              <w:jc w:val="right"/>
              <w:ind w:right="581"/>
              <w:spacing w:after="0"/>
              <w:rPr>
                <w:sz w:val="20"/>
                <w:szCs w:val="20"/>
                <w:color w:val="auto"/>
              </w:rPr>
            </w:pPr>
            <w:r>
              <w:rPr>
                <w:rFonts w:ascii="Arial" w:cs="Arial" w:eastAsia="Arial" w:hAnsi="Arial"/>
                <w:sz w:val="17"/>
                <w:szCs w:val="17"/>
                <w:color w:val="auto"/>
              </w:rPr>
              <w:t>40,798,037</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2,039,902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right"/>
              <w:ind w:right="581"/>
              <w:spacing w:after="0"/>
              <w:rPr>
                <w:sz w:val="20"/>
                <w:szCs w:val="20"/>
                <w:color w:val="auto"/>
              </w:rPr>
            </w:pPr>
            <w:r>
              <w:rPr>
                <w:rFonts w:ascii="Arial" w:cs="Arial" w:eastAsia="Arial" w:hAnsi="Arial"/>
                <w:sz w:val="17"/>
                <w:szCs w:val="17"/>
                <w:color w:val="auto"/>
              </w:rPr>
              <w:t>80,514,034</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4,025,702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Movements in share capital</w:t>
      </w:r>
    </w:p>
    <w:p>
      <w:pPr>
        <w:spacing w:after="0" w:line="139"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On September 30, 2003, pursuant to a Subscription and Shareholders’ Agreement dated February 18, 2002, the third tranche of 18,570,103 ‘B’ Preferred Ordinary shares with an aggregate nominal value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18" w:right="1039" w:bottom="1440" w:gutter="0" w:footer="0" w:header="0"/>
        </w:sectPr>
      </w:pPr>
    </w:p>
    <w:bookmarkStart w:id="226" w:name="page227"/>
    <w:bookmarkEnd w:id="226"/>
    <w:p>
      <w:pPr>
        <w:ind w:right="680"/>
        <w:spacing w:after="0" w:line="258" w:lineRule="auto"/>
        <w:rPr>
          <w:sz w:val="20"/>
          <w:szCs w:val="20"/>
          <w:color w:val="auto"/>
        </w:rPr>
      </w:pPr>
      <w:r>
        <w:rPr>
          <w:rFonts w:ascii="Arial" w:cs="Arial" w:eastAsia="Arial" w:hAnsi="Arial"/>
          <w:sz w:val="17"/>
          <w:szCs w:val="17"/>
          <w:color w:val="auto"/>
        </w:rPr>
        <w:t>£185 were allotted to investors for gross proceeds of £6,000,000. During the year ended December 31, 2003, 20,072 ’A’ Preferred Ordinary shares were issued in relation to the exercise of share options at par.</w:t>
      </w:r>
    </w:p>
    <w:p>
      <w:pPr>
        <w:spacing w:after="0" w:line="90" w:lineRule="exact"/>
        <w:rPr>
          <w:sz w:val="20"/>
          <w:szCs w:val="20"/>
          <w:color w:val="auto"/>
        </w:rPr>
      </w:pPr>
    </w:p>
    <w:p>
      <w:pPr>
        <w:ind w:right="840"/>
        <w:spacing w:after="0" w:line="258" w:lineRule="auto"/>
        <w:rPr>
          <w:sz w:val="20"/>
          <w:szCs w:val="20"/>
          <w:color w:val="auto"/>
        </w:rPr>
      </w:pPr>
      <w:r>
        <w:rPr>
          <w:rFonts w:ascii="Arial" w:cs="Arial" w:eastAsia="Arial" w:hAnsi="Arial"/>
          <w:sz w:val="17"/>
          <w:szCs w:val="17"/>
          <w:color w:val="auto"/>
        </w:rPr>
        <w:t>On March 11, 2004, the company issued 16,556,290 ‘B’ Preferred Ordinary shares of 0.001p each for aggregate cash consideration of £5.5 million.</w:t>
      </w:r>
    </w:p>
    <w:p>
      <w:pPr>
        <w:spacing w:after="0" w:line="90" w:lineRule="exact"/>
        <w:rPr>
          <w:sz w:val="20"/>
          <w:szCs w:val="20"/>
          <w:color w:val="auto"/>
        </w:rPr>
      </w:pPr>
    </w:p>
    <w:p>
      <w:pPr>
        <w:ind w:right="960"/>
        <w:spacing w:after="0" w:line="258" w:lineRule="auto"/>
        <w:rPr>
          <w:sz w:val="20"/>
          <w:szCs w:val="20"/>
          <w:color w:val="auto"/>
        </w:rPr>
      </w:pPr>
      <w:r>
        <w:rPr>
          <w:rFonts w:ascii="Arial" w:cs="Arial" w:eastAsia="Arial" w:hAnsi="Arial"/>
          <w:sz w:val="17"/>
          <w:szCs w:val="17"/>
          <w:color w:val="auto"/>
        </w:rPr>
        <w:t>On May 13, 2004, the company agreed to a reorganisation of its share capital prior to its acquisition by Microscience Investments Limited by way of a share for share exchange. The principal features of the reorganisation were: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(a) The issue of shares in the following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2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Gross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2004</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proceeds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No.</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7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Preferred Ordinary shares of 0.001p each</w:t>
            </w: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7"/>
                <w:szCs w:val="17"/>
                <w:color w:val="auto"/>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‘B’ Preferred Ordinary shares of 0.001p each</w:t>
            </w:r>
          </w:p>
        </w:tc>
        <w:tc>
          <w:tcPr>
            <w:tcW w:w="700" w:type="dxa"/>
            <w:vAlign w:val="bottom"/>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99"/>
              <w:spacing w:after="0"/>
              <w:rPr>
                <w:sz w:val="20"/>
                <w:szCs w:val="20"/>
                <w:color w:val="auto"/>
              </w:rPr>
            </w:pPr>
            <w:r>
              <w:rPr>
                <w:rFonts w:ascii="Arial" w:cs="Arial" w:eastAsia="Arial" w:hAnsi="Arial"/>
                <w:sz w:val="17"/>
                <w:szCs w:val="17"/>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80" w:type="dxa"/>
            <w:vAlign w:val="bottom"/>
            <w:gridSpan w:val="3"/>
          </w:tcPr>
          <w:p>
            <w:pPr>
              <w:spacing w:after="0"/>
              <w:rPr>
                <w:sz w:val="20"/>
                <w:szCs w:val="20"/>
                <w:color w:val="auto"/>
              </w:rPr>
            </w:pPr>
            <w:r>
              <w:rPr>
                <w:rFonts w:ascii="Arial" w:cs="Arial" w:eastAsia="Arial" w:hAnsi="Arial"/>
                <w:sz w:val="17"/>
                <w:szCs w:val="17"/>
                <w:color w:val="auto"/>
              </w:rPr>
              <w:t>(b) The exercise of options held by certain shareholders over shares in the company as follows:</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Gross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2004</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proceeds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No.</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7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Ordinary shares of 0.001p each</w:t>
            </w:r>
          </w:p>
        </w:tc>
        <w:tc>
          <w:tcPr>
            <w:tcW w:w="1360" w:type="dxa"/>
            <w:vAlign w:val="bottom"/>
            <w:gridSpan w:val="2"/>
            <w:shd w:val="clear" w:color="auto" w:fill="CCEEFF"/>
          </w:tcPr>
          <w:p>
            <w:pPr>
              <w:jc w:val="right"/>
              <w:ind w:right="179"/>
              <w:spacing w:after="0"/>
              <w:rPr>
                <w:sz w:val="20"/>
                <w:szCs w:val="20"/>
                <w:color w:val="auto"/>
              </w:rPr>
            </w:pPr>
            <w:r>
              <w:rPr>
                <w:rFonts w:ascii="Arial" w:cs="Arial" w:eastAsia="Arial" w:hAnsi="Arial"/>
                <w:sz w:val="17"/>
                <w:szCs w:val="17"/>
                <w:color w:val="auto"/>
              </w:rPr>
              <w:t>333,400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‘B’ Ordinary shares of 0.001p each</w:t>
            </w:r>
          </w:p>
        </w:tc>
        <w:tc>
          <w:tcPr>
            <w:tcW w:w="1360" w:type="dxa"/>
            <w:vAlign w:val="bottom"/>
            <w:gridSpan w:val="2"/>
          </w:tcPr>
          <w:p>
            <w:pPr>
              <w:jc w:val="right"/>
              <w:ind w:right="179"/>
              <w:spacing w:after="0"/>
              <w:rPr>
                <w:sz w:val="20"/>
                <w:szCs w:val="20"/>
                <w:color w:val="auto"/>
              </w:rPr>
            </w:pPr>
            <w:r>
              <w:rPr>
                <w:rFonts w:ascii="Arial" w:cs="Arial" w:eastAsia="Arial" w:hAnsi="Arial"/>
                <w:sz w:val="17"/>
                <w:szCs w:val="17"/>
                <w:color w:val="auto"/>
              </w:rPr>
              <w:t>4,500,000</w:t>
            </w:r>
          </w:p>
        </w:tc>
        <w:tc>
          <w:tcPr>
            <w:tcW w:w="90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gridSpan w:val="2"/>
            <w:shd w:val="clear" w:color="auto" w:fill="CCEEFF"/>
          </w:tcPr>
          <w:p>
            <w:pPr>
              <w:jc w:val="right"/>
              <w:ind w:right="179"/>
              <w:spacing w:after="0"/>
              <w:rPr>
                <w:sz w:val="20"/>
                <w:szCs w:val="20"/>
                <w:color w:val="auto"/>
              </w:rPr>
            </w:pPr>
            <w:r>
              <w:rPr>
                <w:rFonts w:ascii="Arial" w:cs="Arial" w:eastAsia="Arial" w:hAnsi="Arial"/>
                <w:sz w:val="17"/>
                <w:szCs w:val="17"/>
                <w:color w:val="auto"/>
              </w:rPr>
              <w:t>4,833,400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 w:hanging="250"/>
        <w:spacing w:after="0"/>
        <w:tabs>
          <w:tab w:leader="none" w:pos="2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redemption of all of the deferred shares in issue for £1 out of the proceeds of the share issue noted above.</w:t>
      </w:r>
    </w:p>
    <w:p>
      <w:pPr>
        <w:spacing w:after="0" w:line="118" w:lineRule="exact"/>
        <w:rPr>
          <w:rFonts w:ascii="Arial" w:cs="Arial" w:eastAsia="Arial" w:hAnsi="Arial"/>
          <w:sz w:val="17"/>
          <w:szCs w:val="17"/>
          <w:color w:val="auto"/>
        </w:rPr>
      </w:pPr>
    </w:p>
    <w:p>
      <w:pPr>
        <w:ind w:right="300" w:firstLine="10"/>
        <w:spacing w:after="0" w:line="258" w:lineRule="auto"/>
        <w:tabs>
          <w:tab w:leader="none" w:pos="252"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 bonus issue of 2,499 shares of the same class for every share then owned by the holders of each of the ’A’ Ordinary, ’A’ Preferred Ordinary, ’B’ Ordinary and ’B’ Preferred Ordinary shares.</w:t>
      </w:r>
    </w:p>
    <w:p>
      <w:pPr>
        <w:spacing w:after="0" w:line="90" w:lineRule="exact"/>
        <w:rPr>
          <w:rFonts w:ascii="Arial" w:cs="Arial" w:eastAsia="Arial" w:hAnsi="Arial"/>
          <w:sz w:val="17"/>
          <w:szCs w:val="17"/>
          <w:color w:val="auto"/>
        </w:rPr>
      </w:pPr>
    </w:p>
    <w:p>
      <w:pPr>
        <w:ind w:right="320" w:firstLine="10"/>
        <w:spacing w:after="0" w:line="258" w:lineRule="auto"/>
        <w:tabs>
          <w:tab w:leader="none" w:pos="25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consolidation of every 5,000 shares of each class subject to the bonus issue in (d) above into one new share of each respective class with a nominal value of 5p.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Rights of the shares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Ordinary and Preferred Ordinary shares</w:t>
      </w:r>
    </w:p>
    <w:p>
      <w:pPr>
        <w:spacing w:after="0" w:line="121" w:lineRule="exact"/>
        <w:rPr>
          <w:sz w:val="20"/>
          <w:szCs w:val="20"/>
          <w:color w:val="auto"/>
        </w:rPr>
      </w:pPr>
    </w:p>
    <w:p>
      <w:pPr>
        <w:ind w:right="440"/>
        <w:spacing w:after="0" w:line="254" w:lineRule="auto"/>
        <w:rPr>
          <w:sz w:val="20"/>
          <w:szCs w:val="20"/>
          <w:color w:val="auto"/>
        </w:rPr>
      </w:pPr>
      <w:r>
        <w:rPr>
          <w:rFonts w:ascii="Arial" w:cs="Arial" w:eastAsia="Arial" w:hAnsi="Arial"/>
          <w:sz w:val="17"/>
          <w:szCs w:val="17"/>
          <w:color w:val="auto"/>
        </w:rPr>
        <w:t xml:space="preserve">The ’A’ and ’B’ Ordinary and the ’A’ and ’B’ Preferred Ordinary shares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as regards both dividends and voting rights but constitute separate classes of equity shares. In a sale or liquidation the ’B’ Preferred Ordinary shareholders take precedence over the ’A’ Preferred Ordinary shareholders, who in turn take precedence over the ’A’ and ’B’ Ordinary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shares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rights of the deferred shares are as follows: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Priority on a winding up</w:t>
      </w:r>
    </w:p>
    <w:p>
      <w:pPr>
        <w:spacing w:after="0" w:line="13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On a return of assets on a liquidation or otherwise, the deferred shareholders are entitled to receive payment of the subscription price paid for the shares after the holders of the ‘A’ and ‘B’ Preferred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27" w:name="page228"/>
    <w:bookmarkEnd w:id="227"/>
    <w:p>
      <w:pPr>
        <w:ind w:right="600"/>
        <w:spacing w:after="0" w:line="258" w:lineRule="auto"/>
        <w:rPr>
          <w:sz w:val="20"/>
          <w:szCs w:val="20"/>
          <w:color w:val="auto"/>
        </w:rPr>
      </w:pPr>
      <w:r>
        <w:rPr>
          <w:rFonts w:ascii="Arial" w:cs="Arial" w:eastAsia="Arial" w:hAnsi="Arial"/>
          <w:sz w:val="17"/>
          <w:szCs w:val="17"/>
          <w:color w:val="auto"/>
        </w:rPr>
        <w:t>Ordinary and ‘A’ and ‘B’ Ordinary shares have received £1,000,000 in respect of each such Preferred Ordinary share and Ordinary share.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Deferred shareholders have no voting rights.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redeem the deferred shares for an aggregate price of £1 at any time.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deferred shareholders have no dividend rights.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Classification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deferred shares are classed as non-equity.</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options</w:t>
      </w:r>
    </w:p>
    <w:p>
      <w:pPr>
        <w:spacing w:after="0" w:line="139"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Options over ‘A’ Ordinary shares have been granted to directors, employees and consultants under unapproved and approved share option schemes. Details of movements in share options for the two years ended December 31, 2003 and 2004 are as follows: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 Preferred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80" w:type="dxa"/>
            <w:vAlign w:val="bottom"/>
          </w:tcPr>
          <w:p>
            <w:pPr>
              <w:jc w:val="right"/>
              <w:ind w:right="174"/>
              <w:spacing w:after="0"/>
              <w:rPr>
                <w:sz w:val="20"/>
                <w:szCs w:val="20"/>
                <w:color w:val="auto"/>
              </w:rPr>
            </w:pPr>
            <w:r>
              <w:rPr>
                <w:rFonts w:ascii="Arial" w:cs="Arial" w:eastAsia="Arial" w:hAnsi="Arial"/>
                <w:sz w:val="16"/>
                <w:szCs w:val="16"/>
                <w:b w:val="1"/>
                <w:bCs w:val="1"/>
                <w:color w:val="auto"/>
              </w:rPr>
              <w:t>‘A’ Ordinary</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Ordinary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280" w:type="dxa"/>
            <w:vAlign w:val="bottom"/>
          </w:tcPr>
          <w:p>
            <w:pPr>
              <w:jc w:val="right"/>
              <w:ind w:right="174"/>
              <w:spacing w:after="0"/>
              <w:rPr>
                <w:sz w:val="20"/>
                <w:szCs w:val="20"/>
                <w:color w:val="auto"/>
              </w:rPr>
            </w:pPr>
            <w:r>
              <w:rPr>
                <w:rFonts w:ascii="Arial" w:cs="Arial" w:eastAsia="Arial" w:hAnsi="Arial"/>
                <w:sz w:val="16"/>
                <w:szCs w:val="16"/>
                <w:b w:val="1"/>
                <w:bCs w:val="1"/>
                <w:color w:val="auto"/>
              </w:rPr>
              <w:t>shares</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80" w:type="dxa"/>
            <w:vAlign w:val="bottom"/>
          </w:tcPr>
          <w:p>
            <w:pPr>
              <w:jc w:val="right"/>
              <w:ind w:right="174"/>
              <w:spacing w:after="0"/>
              <w:rPr>
                <w:sz w:val="20"/>
                <w:szCs w:val="20"/>
                <w:color w:val="auto"/>
              </w:rPr>
            </w:pPr>
            <w:r>
              <w:rPr>
                <w:rFonts w:ascii="Arial" w:cs="Arial" w:eastAsia="Arial" w:hAnsi="Arial"/>
                <w:sz w:val="16"/>
                <w:szCs w:val="16"/>
                <w:b w:val="1"/>
                <w:bCs w:val="1"/>
                <w:color w:val="auto"/>
              </w:rPr>
              <w:t>No.</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No.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At January 1, 2003 (over shares of 0.001p each)</w:t>
            </w:r>
          </w:p>
        </w:tc>
        <w:tc>
          <w:tcPr>
            <w:tcW w:w="12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9,611,476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ind w:right="174"/>
              <w:spacing w:after="0"/>
              <w:rPr>
                <w:sz w:val="20"/>
                <w:szCs w:val="20"/>
                <w:color w:val="auto"/>
              </w:rPr>
            </w:pPr>
            <w:r>
              <w:rPr>
                <w:rFonts w:ascii="Arial" w:cs="Arial" w:eastAsia="Arial" w:hAnsi="Arial"/>
                <w:sz w:val="17"/>
                <w:szCs w:val="17"/>
                <w:color w:val="auto"/>
              </w:rPr>
              <w:t>2,300,000</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(20,072)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Lapsed</w:t>
            </w:r>
          </w:p>
        </w:tc>
        <w:tc>
          <w:tcPr>
            <w:tcW w:w="12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(216,300)</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At December 31, 2003 (over shares of 0.001p each)</w:t>
            </w:r>
          </w:p>
        </w:tc>
        <w:tc>
          <w:tcPr>
            <w:tcW w:w="12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11,675,104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tcPr>
          <w:p>
            <w:pPr>
              <w:jc w:val="right"/>
              <w:ind w:right="174"/>
              <w:spacing w:after="0"/>
              <w:rPr>
                <w:sz w:val="20"/>
                <w:szCs w:val="20"/>
                <w:color w:val="auto"/>
              </w:rPr>
            </w:pPr>
            <w:r>
              <w:rPr>
                <w:rFonts w:ascii="Arial" w:cs="Arial" w:eastAsia="Arial" w:hAnsi="Arial"/>
                <w:sz w:val="17"/>
                <w:szCs w:val="17"/>
                <w:color w:val="auto"/>
              </w:rPr>
              <w:t>1,000,000</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Reclassified</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(377,504)</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377,504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Exercised</w:t>
            </w: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(333,400)</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Lapsed</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(1,403,600)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Terms varied as a result of capital reorganisation</w:t>
            </w: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(50,000)</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(188,752)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Options cancelled in exchange for options in Microscience Investments Limited</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(10,460,600)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At December 31, 2004 (over shares of 5p each)</w:t>
            </w: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50,000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188,752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To the extent not previously exercised the options outstanding at December 31, 2004 expired on May 31, 2005.</w:t>
      </w:r>
    </w:p>
    <w:p>
      <w:pPr>
        <w:spacing w:after="0" w:line="11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As part of the capital reorganisation undertaken by the group, certain options in issue at the date of reorganisation were rolled over into options on exactly equivalent terms over the equivalent class of share in the company’s holding company, Microscience Investments Limited.</w:t>
      </w:r>
    </w:p>
    <w:p>
      <w:pPr>
        <w:spacing w:after="0" w:line="96"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Where options were retained in Emergent Product Development UK Limited, the terms of the options were varied to provide an equivalent interest and economic benefit in the shares of the company under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5" w:right="1039" w:bottom="1440" w:gutter="0" w:footer="0" w:header="0"/>
        </w:sectPr>
      </w:pPr>
    </w:p>
    <w:bookmarkStart w:id="228" w:name="page229"/>
    <w:bookmarkEnd w:id="228"/>
    <w:p>
      <w:pPr>
        <w:ind w:left="680" w:right="820"/>
        <w:spacing w:after="0" w:line="258" w:lineRule="auto"/>
        <w:rPr>
          <w:sz w:val="20"/>
          <w:szCs w:val="20"/>
          <w:color w:val="auto"/>
        </w:rPr>
      </w:pPr>
      <w:r>
        <w:rPr>
          <w:rFonts w:ascii="Arial" w:cs="Arial" w:eastAsia="Arial" w:hAnsi="Arial"/>
          <w:sz w:val="17"/>
          <w:szCs w:val="17"/>
          <w:color w:val="auto"/>
        </w:rPr>
        <w:t>the new capital structure. On exercise of these options provision has been made for the resulting issued shares to be exchanged for equivalent shares in Microscience Investments Limited.</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7"/>
          <w:szCs w:val="17"/>
          <w:b w:val="1"/>
          <w:bCs w:val="1"/>
          <w:i w:val="1"/>
          <w:iCs w:val="1"/>
          <w:color w:val="auto"/>
        </w:rPr>
        <w:t>Shareholders’ share options</w:t>
      </w:r>
    </w:p>
    <w:p>
      <w:pPr>
        <w:spacing w:after="0" w:line="139" w:lineRule="exact"/>
        <w:rPr>
          <w:sz w:val="20"/>
          <w:szCs w:val="20"/>
          <w:color w:val="auto"/>
        </w:rPr>
      </w:pPr>
    </w:p>
    <w:p>
      <w:pPr>
        <w:ind w:left="680" w:right="1240"/>
        <w:spacing w:after="0" w:line="250" w:lineRule="auto"/>
        <w:rPr>
          <w:sz w:val="20"/>
          <w:szCs w:val="20"/>
          <w:color w:val="auto"/>
        </w:rPr>
      </w:pPr>
      <w:r>
        <w:rPr>
          <w:rFonts w:ascii="Arial" w:cs="Arial" w:eastAsia="Arial" w:hAnsi="Arial"/>
          <w:sz w:val="17"/>
          <w:szCs w:val="17"/>
          <w:color w:val="auto"/>
        </w:rPr>
        <w:t>At January 1, 2003 and 2004, the Merlin Fund held 3,000,000 options over ‘B’ Ordinary shares exercisable at par and Apax Funds Nominees Limited held a further 1,500,000 options over ‘B’ Ordinary shares exercisable at par. These options were exercised immediately prior to the capital reorganisation on May 7, 2004.</w:t>
      </w:r>
    </w:p>
    <w:p>
      <w:pPr>
        <w:spacing w:after="0" w:line="96" w:lineRule="exact"/>
        <w:rPr>
          <w:sz w:val="20"/>
          <w:szCs w:val="20"/>
          <w:color w:val="auto"/>
        </w:rPr>
      </w:pPr>
    </w:p>
    <w:p>
      <w:pPr>
        <w:ind w:left="680" w:right="1220"/>
        <w:spacing w:after="0" w:line="250" w:lineRule="auto"/>
        <w:rPr>
          <w:sz w:val="20"/>
          <w:szCs w:val="20"/>
          <w:color w:val="auto"/>
        </w:rPr>
      </w:pPr>
      <w:r>
        <w:rPr>
          <w:rFonts w:ascii="Arial" w:cs="Arial" w:eastAsia="Arial" w:hAnsi="Arial"/>
          <w:sz w:val="17"/>
          <w:szCs w:val="17"/>
          <w:color w:val="auto"/>
        </w:rPr>
        <w:t>In addition to the above, at January 1, 2003 and 2004, Imperial College held options over 500,000 ‘B’ Ordinary shares at an exercise price of 30p per share and Apax Funds Nominees Limited held options over 2,055,596 ‘B’ Ordinary shares at an exercise price of 50p per share.</w:t>
      </w:r>
    </w:p>
    <w:p>
      <w:pPr>
        <w:spacing w:after="0" w:line="96" w:lineRule="exact"/>
        <w:rPr>
          <w:sz w:val="20"/>
          <w:szCs w:val="20"/>
          <w:color w:val="auto"/>
        </w:rPr>
      </w:pPr>
    </w:p>
    <w:p>
      <w:pPr>
        <w:ind w:left="680" w:right="880"/>
        <w:spacing w:after="0" w:line="244" w:lineRule="auto"/>
        <w:rPr>
          <w:sz w:val="20"/>
          <w:szCs w:val="20"/>
          <w:color w:val="auto"/>
        </w:rPr>
      </w:pPr>
      <w:r>
        <w:rPr>
          <w:rFonts w:ascii="Arial" w:cs="Arial" w:eastAsia="Arial" w:hAnsi="Arial"/>
          <w:sz w:val="17"/>
          <w:szCs w:val="17"/>
          <w:color w:val="auto"/>
        </w:rPr>
        <w:t>Under the terms of the capital reorganisation on May 13, 2004, the terms of the options were varied to provide an equivalent interest and economic benefit in the shares of the company under the new capital structure. On exercise of these options, provision was made for the resulting issued shares to be exchanged for equivalent shares in Microscience Investments Limited. As a result of the above, at December 31, 2004 Imperial College retained an option over 250,000 5p ‘B’ Ordinary shares with an exercise price of 60p per share and Apax Funds Nominees Limited retained an option over 1,027,798 5p ’B’ Ordinary shares with an exercise price of £1 per share.</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21"/>
          <w:szCs w:val="21"/>
          <w:b w:val="1"/>
          <w:bCs w:val="1"/>
          <w:color w:val="auto"/>
        </w:rPr>
        <w:t>9. Reconciliation of movements on reserves and shareholders’ funds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120" w:type="dxa"/>
            <w:vAlign w:val="bottom"/>
            <w:gridSpan w:val="2"/>
          </w:tcPr>
          <w:p>
            <w:pPr>
              <w:jc w:val="right"/>
              <w:ind w:right="136"/>
              <w:spacing w:after="0"/>
              <w:rPr>
                <w:sz w:val="20"/>
                <w:szCs w:val="20"/>
                <w:color w:val="auto"/>
              </w:rPr>
            </w:pPr>
            <w:r>
              <w:rPr>
                <w:rFonts w:ascii="Arial" w:cs="Arial" w:eastAsia="Arial" w:hAnsi="Arial"/>
                <w:sz w:val="16"/>
                <w:szCs w:val="16"/>
                <w:b w:val="1"/>
                <w:bCs w:val="1"/>
                <w:color w:val="auto"/>
              </w:rPr>
              <w:t>Called up</w:t>
            </w:r>
          </w:p>
        </w:tc>
        <w:tc>
          <w:tcPr>
            <w:tcW w:w="1320" w:type="dxa"/>
            <w:vAlign w:val="bottom"/>
          </w:tcPr>
          <w:p>
            <w:pPr>
              <w:jc w:val="right"/>
              <w:ind w:right="415"/>
              <w:spacing w:after="0"/>
              <w:rPr>
                <w:sz w:val="20"/>
                <w:szCs w:val="20"/>
                <w:color w:val="auto"/>
              </w:rPr>
            </w:pPr>
            <w:r>
              <w:rPr>
                <w:rFonts w:ascii="Arial" w:cs="Arial" w:eastAsia="Arial" w:hAnsi="Arial"/>
                <w:sz w:val="16"/>
                <w:szCs w:val="16"/>
                <w:b w:val="1"/>
                <w:bCs w:val="1"/>
                <w:color w:val="auto"/>
              </w:rPr>
              <w:t>Share</w:t>
            </w:r>
          </w:p>
        </w:tc>
        <w:tc>
          <w:tcPr>
            <w:tcW w:w="1460" w:type="dxa"/>
            <w:vAlign w:val="bottom"/>
          </w:tcPr>
          <w:p>
            <w:pPr>
              <w:jc w:val="right"/>
              <w:ind w:right="75"/>
              <w:spacing w:after="0"/>
              <w:rPr>
                <w:sz w:val="20"/>
                <w:szCs w:val="20"/>
                <w:color w:val="auto"/>
              </w:rPr>
            </w:pPr>
            <w:r>
              <w:rPr>
                <w:rFonts w:ascii="Arial" w:cs="Arial" w:eastAsia="Arial" w:hAnsi="Arial"/>
                <w:sz w:val="16"/>
                <w:szCs w:val="16"/>
                <w:b w:val="1"/>
                <w:bCs w:val="1"/>
                <w:color w:val="auto"/>
              </w:rPr>
              <w:t>Capital</w:t>
            </w:r>
          </w:p>
        </w:tc>
        <w:tc>
          <w:tcPr>
            <w:tcW w:w="1020" w:type="dxa"/>
            <w:vAlign w:val="bottom"/>
          </w:tcPr>
          <w:p>
            <w:pPr>
              <w:jc w:val="right"/>
              <w:ind w:right="135"/>
              <w:spacing w:after="0"/>
              <w:rPr>
                <w:sz w:val="20"/>
                <w:szCs w:val="20"/>
                <w:color w:val="auto"/>
              </w:rPr>
            </w:pPr>
            <w:r>
              <w:rPr>
                <w:rFonts w:ascii="Arial" w:cs="Arial" w:eastAsia="Arial" w:hAnsi="Arial"/>
                <w:sz w:val="16"/>
                <w:szCs w:val="16"/>
                <w:b w:val="1"/>
                <w:bCs w:val="1"/>
                <w:color w:val="auto"/>
              </w:rPr>
              <w:t>Profit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share-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36"/>
              <w:spacing w:after="0"/>
              <w:rPr>
                <w:sz w:val="20"/>
                <w:szCs w:val="20"/>
                <w:color w:val="auto"/>
              </w:rPr>
            </w:pPr>
            <w:r>
              <w:rPr>
                <w:rFonts w:ascii="Arial" w:cs="Arial" w:eastAsia="Arial" w:hAnsi="Arial"/>
                <w:sz w:val="16"/>
                <w:szCs w:val="16"/>
                <w:b w:val="1"/>
                <w:bCs w:val="1"/>
                <w:color w:val="auto"/>
              </w:rPr>
              <w:t>share</w:t>
            </w:r>
          </w:p>
        </w:tc>
        <w:tc>
          <w:tcPr>
            <w:tcW w:w="1320" w:type="dxa"/>
            <w:vAlign w:val="bottom"/>
          </w:tcPr>
          <w:p>
            <w:pPr>
              <w:jc w:val="right"/>
              <w:ind w:right="415"/>
              <w:spacing w:after="0"/>
              <w:rPr>
                <w:sz w:val="20"/>
                <w:szCs w:val="20"/>
                <w:color w:val="auto"/>
              </w:rPr>
            </w:pPr>
            <w:r>
              <w:rPr>
                <w:rFonts w:ascii="Arial" w:cs="Arial" w:eastAsia="Arial" w:hAnsi="Arial"/>
                <w:sz w:val="16"/>
                <w:szCs w:val="16"/>
                <w:b w:val="1"/>
                <w:bCs w:val="1"/>
                <w:color w:val="auto"/>
              </w:rPr>
              <w:t>premium</w:t>
            </w:r>
          </w:p>
        </w:tc>
        <w:tc>
          <w:tcPr>
            <w:tcW w:w="1460" w:type="dxa"/>
            <w:vAlign w:val="bottom"/>
          </w:tcPr>
          <w:p>
            <w:pPr>
              <w:jc w:val="right"/>
              <w:ind w:right="75"/>
              <w:spacing w:after="0"/>
              <w:rPr>
                <w:sz w:val="20"/>
                <w:szCs w:val="20"/>
                <w:color w:val="auto"/>
              </w:rPr>
            </w:pPr>
            <w:r>
              <w:rPr>
                <w:rFonts w:ascii="Arial" w:cs="Arial" w:eastAsia="Arial" w:hAnsi="Arial"/>
                <w:sz w:val="16"/>
                <w:szCs w:val="16"/>
                <w:b w:val="1"/>
                <w:bCs w:val="1"/>
                <w:color w:val="auto"/>
              </w:rPr>
              <w:t>redemption</w:t>
            </w:r>
          </w:p>
        </w:tc>
        <w:tc>
          <w:tcPr>
            <w:tcW w:w="1020" w:type="dxa"/>
            <w:vAlign w:val="bottom"/>
          </w:tcPr>
          <w:p>
            <w:pPr>
              <w:jc w:val="right"/>
              <w:ind w:right="135"/>
              <w:spacing w:after="0"/>
              <w:rPr>
                <w:sz w:val="20"/>
                <w:szCs w:val="20"/>
                <w:color w:val="auto"/>
              </w:rPr>
            </w:pPr>
            <w:r>
              <w:rPr>
                <w:rFonts w:ascii="Arial" w:cs="Arial" w:eastAsia="Arial" w:hAnsi="Arial"/>
                <w:sz w:val="16"/>
                <w:szCs w:val="16"/>
                <w:b w:val="1"/>
                <w:bCs w:val="1"/>
                <w:color w:val="auto"/>
              </w:rPr>
              <w:t>and loss</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holders’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36"/>
              <w:spacing w:after="0"/>
              <w:rPr>
                <w:sz w:val="20"/>
                <w:szCs w:val="20"/>
                <w:color w:val="auto"/>
              </w:rPr>
            </w:pPr>
            <w:r>
              <w:rPr>
                <w:rFonts w:ascii="Arial" w:cs="Arial" w:eastAsia="Arial" w:hAnsi="Arial"/>
                <w:sz w:val="16"/>
                <w:szCs w:val="16"/>
                <w:b w:val="1"/>
                <w:bCs w:val="1"/>
                <w:color w:val="auto"/>
              </w:rPr>
              <w:t>capital</w:t>
            </w:r>
          </w:p>
        </w:tc>
        <w:tc>
          <w:tcPr>
            <w:tcW w:w="1320" w:type="dxa"/>
            <w:vAlign w:val="bottom"/>
          </w:tcPr>
          <w:p>
            <w:pPr>
              <w:jc w:val="right"/>
              <w:ind w:right="415"/>
              <w:spacing w:after="0"/>
              <w:rPr>
                <w:sz w:val="20"/>
                <w:szCs w:val="20"/>
                <w:color w:val="auto"/>
              </w:rPr>
            </w:pPr>
            <w:r>
              <w:rPr>
                <w:rFonts w:ascii="Arial" w:cs="Arial" w:eastAsia="Arial" w:hAnsi="Arial"/>
                <w:sz w:val="16"/>
                <w:szCs w:val="16"/>
                <w:b w:val="1"/>
                <w:bCs w:val="1"/>
                <w:color w:val="auto"/>
              </w:rPr>
              <w:t>account</w:t>
            </w:r>
          </w:p>
        </w:tc>
        <w:tc>
          <w:tcPr>
            <w:tcW w:w="1460" w:type="dxa"/>
            <w:vAlign w:val="bottom"/>
          </w:tcPr>
          <w:p>
            <w:pPr>
              <w:jc w:val="right"/>
              <w:ind w:right="95"/>
              <w:spacing w:after="0"/>
              <w:rPr>
                <w:sz w:val="20"/>
                <w:szCs w:val="20"/>
                <w:color w:val="auto"/>
              </w:rPr>
            </w:pPr>
            <w:r>
              <w:rPr>
                <w:rFonts w:ascii="Arial" w:cs="Arial" w:eastAsia="Arial" w:hAnsi="Arial"/>
                <w:sz w:val="16"/>
                <w:szCs w:val="16"/>
                <w:b w:val="1"/>
                <w:bCs w:val="1"/>
                <w:color w:val="auto"/>
              </w:rPr>
              <w:t>reserve</w:t>
            </w:r>
          </w:p>
        </w:tc>
        <w:tc>
          <w:tcPr>
            <w:tcW w:w="1020" w:type="dxa"/>
            <w:vAlign w:val="bottom"/>
          </w:tcPr>
          <w:p>
            <w:pPr>
              <w:jc w:val="right"/>
              <w:ind w:right="135"/>
              <w:spacing w:after="0"/>
              <w:rPr>
                <w:sz w:val="20"/>
                <w:szCs w:val="20"/>
                <w:color w:val="auto"/>
              </w:rPr>
            </w:pPr>
            <w:r>
              <w:rPr>
                <w:rFonts w:ascii="Arial" w:cs="Arial" w:eastAsia="Arial" w:hAnsi="Arial"/>
                <w:sz w:val="16"/>
                <w:szCs w:val="16"/>
                <w:b w:val="1"/>
                <w:bCs w:val="1"/>
                <w:color w:val="auto"/>
              </w:rPr>
              <w:t>account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funds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36"/>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415"/>
              <w:spacing w:after="0"/>
              <w:rPr>
                <w:sz w:val="20"/>
                <w:szCs w:val="20"/>
                <w:color w:val="auto"/>
              </w:rPr>
            </w:pPr>
            <w:r>
              <w:rPr>
                <w:rFonts w:ascii="Arial" w:cs="Arial" w:eastAsia="Arial" w:hAnsi="Arial"/>
                <w:sz w:val="16"/>
                <w:szCs w:val="16"/>
                <w:b w:val="1"/>
                <w:bCs w:val="1"/>
                <w:color w:val="auto"/>
              </w:rPr>
              <w:t>£’000</w:t>
            </w:r>
          </w:p>
        </w:tc>
        <w:tc>
          <w:tcPr>
            <w:tcW w:w="1460" w:type="dxa"/>
            <w:vAlign w:val="bottom"/>
          </w:tcPr>
          <w:p>
            <w:pPr>
              <w:jc w:val="right"/>
              <w:ind w:right="75"/>
              <w:spacing w:after="0"/>
              <w:rPr>
                <w:sz w:val="20"/>
                <w:szCs w:val="20"/>
                <w:color w:val="auto"/>
              </w:rPr>
            </w:pPr>
            <w:r>
              <w:rPr>
                <w:rFonts w:ascii="Arial" w:cs="Arial" w:eastAsia="Arial" w:hAnsi="Arial"/>
                <w:sz w:val="16"/>
                <w:szCs w:val="16"/>
                <w:b w:val="1"/>
                <w:bCs w:val="1"/>
                <w:color w:val="auto"/>
              </w:rPr>
              <w:t>£’000</w:t>
            </w:r>
          </w:p>
        </w:tc>
        <w:tc>
          <w:tcPr>
            <w:tcW w:w="1020" w:type="dxa"/>
            <w:vAlign w:val="bottom"/>
          </w:tcPr>
          <w:p>
            <w:pPr>
              <w:jc w:val="right"/>
              <w:ind w:right="135"/>
              <w:spacing w:after="0"/>
              <w:rPr>
                <w:sz w:val="20"/>
                <w:szCs w:val="20"/>
                <w:color w:val="auto"/>
              </w:rPr>
            </w:pPr>
            <w:r>
              <w:rPr>
                <w:rFonts w:ascii="Arial" w:cs="Arial" w:eastAsia="Arial" w:hAnsi="Arial"/>
                <w:sz w:val="16"/>
                <w:szCs w:val="16"/>
                <w:b w:val="1"/>
                <w:bCs w:val="1"/>
                <w:color w:val="auto"/>
              </w:rPr>
              <w:t>£’000</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At January 1, 2003</w:t>
            </w:r>
          </w:p>
        </w:tc>
        <w:tc>
          <w:tcPr>
            <w:tcW w:w="112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11,435</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17,055</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(20,611)</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7,879</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Issue of share capital</w:t>
            </w:r>
          </w:p>
        </w:tc>
        <w:tc>
          <w:tcPr>
            <w:tcW w:w="200" w:type="dxa"/>
            <w:vAlign w:val="bottom"/>
          </w:tcPr>
          <w:p>
            <w:pPr>
              <w:spacing w:after="0"/>
              <w:rPr>
                <w:sz w:val="17"/>
                <w:szCs w:val="17"/>
                <w:color w:val="auto"/>
              </w:rPr>
            </w:pPr>
          </w:p>
        </w:tc>
        <w:tc>
          <w:tcPr>
            <w:tcW w:w="9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15"/>
              <w:spacing w:after="0"/>
              <w:rPr>
                <w:sz w:val="20"/>
                <w:szCs w:val="20"/>
                <w:color w:val="auto"/>
              </w:rPr>
            </w:pPr>
            <w:r>
              <w:rPr>
                <w:rFonts w:ascii="Arial" w:cs="Arial" w:eastAsia="Arial" w:hAnsi="Arial"/>
                <w:sz w:val="17"/>
                <w:szCs w:val="17"/>
                <w:color w:val="auto"/>
              </w:rPr>
              <w:t>6,000</w:t>
            </w: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6,000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Loss for the year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(9,727)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(9,727)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2"/>
          </w:tcPr>
          <w:p>
            <w:pPr>
              <w:ind w:left="700"/>
              <w:spacing w:after="0"/>
              <w:rPr>
                <w:sz w:val="20"/>
                <w:szCs w:val="20"/>
                <w:color w:val="auto"/>
              </w:rPr>
            </w:pPr>
            <w:r>
              <w:rPr>
                <w:rFonts w:ascii="Arial" w:cs="Arial" w:eastAsia="Arial" w:hAnsi="Arial"/>
                <w:sz w:val="17"/>
                <w:szCs w:val="17"/>
                <w:color w:val="auto"/>
              </w:rPr>
              <w:t>At December 31, 2003</w:t>
            </w:r>
          </w:p>
        </w:tc>
        <w:tc>
          <w:tcPr>
            <w:tcW w:w="1120" w:type="dxa"/>
            <w:vAlign w:val="bottom"/>
            <w:gridSpan w:val="2"/>
          </w:tcPr>
          <w:p>
            <w:pPr>
              <w:jc w:val="right"/>
              <w:ind w:right="136"/>
              <w:spacing w:after="0"/>
              <w:rPr>
                <w:sz w:val="20"/>
                <w:szCs w:val="20"/>
                <w:color w:val="auto"/>
              </w:rPr>
            </w:pPr>
            <w:r>
              <w:rPr>
                <w:rFonts w:ascii="Arial" w:cs="Arial" w:eastAsia="Arial" w:hAnsi="Arial"/>
                <w:sz w:val="17"/>
                <w:szCs w:val="17"/>
                <w:color w:val="auto"/>
              </w:rPr>
              <w:t>11,435</w:t>
            </w:r>
          </w:p>
        </w:tc>
        <w:tc>
          <w:tcPr>
            <w:tcW w:w="1320" w:type="dxa"/>
            <w:vAlign w:val="bottom"/>
          </w:tcPr>
          <w:p>
            <w:pPr>
              <w:jc w:val="right"/>
              <w:ind w:right="415"/>
              <w:spacing w:after="0"/>
              <w:rPr>
                <w:sz w:val="20"/>
                <w:szCs w:val="20"/>
                <w:color w:val="auto"/>
              </w:rPr>
            </w:pPr>
            <w:r>
              <w:rPr>
                <w:rFonts w:ascii="Arial" w:cs="Arial" w:eastAsia="Arial" w:hAnsi="Arial"/>
                <w:sz w:val="17"/>
                <w:szCs w:val="17"/>
                <w:color w:val="auto"/>
              </w:rPr>
              <w:t>23,055</w:t>
            </w: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(30,338)</w:t>
            </w:r>
          </w:p>
        </w:tc>
        <w:tc>
          <w:tcPr>
            <w:tcW w:w="760" w:type="dxa"/>
            <w:vAlign w:val="bottom"/>
          </w:tcPr>
          <w:p>
            <w:pPr>
              <w:jc w:val="right"/>
              <w:spacing w:after="0"/>
              <w:rPr>
                <w:sz w:val="20"/>
                <w:szCs w:val="20"/>
                <w:color w:val="auto"/>
              </w:rPr>
            </w:pPr>
            <w:r>
              <w:rPr>
                <w:rFonts w:ascii="Arial" w:cs="Arial" w:eastAsia="Arial" w:hAnsi="Arial"/>
                <w:sz w:val="17"/>
                <w:szCs w:val="17"/>
                <w:color w:val="auto"/>
              </w:rPr>
              <w:t>4,152</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Issue of share capital</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5,500</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Loss for the year</w:t>
            </w:r>
          </w:p>
        </w:tc>
        <w:tc>
          <w:tcPr>
            <w:tcW w:w="200" w:type="dxa"/>
            <w:vAlign w:val="bottom"/>
          </w:tcPr>
          <w:p>
            <w:pPr>
              <w:spacing w:after="0"/>
              <w:rPr>
                <w:sz w:val="17"/>
                <w:szCs w:val="17"/>
                <w:color w:val="auto"/>
              </w:rPr>
            </w:pPr>
          </w:p>
        </w:tc>
        <w:tc>
          <w:tcPr>
            <w:tcW w:w="9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(9,120)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(9,120)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Deferred shares redeemed out of proceeds of fresh</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0" w:type="dxa"/>
            <w:vAlign w:val="bottom"/>
          </w:tcPr>
          <w:p>
            <w:pPr>
              <w:spacing w:after="0"/>
              <w:rPr>
                <w:sz w:val="17"/>
                <w:szCs w:val="17"/>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issue</w:t>
            </w:r>
          </w:p>
        </w:tc>
        <w:tc>
          <w:tcPr>
            <w:tcW w:w="11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(11,434)</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11,434</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Effect of capital reorganisation</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4,025</w:t>
            </w:r>
          </w:p>
        </w:tc>
        <w:tc>
          <w:tcPr>
            <w:tcW w:w="13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(4,025)</w:t>
            </w:r>
          </w:p>
        </w:tc>
        <w:tc>
          <w:tcPr>
            <w:tcW w:w="14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At December 31, 2004</w:t>
            </w:r>
          </w:p>
        </w:tc>
        <w:tc>
          <w:tcPr>
            <w:tcW w:w="112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4,026</w:t>
            </w:r>
          </w:p>
        </w:tc>
        <w:tc>
          <w:tcPr>
            <w:tcW w:w="132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24,530</w:t>
            </w:r>
          </w:p>
        </w:tc>
        <w:tc>
          <w:tcPr>
            <w:tcW w:w="14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11,434</w:t>
            </w: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(39,458)</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56"/>
              <w:spacing w:after="0"/>
              <w:rPr>
                <w:sz w:val="20"/>
                <w:szCs w:val="20"/>
                <w:color w:val="auto"/>
              </w:rPr>
            </w:pPr>
            <w:r>
              <w:rPr>
                <w:rFonts w:ascii="Arial" w:cs="Arial" w:eastAsia="Arial" w:hAnsi="Arial"/>
                <w:sz w:val="17"/>
                <w:szCs w:val="17"/>
                <w:color w:val="auto"/>
              </w:rPr>
              <w:t>F-44</w:t>
            </w:r>
          </w:p>
        </w:tc>
        <w:tc>
          <w:tcPr>
            <w:tcW w:w="1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41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132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76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229" w:name="page230"/>
    <w:bookmarkEnd w:id="229"/>
    <w:p>
      <w:pPr>
        <w:spacing w:after="0"/>
        <w:tabs>
          <w:tab w:leader="none" w:pos="48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20"/>
          <w:szCs w:val="20"/>
          <w:b w:val="1"/>
          <w:bCs w:val="1"/>
          <w:color w:val="auto"/>
        </w:rPr>
        <w:t>Reconciliation of operating loss to operating cash flows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256"/>
              <w:spacing w:after="0"/>
              <w:rPr>
                <w:sz w:val="20"/>
                <w:szCs w:val="20"/>
                <w:color w:val="auto"/>
              </w:rPr>
            </w:pPr>
            <w:r>
              <w:rPr>
                <w:rFonts w:ascii="Arial" w:cs="Arial" w:eastAsia="Arial" w:hAnsi="Arial"/>
                <w:sz w:val="16"/>
                <w:szCs w:val="16"/>
                <w:b w:val="1"/>
                <w:bCs w:val="1"/>
                <w:color w:val="auto"/>
              </w:rPr>
              <w:t>2003</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256"/>
              <w:spacing w:after="0"/>
              <w:rPr>
                <w:sz w:val="20"/>
                <w:szCs w:val="20"/>
                <w:color w:val="auto"/>
              </w:rPr>
            </w:pPr>
            <w:r>
              <w:rPr>
                <w:rFonts w:ascii="Arial" w:cs="Arial" w:eastAsia="Arial" w:hAnsi="Arial"/>
                <w:sz w:val="16"/>
                <w:szCs w:val="16"/>
                <w:b w:val="1"/>
                <w:bCs w:val="1"/>
                <w:color w:val="auto"/>
              </w:rPr>
              <w:t>£’000</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60" w:type="dxa"/>
            <w:vAlign w:val="bottom"/>
            <w:tcBorders>
              <w:bottom w:val="single" w:sz="8" w:color="auto"/>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04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(11,044)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Depreciation</w:t>
            </w:r>
          </w:p>
        </w:tc>
        <w:tc>
          <w:tcPr>
            <w:tcW w:w="1040" w:type="dxa"/>
            <w:vAlign w:val="bottom"/>
            <w:gridSpan w:val="2"/>
          </w:tcPr>
          <w:p>
            <w:pPr>
              <w:jc w:val="right"/>
              <w:ind w:right="256"/>
              <w:spacing w:after="0"/>
              <w:rPr>
                <w:sz w:val="20"/>
                <w:szCs w:val="20"/>
                <w:color w:val="auto"/>
              </w:rPr>
            </w:pPr>
            <w:r>
              <w:rPr>
                <w:rFonts w:ascii="Arial" w:cs="Arial" w:eastAsia="Arial" w:hAnsi="Arial"/>
                <w:sz w:val="17"/>
                <w:szCs w:val="17"/>
                <w:color w:val="auto"/>
              </w:rPr>
              <w:t>330</w:t>
            </w:r>
          </w:p>
        </w:tc>
        <w:tc>
          <w:tcPr>
            <w:tcW w:w="740" w:type="dxa"/>
            <w:vAlign w:val="bottom"/>
          </w:tcPr>
          <w:p>
            <w:pPr>
              <w:jc w:val="right"/>
              <w:spacing w:after="0"/>
              <w:rPr>
                <w:sz w:val="20"/>
                <w:szCs w:val="20"/>
                <w:color w:val="auto"/>
              </w:rPr>
            </w:pPr>
            <w:r>
              <w:rPr>
                <w:rFonts w:ascii="Arial" w:cs="Arial" w:eastAsia="Arial" w:hAnsi="Arial"/>
                <w:sz w:val="17"/>
                <w:szCs w:val="17"/>
                <w:color w:val="auto"/>
              </w:rPr>
              <w:t>333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disposal of tangible fixed assets</w:t>
            </w:r>
          </w:p>
        </w:tc>
        <w:tc>
          <w:tcPr>
            <w:tcW w:w="1040" w:type="dxa"/>
            <w:vAlign w:val="bottom"/>
            <w:gridSpan w:val="2"/>
            <w:shd w:val="clear" w:color="auto" w:fill="CCEEFF"/>
          </w:tcPr>
          <w:p>
            <w:pPr>
              <w:jc w:val="right"/>
              <w:ind w:right="256"/>
              <w:spacing w:after="0"/>
              <w:rPr>
                <w:sz w:val="20"/>
                <w:szCs w:val="20"/>
                <w:color w:val="auto"/>
              </w:rPr>
            </w:pPr>
            <w:r>
              <w:rPr>
                <w:rFonts w:ascii="Arial" w:cs="Arial" w:eastAsia="Arial" w:hAnsi="Arial"/>
                <w:sz w:val="17"/>
                <w:szCs w:val="17"/>
                <w:color w:val="auto"/>
              </w:rPr>
              <w:t>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Write-off of investment and loan to joint venture</w:t>
            </w:r>
          </w:p>
        </w:tc>
        <w:tc>
          <w:tcPr>
            <w:tcW w:w="1040" w:type="dxa"/>
            <w:vAlign w:val="bottom"/>
            <w:gridSpan w:val="2"/>
          </w:tcPr>
          <w:p>
            <w:pPr>
              <w:jc w:val="right"/>
              <w:ind w:right="256"/>
              <w:spacing w:after="0"/>
              <w:rPr>
                <w:sz w:val="20"/>
                <w:szCs w:val="20"/>
                <w:color w:val="auto"/>
              </w:rPr>
            </w:pPr>
            <w:r>
              <w:rPr>
                <w:rFonts w:ascii="Arial" w:cs="Arial" w:eastAsia="Arial" w:hAnsi="Arial"/>
                <w:sz w:val="17"/>
                <w:szCs w:val="17"/>
                <w:color w:val="auto"/>
              </w:rPr>
              <w:t>65</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(Increase)/decrease in debtors</w:t>
            </w:r>
          </w:p>
        </w:tc>
        <w:tc>
          <w:tcPr>
            <w:tcW w:w="1040" w:type="dxa"/>
            <w:vAlign w:val="bottom"/>
            <w:gridSpan w:val="2"/>
            <w:shd w:val="clear" w:color="auto" w:fill="CCEEFF"/>
          </w:tcPr>
          <w:p>
            <w:pPr>
              <w:jc w:val="right"/>
              <w:ind w:right="196"/>
              <w:spacing w:after="0"/>
              <w:rPr>
                <w:sz w:val="20"/>
                <w:szCs w:val="20"/>
                <w:color w:val="auto"/>
              </w:rPr>
            </w:pPr>
            <w:r>
              <w:rPr>
                <w:rFonts w:ascii="Arial" w:cs="Arial" w:eastAsia="Arial" w:hAnsi="Arial"/>
                <w:sz w:val="17"/>
                <w:szCs w:val="17"/>
                <w:color w:val="auto"/>
              </w:rPr>
              <w:t>(114)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(Decrease)/increase in creditors</w:t>
            </w:r>
          </w:p>
        </w:tc>
        <w:tc>
          <w:tcPr>
            <w:tcW w:w="1040" w:type="dxa"/>
            <w:vAlign w:val="bottom"/>
            <w:gridSpan w:val="2"/>
          </w:tcPr>
          <w:p>
            <w:pPr>
              <w:jc w:val="right"/>
              <w:ind w:right="196"/>
              <w:spacing w:after="0"/>
              <w:rPr>
                <w:sz w:val="20"/>
                <w:szCs w:val="20"/>
                <w:color w:val="auto"/>
              </w:rPr>
            </w:pPr>
            <w:r>
              <w:rPr>
                <w:rFonts w:ascii="Arial" w:cs="Arial" w:eastAsia="Arial" w:hAnsi="Arial"/>
                <w:sz w:val="17"/>
                <w:szCs w:val="17"/>
                <w:color w:val="auto"/>
              </w:rPr>
              <w:t>(351)</w:t>
            </w:r>
          </w:p>
        </w:tc>
        <w:tc>
          <w:tcPr>
            <w:tcW w:w="740" w:type="dxa"/>
            <w:vAlign w:val="bottom"/>
          </w:tcPr>
          <w:p>
            <w:pPr>
              <w:jc w:val="right"/>
              <w:spacing w:after="0"/>
              <w:rPr>
                <w:sz w:val="20"/>
                <w:szCs w:val="20"/>
                <w:color w:val="auto"/>
              </w:rPr>
            </w:pPr>
            <w:r>
              <w:rPr>
                <w:rFonts w:ascii="Arial" w:cs="Arial" w:eastAsia="Arial" w:hAnsi="Arial"/>
                <w:sz w:val="17"/>
                <w:szCs w:val="17"/>
                <w:color w:val="auto"/>
              </w:rPr>
              <w:t>1,742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Decrease in provisions</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Net cash outflow from operating activities</w:t>
            </w:r>
          </w:p>
        </w:tc>
        <w:tc>
          <w:tcPr>
            <w:tcW w:w="104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7"/>
                <w:szCs w:val="17"/>
                <w:color w:val="auto"/>
              </w:rPr>
              <w:t>(11,111)</w:t>
            </w: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474"/>
        </w:trPr>
        <w:tc>
          <w:tcPr>
            <w:tcW w:w="460" w:type="dxa"/>
            <w:vAlign w:val="bottom"/>
            <w:gridSpan w:val="2"/>
          </w:tcPr>
          <w:p>
            <w:pPr>
              <w:spacing w:after="0"/>
              <w:rPr>
                <w:sz w:val="20"/>
                <w:szCs w:val="20"/>
                <w:color w:val="auto"/>
              </w:rPr>
            </w:pPr>
            <w:r>
              <w:rPr>
                <w:rFonts w:ascii="Arial" w:cs="Arial" w:eastAsia="Arial" w:hAnsi="Arial"/>
                <w:sz w:val="21"/>
                <w:szCs w:val="21"/>
                <w:b w:val="1"/>
                <w:bCs w:val="1"/>
                <w:color w:val="auto"/>
              </w:rPr>
              <w:t>11.</w:t>
            </w:r>
          </w:p>
        </w:tc>
        <w:tc>
          <w:tcPr>
            <w:tcW w:w="7620" w:type="dxa"/>
            <w:vAlign w:val="bottom"/>
          </w:tcPr>
          <w:p>
            <w:pPr>
              <w:ind w:left="160"/>
              <w:spacing w:after="0"/>
              <w:rPr>
                <w:sz w:val="20"/>
                <w:szCs w:val="20"/>
                <w:color w:val="auto"/>
              </w:rPr>
            </w:pPr>
            <w:r>
              <w:rPr>
                <w:rFonts w:ascii="Arial" w:cs="Arial" w:eastAsia="Arial" w:hAnsi="Arial"/>
                <w:sz w:val="21"/>
                <w:szCs w:val="21"/>
                <w:b w:val="1"/>
                <w:bCs w:val="1"/>
                <w:color w:val="auto"/>
              </w:rPr>
              <w:t>Analysis of cash flows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40" w:type="dxa"/>
            <w:vAlign w:val="bottom"/>
            <w:gridSpan w:val="2"/>
          </w:tcPr>
          <w:p>
            <w:pPr>
              <w:jc w:val="right"/>
              <w:ind w:right="96"/>
              <w:spacing w:after="0" w:line="165" w:lineRule="exact"/>
              <w:rPr>
                <w:sz w:val="20"/>
                <w:szCs w:val="20"/>
                <w:color w:val="auto"/>
              </w:rPr>
            </w:pPr>
            <w:r>
              <w:rPr>
                <w:rFonts w:ascii="Arial" w:cs="Arial" w:eastAsia="Arial" w:hAnsi="Arial"/>
                <w:sz w:val="16"/>
                <w:szCs w:val="16"/>
                <w:b w:val="1"/>
                <w:bCs w:val="1"/>
                <w:color w:val="auto"/>
              </w:rPr>
              <w:t>2003</w:t>
            </w:r>
          </w:p>
        </w:tc>
        <w:tc>
          <w:tcPr>
            <w:tcW w:w="74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96"/>
              <w:spacing w:after="0"/>
              <w:rPr>
                <w:sz w:val="20"/>
                <w:szCs w:val="20"/>
                <w:color w:val="auto"/>
              </w:rPr>
            </w:pPr>
            <w:r>
              <w:rPr>
                <w:rFonts w:ascii="Arial" w:cs="Arial" w:eastAsia="Arial" w:hAnsi="Arial"/>
                <w:sz w:val="16"/>
                <w:szCs w:val="16"/>
                <w:b w:val="1"/>
                <w:bCs w:val="1"/>
                <w:color w:val="auto"/>
              </w:rPr>
              <w:t>£’000</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60" w:type="dxa"/>
            <w:vAlign w:val="bottom"/>
            <w:tcBorders>
              <w:bottom w:val="single" w:sz="8" w:color="auto"/>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Returns on investments and servicing of finance:</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Interest received</w:t>
            </w:r>
          </w:p>
        </w:tc>
        <w:tc>
          <w:tcPr>
            <w:tcW w:w="1040" w:type="dxa"/>
            <w:vAlign w:val="bottom"/>
            <w:gridSpan w:val="2"/>
          </w:tcPr>
          <w:p>
            <w:pPr>
              <w:jc w:val="right"/>
              <w:ind w:right="96"/>
              <w:spacing w:after="0"/>
              <w:rPr>
                <w:sz w:val="20"/>
                <w:szCs w:val="20"/>
                <w:color w:val="auto"/>
              </w:rPr>
            </w:pPr>
            <w:r>
              <w:rPr>
                <w:rFonts w:ascii="Arial" w:cs="Arial" w:eastAsia="Arial" w:hAnsi="Arial"/>
                <w:sz w:val="17"/>
                <w:szCs w:val="17"/>
                <w:color w:val="auto"/>
              </w:rPr>
              <w:t>144</w:t>
            </w:r>
          </w:p>
        </w:tc>
        <w:tc>
          <w:tcPr>
            <w:tcW w:w="74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Taxation:</w:t>
            </w:r>
          </w:p>
        </w:tc>
        <w:tc>
          <w:tcPr>
            <w:tcW w:w="2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Research and development tax credit received</w:t>
            </w:r>
          </w:p>
        </w:tc>
        <w:tc>
          <w:tcPr>
            <w:tcW w:w="1040" w:type="dxa"/>
            <w:vAlign w:val="bottom"/>
            <w:gridSpan w:val="2"/>
          </w:tcPr>
          <w:p>
            <w:pPr>
              <w:jc w:val="right"/>
              <w:ind w:right="96"/>
              <w:spacing w:after="0"/>
              <w:rPr>
                <w:sz w:val="20"/>
                <w:szCs w:val="20"/>
                <w:color w:val="auto"/>
              </w:rPr>
            </w:pPr>
            <w:r>
              <w:rPr>
                <w:rFonts w:ascii="Arial" w:cs="Arial" w:eastAsia="Arial" w:hAnsi="Arial"/>
                <w:sz w:val="17"/>
                <w:szCs w:val="17"/>
                <w:color w:val="auto"/>
              </w:rPr>
              <w:t>949</w:t>
            </w:r>
          </w:p>
        </w:tc>
        <w:tc>
          <w:tcPr>
            <w:tcW w:w="740" w:type="dxa"/>
            <w:vAlign w:val="bottom"/>
          </w:tcPr>
          <w:p>
            <w:pPr>
              <w:jc w:val="right"/>
              <w:spacing w:after="0"/>
              <w:rPr>
                <w:sz w:val="20"/>
                <w:szCs w:val="20"/>
                <w:color w:val="auto"/>
              </w:rPr>
            </w:pPr>
            <w:r>
              <w:rPr>
                <w:rFonts w:ascii="Arial" w:cs="Arial" w:eastAsia="Arial" w:hAnsi="Arial"/>
                <w:sz w:val="17"/>
                <w:szCs w:val="17"/>
                <w:color w:val="auto"/>
              </w:rPr>
              <w:t>1,124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Capital expenditure and financial investment:</w:t>
            </w:r>
          </w:p>
        </w:tc>
        <w:tc>
          <w:tcPr>
            <w:tcW w:w="2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Purchase of tangible fixed assets</w:t>
            </w:r>
          </w:p>
        </w:tc>
        <w:tc>
          <w:tcPr>
            <w:tcW w:w="1040" w:type="dxa"/>
            <w:vAlign w:val="bottom"/>
            <w:gridSpan w:val="2"/>
          </w:tcPr>
          <w:p>
            <w:pPr>
              <w:jc w:val="right"/>
              <w:ind w:right="56"/>
              <w:spacing w:after="0"/>
              <w:rPr>
                <w:sz w:val="20"/>
                <w:szCs w:val="20"/>
                <w:color w:val="auto"/>
              </w:rPr>
            </w:pPr>
            <w:r>
              <w:rPr>
                <w:rFonts w:ascii="Arial" w:cs="Arial" w:eastAsia="Arial" w:hAnsi="Arial"/>
                <w:sz w:val="17"/>
                <w:szCs w:val="17"/>
                <w:color w:val="auto"/>
              </w:rPr>
              <w:t>(184)</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the sale of tangible fixed assets</w:t>
            </w:r>
          </w:p>
        </w:tc>
        <w:tc>
          <w:tcPr>
            <w:tcW w:w="104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Investment and loan to joint venture</w:t>
            </w: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(65)</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outflow</w:t>
            </w:r>
          </w:p>
        </w:tc>
        <w:tc>
          <w:tcPr>
            <w:tcW w:w="10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(244)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Management of liquid resources:</w:t>
            </w: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(Increase)/decrease in short-term deposits</w:t>
            </w:r>
          </w:p>
        </w:tc>
        <w:tc>
          <w:tcPr>
            <w:tcW w:w="10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(3,200)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Net cash (outflow)/inflow</w:t>
            </w:r>
          </w:p>
        </w:tc>
        <w:tc>
          <w:tcPr>
            <w:tcW w:w="1040" w:type="dxa"/>
            <w:vAlign w:val="bottom"/>
            <w:gridSpan w:val="2"/>
          </w:tcPr>
          <w:p>
            <w:pPr>
              <w:jc w:val="right"/>
              <w:ind w:right="56"/>
              <w:spacing w:after="0"/>
              <w:rPr>
                <w:sz w:val="20"/>
                <w:szCs w:val="20"/>
                <w:color w:val="auto"/>
              </w:rPr>
            </w:pPr>
            <w:r>
              <w:rPr>
                <w:rFonts w:ascii="Arial" w:cs="Arial" w:eastAsia="Arial" w:hAnsi="Arial"/>
                <w:sz w:val="17"/>
                <w:szCs w:val="17"/>
                <w:color w:val="auto"/>
              </w:rPr>
              <w:t>(3,200)</w:t>
            </w:r>
          </w:p>
        </w:tc>
        <w:tc>
          <w:tcPr>
            <w:tcW w:w="74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Financing:</w:t>
            </w:r>
          </w:p>
        </w:tc>
        <w:tc>
          <w:tcPr>
            <w:tcW w:w="2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7"/>
                <w:szCs w:val="17"/>
                <w:color w:val="auto"/>
              </w:rPr>
              <w:t>Issue of Preferred ordinary share capital</w:t>
            </w:r>
          </w:p>
        </w:tc>
        <w:tc>
          <w:tcPr>
            <w:tcW w:w="260" w:type="dxa"/>
            <w:vAlign w:val="bottom"/>
          </w:tcPr>
          <w:p>
            <w:pPr>
              <w:spacing w:after="0"/>
              <w:rPr>
                <w:sz w:val="18"/>
                <w:szCs w:val="18"/>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6,000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5,500</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inflow</w:t>
            </w:r>
          </w:p>
        </w:tc>
        <w:tc>
          <w:tcPr>
            <w:tcW w:w="104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6,000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Liquid resources comprise short-term cash deposits.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230" w:name="page231"/>
    <w:bookmarkEnd w:id="230"/>
    <w:p>
      <w:pPr>
        <w:ind w:left="620" w:hanging="610"/>
        <w:spacing w:after="0"/>
        <w:tabs>
          <w:tab w:leader="none" w:pos="620" w:val="left"/>
        </w:tabs>
        <w:numPr>
          <w:ilvl w:val="0"/>
          <w:numId w:val="141"/>
        </w:numPr>
        <w:rPr>
          <w:rFonts w:ascii="Arial" w:cs="Arial" w:eastAsia="Arial" w:hAnsi="Arial"/>
          <w:sz w:val="21"/>
          <w:szCs w:val="21"/>
          <w:b w:val="1"/>
          <w:bCs w:val="1"/>
          <w:color w:val="auto"/>
        </w:rPr>
      </w:pPr>
      <w:r>
        <w:rPr>
          <w:rFonts w:ascii="Arial" w:cs="Arial" w:eastAsia="Arial" w:hAnsi="Arial"/>
          <w:sz w:val="21"/>
          <w:szCs w:val="21"/>
          <w:b w:val="1"/>
          <w:bCs w:val="1"/>
          <w:color w:val="auto"/>
        </w:rPr>
        <w:t>Analysis and reconciliation of net funds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3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At January 1,</w:t>
            </w:r>
          </w:p>
        </w:tc>
        <w:tc>
          <w:tcPr>
            <w:tcW w:w="1180" w:type="dxa"/>
            <w:vAlign w:val="bottom"/>
            <w:tcBorders>
              <w:top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Cash</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80" w:type="dxa"/>
            <w:vAlign w:val="bottom"/>
          </w:tcPr>
          <w:p>
            <w:pPr>
              <w:jc w:val="right"/>
              <w:ind w:right="97"/>
              <w:spacing w:after="0"/>
              <w:rPr>
                <w:sz w:val="20"/>
                <w:szCs w:val="20"/>
                <w:color w:val="auto"/>
              </w:rPr>
            </w:pPr>
            <w:r>
              <w:rPr>
                <w:rFonts w:ascii="Arial" w:cs="Arial" w:eastAsia="Arial" w:hAnsi="Arial"/>
                <w:sz w:val="16"/>
                <w:szCs w:val="16"/>
                <w:b w:val="1"/>
                <w:bCs w:val="1"/>
                <w:color w:val="auto"/>
              </w:rPr>
              <w:t>2003</w:t>
            </w:r>
          </w:p>
        </w:tc>
        <w:tc>
          <w:tcPr>
            <w:tcW w:w="1180" w:type="dxa"/>
            <w:vAlign w:val="bottom"/>
          </w:tcPr>
          <w:p>
            <w:pPr>
              <w:jc w:val="right"/>
              <w:ind w:right="417"/>
              <w:spacing w:after="0"/>
              <w:rPr>
                <w:sz w:val="20"/>
                <w:szCs w:val="20"/>
                <w:color w:val="auto"/>
              </w:rPr>
            </w:pPr>
            <w:r>
              <w:rPr>
                <w:rFonts w:ascii="Arial" w:cs="Arial" w:eastAsia="Arial" w:hAnsi="Arial"/>
                <w:sz w:val="16"/>
                <w:szCs w:val="16"/>
                <w:b w:val="1"/>
                <w:bCs w:val="1"/>
                <w:color w:val="auto"/>
              </w:rPr>
              <w:t>flow</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2003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£’000</w:t>
            </w: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£’000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Bank current account</w:t>
            </w:r>
          </w:p>
        </w:tc>
        <w:tc>
          <w:tcPr>
            <w:tcW w:w="16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7,878</w:t>
            </w:r>
          </w:p>
        </w:tc>
        <w:tc>
          <w:tcPr>
            <w:tcW w:w="118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(7,462)</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Short-term deposits*</w:t>
            </w:r>
          </w:p>
        </w:tc>
        <w:tc>
          <w:tcPr>
            <w:tcW w:w="16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color w:val="auto"/>
              </w:rPr>
              <w:t>3,200</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Cash at bank and in hand/net funds</w:t>
            </w:r>
          </w:p>
        </w:tc>
        <w:tc>
          <w:tcPr>
            <w:tcW w:w="16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7,878</w:t>
            </w:r>
          </w:p>
        </w:tc>
        <w:tc>
          <w:tcPr>
            <w:tcW w:w="118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auto"/>
              </w:rPr>
              <w:t>(4,262)</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120"/>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Short-term deposits are included within cash at bank and in hand in the balance sheet.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3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At January 1,</w:t>
            </w:r>
          </w:p>
        </w:tc>
        <w:tc>
          <w:tcPr>
            <w:tcW w:w="1200" w:type="dxa"/>
            <w:vAlign w:val="bottom"/>
            <w:tcBorders>
              <w:top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Cash</w:t>
            </w: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680" w:type="dxa"/>
            <w:vAlign w:val="bottom"/>
          </w:tcPr>
          <w:p>
            <w:pPr>
              <w:jc w:val="right"/>
              <w:ind w:right="97"/>
              <w:spacing w:after="0"/>
              <w:rPr>
                <w:sz w:val="20"/>
                <w:szCs w:val="20"/>
                <w:color w:val="auto"/>
              </w:rPr>
            </w:pPr>
            <w:r>
              <w:rPr>
                <w:rFonts w:ascii="Arial" w:cs="Arial" w:eastAsia="Arial" w:hAnsi="Arial"/>
                <w:sz w:val="16"/>
                <w:szCs w:val="16"/>
                <w:b w:val="1"/>
                <w:bCs w:val="1"/>
                <w:color w:val="auto"/>
              </w:rPr>
              <w:t>2004</w:t>
            </w:r>
          </w:p>
        </w:tc>
        <w:tc>
          <w:tcPr>
            <w:tcW w:w="1200" w:type="dxa"/>
            <w:vAlign w:val="bottom"/>
          </w:tcPr>
          <w:p>
            <w:pPr>
              <w:jc w:val="right"/>
              <w:ind w:right="437"/>
              <w:spacing w:after="0"/>
              <w:rPr>
                <w:sz w:val="20"/>
                <w:szCs w:val="20"/>
                <w:color w:val="auto"/>
              </w:rPr>
            </w:pPr>
            <w:r>
              <w:rPr>
                <w:rFonts w:ascii="Arial" w:cs="Arial" w:eastAsia="Arial" w:hAnsi="Arial"/>
                <w:sz w:val="16"/>
                <w:szCs w:val="16"/>
                <w:b w:val="1"/>
                <w:bCs w:val="1"/>
                <w:color w:val="auto"/>
              </w:rPr>
              <w:t>flow</w:t>
            </w:r>
          </w:p>
        </w:tc>
        <w:tc>
          <w:tcPr>
            <w:tcW w:w="8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£’000</w:t>
            </w: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£’000</w:t>
            </w: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5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Bank current account</w:t>
            </w:r>
          </w:p>
        </w:tc>
        <w:tc>
          <w:tcPr>
            <w:tcW w:w="16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416</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(34)</w:t>
            </w: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Short-term deposits*</w:t>
            </w:r>
          </w:p>
        </w:tc>
        <w:tc>
          <w:tcPr>
            <w:tcW w:w="16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3,200</w:t>
            </w:r>
          </w:p>
        </w:tc>
        <w:tc>
          <w:tcPr>
            <w:tcW w:w="1200" w:type="dxa"/>
            <w:vAlign w:val="bottom"/>
            <w:tcBorders>
              <w:bottom w:val="single" w:sz="8" w:color="auto"/>
            </w:tcBorders>
          </w:tcPr>
          <w:p>
            <w:pPr>
              <w:jc w:val="right"/>
              <w:ind w:right="377"/>
              <w:spacing w:after="0"/>
              <w:rPr>
                <w:sz w:val="20"/>
                <w:szCs w:val="20"/>
                <w:color w:val="auto"/>
              </w:rPr>
            </w:pPr>
            <w:r>
              <w:rPr>
                <w:rFonts w:ascii="Arial" w:cs="Arial" w:eastAsia="Arial" w:hAnsi="Arial"/>
                <w:sz w:val="17"/>
                <w:szCs w:val="17"/>
                <w:color w:val="auto"/>
              </w:rPr>
              <w:t>(1,700)</w:t>
            </w: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Cash at bank and in hand/net funds</w:t>
            </w:r>
          </w:p>
        </w:tc>
        <w:tc>
          <w:tcPr>
            <w:tcW w:w="16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3,616</w:t>
            </w:r>
          </w:p>
        </w:tc>
        <w:tc>
          <w:tcPr>
            <w:tcW w:w="120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auto"/>
              </w:rPr>
              <w:t>(1,734)</w:t>
            </w:r>
          </w:p>
        </w:tc>
        <w:tc>
          <w:tcPr>
            <w:tcW w:w="8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jc w:val="right"/>
              <w:ind w:right="176"/>
              <w:spacing w:after="0" w:line="165" w:lineRule="exact"/>
              <w:rPr>
                <w:sz w:val="20"/>
                <w:szCs w:val="20"/>
                <w:color w:val="auto"/>
              </w:rPr>
            </w:pPr>
            <w:r>
              <w:rPr>
                <w:rFonts w:ascii="Arial" w:cs="Arial" w:eastAsia="Arial" w:hAnsi="Arial"/>
                <w:sz w:val="16"/>
                <w:szCs w:val="16"/>
                <w:b w:val="1"/>
                <w:bCs w:val="1"/>
                <w:color w:val="auto"/>
              </w:rPr>
              <w:t>2003</w:t>
            </w:r>
          </w:p>
        </w:tc>
        <w:tc>
          <w:tcPr>
            <w:tcW w:w="7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jc w:val="right"/>
              <w:ind w:right="176"/>
              <w:spacing w:after="0"/>
              <w:rPr>
                <w:sz w:val="20"/>
                <w:szCs w:val="20"/>
                <w:color w:val="auto"/>
              </w:rPr>
            </w:pPr>
            <w:r>
              <w:rPr>
                <w:rFonts w:ascii="Arial" w:cs="Arial" w:eastAsia="Arial" w:hAnsi="Arial"/>
                <w:sz w:val="16"/>
                <w:szCs w:val="16"/>
                <w:b w:val="1"/>
                <w:bCs w:val="1"/>
                <w:color w:val="auto"/>
              </w:rPr>
              <w:t>£’000</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Decrease in cash in the year</w:t>
            </w:r>
          </w:p>
        </w:tc>
        <w:tc>
          <w:tcPr>
            <w:tcW w:w="1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(7,462)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Increase/(decrease) in liquid resources</w:t>
            </w: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3,200</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Change in net funds resulting from cash flows</w:t>
            </w:r>
          </w:p>
        </w:tc>
        <w:tc>
          <w:tcPr>
            <w:tcW w:w="1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(4,262)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(1,734)</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gridSpan w:val="2"/>
          </w:tcPr>
          <w:p>
            <w:pPr>
              <w:spacing w:after="0"/>
              <w:rPr>
                <w:sz w:val="20"/>
                <w:szCs w:val="20"/>
                <w:color w:val="auto"/>
              </w:rPr>
            </w:pPr>
            <w:r>
              <w:rPr>
                <w:rFonts w:ascii="Arial" w:cs="Arial" w:eastAsia="Arial" w:hAnsi="Arial"/>
                <w:sz w:val="17"/>
                <w:szCs w:val="17"/>
                <w:color w:val="auto"/>
              </w:rPr>
              <w:t>Movement in net funds in year</w:t>
            </w:r>
          </w:p>
        </w:tc>
        <w:tc>
          <w:tcPr>
            <w:tcW w:w="1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jc w:val="right"/>
              <w:ind w:right="116"/>
              <w:spacing w:after="0"/>
              <w:rPr>
                <w:sz w:val="20"/>
                <w:szCs w:val="20"/>
                <w:color w:val="auto"/>
              </w:rPr>
            </w:pPr>
            <w:r>
              <w:rPr>
                <w:rFonts w:ascii="Arial" w:cs="Arial" w:eastAsia="Arial" w:hAnsi="Arial"/>
                <w:sz w:val="17"/>
                <w:szCs w:val="17"/>
                <w:color w:val="auto"/>
              </w:rPr>
              <w:t>(4,262)</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Net funds at January 1,</w:t>
            </w:r>
          </w:p>
        </w:tc>
        <w:tc>
          <w:tcPr>
            <w:tcW w:w="1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7,878</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Net funds at December 31,</w:t>
            </w:r>
          </w:p>
        </w:tc>
        <w:tc>
          <w:tcPr>
            <w:tcW w:w="1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3,616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w:t>
            </w: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620" w:hanging="610"/>
        <w:spacing w:after="0"/>
        <w:tabs>
          <w:tab w:leader="none" w:pos="620" w:val="left"/>
        </w:tabs>
        <w:numPr>
          <w:ilvl w:val="0"/>
          <w:numId w:val="142"/>
        </w:numPr>
        <w:rPr>
          <w:rFonts w:ascii="Arial" w:cs="Arial" w:eastAsia="Arial" w:hAnsi="Arial"/>
          <w:sz w:val="21"/>
          <w:szCs w:val="21"/>
          <w:b w:val="1"/>
          <w:bCs w:val="1"/>
          <w:color w:val="auto"/>
        </w:rPr>
      </w:pPr>
      <w:r>
        <w:rPr>
          <w:rFonts w:ascii="Arial" w:cs="Arial" w:eastAsia="Arial" w:hAnsi="Arial"/>
          <w:sz w:val="21"/>
          <w:szCs w:val="21"/>
          <w:b w:val="1"/>
          <w:bCs w:val="1"/>
          <w:color w:val="auto"/>
        </w:rPr>
        <w:t>Operating leases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2004 the company had annual commitments under operating leases expiring as set out below:</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06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Land and buildings</w:t>
            </w: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r>
      <w:tr>
        <w:trPr>
          <w:trHeight w:val="158"/>
        </w:trPr>
        <w:tc>
          <w:tcPr>
            <w:tcW w:w="7060" w:type="dxa"/>
            <w:vAlign w:val="bottom"/>
          </w:tcPr>
          <w:p>
            <w:pPr>
              <w:spacing w:after="0"/>
              <w:rPr>
                <w:sz w:val="13"/>
                <w:szCs w:val="13"/>
                <w:color w:val="auto"/>
              </w:rPr>
            </w:pPr>
          </w:p>
        </w:tc>
        <w:tc>
          <w:tcPr>
            <w:tcW w:w="84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2003</w:t>
            </w:r>
          </w:p>
        </w:tc>
        <w:tc>
          <w:tcPr>
            <w:tcW w:w="6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2004</w:t>
            </w:r>
          </w:p>
        </w:tc>
        <w:tc>
          <w:tcPr>
            <w:tcW w:w="280" w:type="dxa"/>
            <w:vAlign w:val="bottom"/>
          </w:tcPr>
          <w:p>
            <w:pPr>
              <w:spacing w:after="0"/>
              <w:rPr>
                <w:sz w:val="13"/>
                <w:szCs w:val="13"/>
                <w:color w:val="auto"/>
              </w:rPr>
            </w:pPr>
          </w:p>
        </w:tc>
        <w:tc>
          <w:tcPr>
            <w:tcW w:w="540" w:type="dxa"/>
            <w:vAlign w:val="bottom"/>
          </w:tcPr>
          <w:p>
            <w:pPr>
              <w:jc w:val="right"/>
              <w:ind w:right="61"/>
              <w:spacing w:after="0" w:line="158" w:lineRule="exact"/>
              <w:rPr>
                <w:sz w:val="20"/>
                <w:szCs w:val="20"/>
                <w:color w:val="auto"/>
              </w:rPr>
            </w:pPr>
            <w:r>
              <w:rPr>
                <w:rFonts w:ascii="Arial" w:cs="Arial" w:eastAsia="Arial" w:hAnsi="Arial"/>
                <w:sz w:val="16"/>
                <w:szCs w:val="16"/>
                <w:b w:val="1"/>
                <w:bCs w:val="1"/>
                <w:color w:val="auto"/>
              </w:rPr>
              <w:t>2003</w:t>
            </w:r>
          </w:p>
        </w:tc>
        <w:tc>
          <w:tcPr>
            <w:tcW w:w="56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2004</w:t>
            </w:r>
          </w:p>
        </w:tc>
      </w:tr>
      <w:tr>
        <w:trPr>
          <w:trHeight w:val="211"/>
        </w:trPr>
        <w:tc>
          <w:tcPr>
            <w:tcW w:w="7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w w:val="94"/>
              </w:rPr>
              <w:t>£’000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r>
      <w:tr>
        <w:trPr>
          <w:trHeight w:val="245"/>
        </w:trPr>
        <w:tc>
          <w:tcPr>
            <w:tcW w:w="7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Between two and five years</w:t>
            </w: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7"/>
                <w:szCs w:val="17"/>
                <w:color w:val="auto"/>
              </w:rPr>
              <w:t>256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8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7"/>
                <w:szCs w:val="17"/>
                <w:color w:val="auto"/>
              </w:rPr>
              <w:t>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bl>
    <w:p>
      <w:pPr>
        <w:spacing w:after="0" w:line="203" w:lineRule="exact"/>
        <w:rPr>
          <w:sz w:val="20"/>
          <w:szCs w:val="20"/>
          <w:color w:val="auto"/>
        </w:rPr>
      </w:pPr>
    </w:p>
    <w:p>
      <w:pPr>
        <w:ind w:left="620" w:hanging="610"/>
        <w:spacing w:after="0"/>
        <w:tabs>
          <w:tab w:leader="none" w:pos="620" w:val="left"/>
        </w:tabs>
        <w:numPr>
          <w:ilvl w:val="0"/>
          <w:numId w:val="143"/>
        </w:numPr>
        <w:rPr>
          <w:rFonts w:ascii="Arial" w:cs="Arial" w:eastAsia="Arial" w:hAnsi="Arial"/>
          <w:sz w:val="21"/>
          <w:szCs w:val="21"/>
          <w:b w:val="1"/>
          <w:bCs w:val="1"/>
          <w:color w:val="auto"/>
        </w:rPr>
      </w:pPr>
      <w:r>
        <w:rPr>
          <w:rFonts w:ascii="Arial" w:cs="Arial" w:eastAsia="Arial" w:hAnsi="Arial"/>
          <w:sz w:val="21"/>
          <w:szCs w:val="21"/>
          <w:b w:val="1"/>
          <w:bCs w:val="1"/>
          <w:color w:val="auto"/>
        </w:rPr>
        <w:t>Pension costs</w:t>
      </w:r>
    </w:p>
    <w:p>
      <w:pPr>
        <w:spacing w:after="0" w:line="14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company makes contributions to personal pension plans for its employees. During the year, contributions payable amounted to £212,000 (2003: £192,000).</w:t>
      </w:r>
    </w:p>
    <w:p>
      <w:pPr>
        <w:spacing w:after="0" w:line="164" w:lineRule="exact"/>
        <w:rPr>
          <w:sz w:val="20"/>
          <w:szCs w:val="20"/>
          <w:color w:val="auto"/>
        </w:rPr>
      </w:pPr>
    </w:p>
    <w:p>
      <w:pPr>
        <w:ind w:left="620" w:hanging="610"/>
        <w:spacing w:after="0"/>
        <w:tabs>
          <w:tab w:leader="none" w:pos="620" w:val="left"/>
        </w:tabs>
        <w:numPr>
          <w:ilvl w:val="0"/>
          <w:numId w:val="144"/>
        </w:numPr>
        <w:rPr>
          <w:rFonts w:ascii="Arial" w:cs="Arial" w:eastAsia="Arial" w:hAnsi="Arial"/>
          <w:sz w:val="21"/>
          <w:szCs w:val="21"/>
          <w:b w:val="1"/>
          <w:bCs w:val="1"/>
          <w:color w:val="auto"/>
        </w:rPr>
      </w:pPr>
      <w:r>
        <w:rPr>
          <w:rFonts w:ascii="Arial" w:cs="Arial" w:eastAsia="Arial" w:hAnsi="Arial"/>
          <w:sz w:val="21"/>
          <w:szCs w:val="21"/>
          <w:b w:val="1"/>
          <w:bCs w:val="1"/>
          <w:color w:val="auto"/>
        </w:rPr>
        <w:t>Related party transactions</w:t>
      </w:r>
    </w:p>
    <w:p>
      <w:pPr>
        <w:spacing w:after="0" w:line="144" w:lineRule="exact"/>
        <w:rPr>
          <w:sz w:val="20"/>
          <w:szCs w:val="20"/>
          <w:color w:val="auto"/>
        </w:rPr>
      </w:pPr>
    </w:p>
    <w:p>
      <w:pPr>
        <w:ind w:right="560"/>
        <w:spacing w:after="0" w:line="258" w:lineRule="auto"/>
        <w:rPr>
          <w:sz w:val="20"/>
          <w:szCs w:val="20"/>
          <w:color w:val="auto"/>
        </w:rPr>
      </w:pPr>
      <w:r>
        <w:rPr>
          <w:rFonts w:ascii="Arial" w:cs="Arial" w:eastAsia="Arial" w:hAnsi="Arial"/>
          <w:sz w:val="17"/>
          <w:szCs w:val="17"/>
          <w:color w:val="auto"/>
        </w:rPr>
        <w:t>Imperial College of Science, Technology and Medicine, a shareholder, recharged expenses of £253,000 (2003: £206,000) incurred on behalf of the company, principally related to research and development costs.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6" w:right="1039" w:bottom="1440" w:gutter="0" w:footer="0" w:header="0"/>
        </w:sectPr>
      </w:pPr>
    </w:p>
    <w:bookmarkStart w:id="231" w:name="page232"/>
    <w:bookmarkEnd w:id="231"/>
    <w:p>
      <w:pPr>
        <w:spacing w:after="0"/>
        <w:rPr>
          <w:sz w:val="20"/>
          <w:szCs w:val="20"/>
          <w:color w:val="auto"/>
        </w:rPr>
      </w:pPr>
      <w:r>
        <w:rPr>
          <w:rFonts w:ascii="Arial" w:cs="Arial" w:eastAsia="Arial" w:hAnsi="Arial"/>
          <w:sz w:val="17"/>
          <w:szCs w:val="17"/>
          <w:color w:val="auto"/>
        </w:rPr>
        <w:t>The following fees were paid to major shareholders during the year for the provision of directors’ services: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6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during year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700" w:type="dxa"/>
            <w:vAlign w:val="bottom"/>
          </w:tcPr>
          <w:p>
            <w:pPr>
              <w:jc w:val="right"/>
              <w:ind w:right="116"/>
              <w:spacing w:after="0" w:line="158" w:lineRule="exact"/>
              <w:rPr>
                <w:sz w:val="20"/>
                <w:szCs w:val="20"/>
                <w:color w:val="auto"/>
              </w:rPr>
            </w:pPr>
            <w:r>
              <w:rPr>
                <w:rFonts w:ascii="Arial" w:cs="Arial" w:eastAsia="Arial" w:hAnsi="Arial"/>
                <w:sz w:val="16"/>
                <w:szCs w:val="16"/>
                <w:b w:val="1"/>
                <w:bCs w:val="1"/>
                <w:color w:val="auto"/>
              </w:rPr>
              <w:t>2003</w:t>
            </w:r>
          </w:p>
        </w:tc>
        <w:tc>
          <w:tcPr>
            <w:tcW w:w="5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£’000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8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Merlin Biosciences Limited</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Apax Europe IV GP Co Limited</w:t>
            </w: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15</w:t>
            </w:r>
          </w:p>
        </w:tc>
        <w:tc>
          <w:tcPr>
            <w:tcW w:w="58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Advent Venture Partners</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JP Morgan Partners</w:t>
            </w: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61</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shareholders charged expenses for their services as directors and for consultancy work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6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during year</w:t>
            </w:r>
          </w:p>
        </w:tc>
      </w:tr>
      <w:tr>
        <w:trPr>
          <w:trHeight w:val="158"/>
        </w:trPr>
        <w:tc>
          <w:tcPr>
            <w:tcW w:w="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700" w:type="dxa"/>
            <w:vAlign w:val="bottom"/>
          </w:tcPr>
          <w:p>
            <w:pPr>
              <w:jc w:val="right"/>
              <w:ind w:right="116"/>
              <w:spacing w:after="0" w:line="158" w:lineRule="exact"/>
              <w:rPr>
                <w:sz w:val="20"/>
                <w:szCs w:val="20"/>
                <w:color w:val="auto"/>
              </w:rPr>
            </w:pPr>
            <w:r>
              <w:rPr>
                <w:rFonts w:ascii="Arial" w:cs="Arial" w:eastAsia="Arial" w:hAnsi="Arial"/>
                <w:sz w:val="16"/>
                <w:szCs w:val="16"/>
                <w:b w:val="1"/>
                <w:bCs w:val="1"/>
                <w:color w:val="auto"/>
              </w:rPr>
              <w:t>2003</w:t>
            </w:r>
          </w:p>
        </w:tc>
        <w:tc>
          <w:tcPr>
            <w:tcW w:w="58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2004</w:t>
            </w:r>
          </w:p>
        </w:tc>
      </w:tr>
      <w:tr>
        <w:trPr>
          <w:trHeight w:val="221"/>
        </w:trPr>
        <w:tc>
          <w:tcPr>
            <w:tcW w:w="20" w:type="dxa"/>
            <w:vAlign w:val="bottom"/>
          </w:tcPr>
          <w:p>
            <w:pPr>
              <w:spacing w:after="0"/>
              <w:rPr>
                <w:sz w:val="19"/>
                <w:szCs w:val="19"/>
                <w:color w:val="auto"/>
              </w:rPr>
            </w:pPr>
          </w:p>
        </w:tc>
        <w:tc>
          <w:tcPr>
            <w:tcW w:w="8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£’000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£’000</w:t>
            </w: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M. Redmond</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196"/>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7"/>
                <w:szCs w:val="17"/>
                <w:color w:val="auto"/>
              </w:rPr>
              <w:t>S. Harris</w:t>
            </w:r>
          </w:p>
        </w:tc>
        <w:tc>
          <w:tcPr>
            <w:tcW w:w="700" w:type="dxa"/>
            <w:vAlign w:val="bottom"/>
          </w:tcPr>
          <w:p>
            <w:pPr>
              <w:jc w:val="right"/>
              <w:ind w:right="116"/>
              <w:spacing w:after="0"/>
              <w:rPr>
                <w:sz w:val="20"/>
                <w:szCs w:val="20"/>
                <w:color w:val="auto"/>
              </w:rPr>
            </w:pPr>
            <w:r>
              <w:rPr>
                <w:rFonts w:ascii="Arial" w:cs="Arial" w:eastAsia="Arial" w:hAnsi="Arial"/>
                <w:sz w:val="17"/>
                <w:szCs w:val="17"/>
                <w:color w:val="auto"/>
              </w:rPr>
              <w:t>16</w:t>
            </w: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7"/>
                <w:szCs w:val="17"/>
                <w:color w:val="auto"/>
              </w:rPr>
              <w:t>A. Lindberg</w:t>
            </w:r>
          </w:p>
        </w:tc>
        <w:tc>
          <w:tcPr>
            <w:tcW w:w="7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53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r>
    </w:tbl>
    <w:p>
      <w:pPr>
        <w:spacing w:after="0" w:line="99" w:lineRule="exact"/>
        <w:rPr>
          <w:sz w:val="20"/>
          <w:szCs w:val="20"/>
          <w:color w:val="auto"/>
        </w:rPr>
      </w:pPr>
    </w:p>
    <w:p>
      <w:pPr>
        <w:ind w:left="620" w:hanging="610"/>
        <w:spacing w:after="0"/>
        <w:tabs>
          <w:tab w:leader="none" w:pos="620"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color w:val="auto"/>
        </w:rPr>
        <w:t>Post balance sheet events</w:t>
      </w:r>
    </w:p>
    <w:p>
      <w:pPr>
        <w:spacing w:after="0" w:line="91"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On June 24, 2005, the company was acquired by Emergent Europe Inc., a wholly owned subsidiary of Emergent BioSolutions Inc.</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On July 22, 2005, the company changed its name from Microscience Limited to Emergent Europe Limited.</w:t>
      </w:r>
    </w:p>
    <w:p>
      <w:pPr>
        <w:spacing w:after="0" w:line="11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On November 11, 2005, the company changed its accounting reference date from December 31 to June 23, in order to prepare financial statements for the period up to acquisition by Emergent Europe Inc.</w:t>
      </w:r>
    </w:p>
    <w:p>
      <w:pPr>
        <w:spacing w:after="0" w:line="90"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On May 4, 2006, the company entered into a collaboration agreement with Sanofi Pasteur relating to the development and commercialisation of the company’s meningitis B vaccine candidate and received a €3 million upfront licence fee. This agreement also provides for a series of milestone payments upon the achievement of specified development and commercialisation objectives, payments for development work under the collaboration and royalties on net sales of this product.</w:t>
      </w:r>
    </w:p>
    <w:p>
      <w:pPr>
        <w:spacing w:after="0" w:line="99" w:lineRule="exact"/>
        <w:rPr>
          <w:sz w:val="20"/>
          <w:szCs w:val="20"/>
          <w:color w:val="auto"/>
        </w:rPr>
      </w:pPr>
    </w:p>
    <w:p>
      <w:pPr>
        <w:ind w:right="620"/>
        <w:spacing w:after="0" w:line="258" w:lineRule="auto"/>
        <w:rPr>
          <w:sz w:val="20"/>
          <w:szCs w:val="20"/>
          <w:color w:val="auto"/>
        </w:rPr>
      </w:pPr>
      <w:r>
        <w:rPr>
          <w:rFonts w:ascii="Arial" w:cs="Arial" w:eastAsia="Arial" w:hAnsi="Arial"/>
          <w:sz w:val="17"/>
          <w:szCs w:val="17"/>
          <w:color w:val="auto"/>
        </w:rPr>
        <w:t>On May 25, 2006, the company changed its name from Emergent Europe Limited to Emergent Product Development UK Limited.</w:t>
      </w:r>
    </w:p>
    <w:p>
      <w:pPr>
        <w:spacing w:after="0" w:line="90"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On September 26, 2006 the company changed its accounting reference date from June 23 to December 31 in order to align its statutory financial statements period to that of its ultimate parent company, Emergent BioSolutions Inc.</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38" w:right="1039" w:bottom="1440" w:gutter="0" w:footer="0" w:header="0"/>
        </w:sectPr>
      </w:pPr>
    </w:p>
    <w:bookmarkStart w:id="232" w:name="page233"/>
    <w:bookmarkEnd w:id="232"/>
    <w:p>
      <w:pPr>
        <w:ind w:left="620" w:hanging="610"/>
        <w:spacing w:after="0"/>
        <w:tabs>
          <w:tab w:leader="none" w:pos="620" w:val="left"/>
        </w:tabs>
        <w:numPr>
          <w:ilvl w:val="0"/>
          <w:numId w:val="146"/>
        </w:numPr>
        <w:rPr>
          <w:rFonts w:ascii="Arial" w:cs="Arial" w:eastAsia="Arial" w:hAnsi="Arial"/>
          <w:sz w:val="21"/>
          <w:szCs w:val="21"/>
          <w:b w:val="1"/>
          <w:bCs w:val="1"/>
          <w:color w:val="auto"/>
        </w:rPr>
      </w:pPr>
      <w:r>
        <w:rPr>
          <w:rFonts w:ascii="Arial" w:cs="Arial" w:eastAsia="Arial" w:hAnsi="Arial"/>
          <w:sz w:val="21"/>
          <w:szCs w:val="21"/>
          <w:b w:val="1"/>
          <w:bCs w:val="1"/>
          <w:color w:val="auto"/>
        </w:rPr>
        <w:t>Reconciliation to US GAAP</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significant differences between UK GAAP followed by the company and US GAAP</w:t>
      </w:r>
    </w:p>
    <w:p>
      <w:pPr>
        <w:spacing w:after="0" w:line="14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Kingdom (UK GAAP), which differ in certain significant respects from accounting principles generally accepted in the United States (US GAAP). The following is a summary of adjustments to net loss and cash flows required when reconciling such amounts recorded in the financial statements to the corresponding amounts in accordance with US GAAP.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Employee share options modification</w:t>
      </w:r>
    </w:p>
    <w:p>
      <w:pPr>
        <w:spacing w:after="0" w:line="139"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The company modified certain options over ’A’ Ordinary shares to employees during the year ended December 31, 2004, such that the awards now pertain to ’A’ Preferred Ordinary shares.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Under UK GAAP, there is no accounting for the cost of these grants after the initial grant date.</w:t>
      </w:r>
    </w:p>
    <w:p>
      <w:pPr>
        <w:spacing w:after="0" w:line="101"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 xml:space="preserve">Under US GAAP, Accounting Principles Board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as interpreted by Financial Accounting Standards Board Interpretation No. 44, </w:t>
      </w:r>
      <w:r>
        <w:rPr>
          <w:rFonts w:ascii="Arial" w:cs="Arial" w:eastAsia="Arial" w:hAnsi="Arial"/>
          <w:sz w:val="17"/>
          <w:szCs w:val="17"/>
          <w:i w:val="1"/>
          <w:iCs w:val="1"/>
          <w:color w:val="auto"/>
        </w:rPr>
        <w:t>Accounting for Certain Transactions Involving Stock Compensation</w:t>
      </w:r>
      <w:r>
        <w:rPr>
          <w:rFonts w:ascii="Arial" w:cs="Arial" w:eastAsia="Arial" w:hAnsi="Arial"/>
          <w:sz w:val="17"/>
          <w:szCs w:val="17"/>
          <w:color w:val="auto"/>
        </w:rPr>
        <w:t>, the modification is treated as a cancellation of the original award with replacement by a new award over ‘A’ Preferred Ordinary shares. The intrinsic value of the replacement awards on the date of grant has been recorded as compensation expense for the year ended December 31, 2004.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Accounting for national insurance on share options</w:t>
      </w:r>
    </w:p>
    <w:p>
      <w:pPr>
        <w:spacing w:after="0" w:line="13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Under UK GAAP, the company has accounted for a potential liability to employee’s National Insurance on certain employee share options. The provision has been made systematically by reference to the market value of shares at the balance sheet dates over the period from the date of grant to the end of the relevant vesting period and from that date to the date of actual exercise the provision is being adjusted by reference to changes in market value. The provisions as at December 31, 2003 and 2004 were £80,000 and nil, respectively. The net credits to the profit and loss account for the years ended December 31, 2003 and 2004 amounted to £nil and £80,000, respectively.</w:t>
      </w:r>
    </w:p>
    <w:p>
      <w:pPr>
        <w:spacing w:after="0" w:line="8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 xml:space="preserve">Under US GAAP, Emerging Issues Task Force Issue No. 00-16, </w:t>
      </w:r>
      <w:r>
        <w:rPr>
          <w:rFonts w:ascii="Arial" w:cs="Arial" w:eastAsia="Arial" w:hAnsi="Arial"/>
          <w:sz w:val="17"/>
          <w:szCs w:val="17"/>
          <w:i w:val="1"/>
          <w:iCs w:val="1"/>
          <w:color w:val="auto"/>
        </w:rPr>
        <w:t>Recognition and Measurement of Employer Payroll Taxes on</w:t>
      </w:r>
      <w:r>
        <w:rPr>
          <w:rFonts w:ascii="Arial" w:cs="Arial" w:eastAsia="Arial" w:hAnsi="Arial"/>
          <w:sz w:val="17"/>
          <w:szCs w:val="17"/>
          <w:color w:val="auto"/>
        </w:rPr>
        <w:t xml:space="preserve"> </w:t>
      </w:r>
      <w:r>
        <w:rPr>
          <w:rFonts w:ascii="Arial" w:cs="Arial" w:eastAsia="Arial" w:hAnsi="Arial"/>
          <w:sz w:val="17"/>
          <w:szCs w:val="17"/>
          <w:i w:val="1"/>
          <w:iCs w:val="1"/>
          <w:color w:val="auto"/>
        </w:rPr>
        <w:t>Employer Stock Based Compensation</w:t>
      </w:r>
      <w:r>
        <w:rPr>
          <w:rFonts w:ascii="Arial" w:cs="Arial" w:eastAsia="Arial" w:hAnsi="Arial"/>
          <w:sz w:val="17"/>
          <w:szCs w:val="17"/>
          <w:color w:val="auto"/>
        </w:rPr>
        <w:t>, no liability to national insurance is recognised until such time as the share option is</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exercised since this is when the liability crystallises. This adjustment removes the timing difference relating to the expense in the income statement.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Vacation pay</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Under UK GAAP, the company does not record accruals at the balance sheet date for employees’ vacation earned but not taken.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Under US GAAP, such accruals are required.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The charge/(credit) for the years ended December 31, 2004 and 2003 would be £1,000 and £(1,000), respectively</w:t>
      </w:r>
      <w:r>
        <w:rPr>
          <w:rFonts w:ascii="Arial" w:cs="Arial" w:eastAsia="Arial" w:hAnsi="Arial"/>
          <w:sz w:val="17"/>
          <w:szCs w:val="17"/>
          <w:i w:val="1"/>
          <w:iCs w:val="1"/>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Taxation</w:t>
      </w:r>
    </w:p>
    <w:p>
      <w:pPr>
        <w:spacing w:after="0" w:line="139"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Under UK GAAP, deferred tax is provided in full on timing differences which results in an obligation at the balance sheet date to pay more tax, or a right to pay less tax, at a future date, at rates expected to apply when they crystallise based on current tax rates and law. Net deferred tax assets are recognised to the extent that it is regarded as more likely than not that they will be recovered.</w:t>
      </w:r>
    </w:p>
    <w:p>
      <w:pPr>
        <w:spacing w:after="0" w:line="300"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Under US GAAP, deferred tax is recognised in full in respect of temporary differences between the reported carrying amount of an asset or liability and its corresponding tax basis. Deferred tax assets are also recognised in full subject to a valuation allowance to reduce the amount of such assets to that which is more likely than not to be realised.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93" w:right="1039" w:bottom="1440" w:gutter="0" w:footer="0" w:header="0"/>
        </w:sectPr>
      </w:pPr>
    </w:p>
    <w:bookmarkStart w:id="233" w:name="page234"/>
    <w:bookmarkEnd w:id="233"/>
    <w:p>
      <w:pPr>
        <w:ind w:right="220"/>
        <w:spacing w:after="0" w:line="247" w:lineRule="auto"/>
        <w:rPr>
          <w:sz w:val="20"/>
          <w:szCs w:val="20"/>
          <w:color w:val="auto"/>
        </w:rPr>
      </w:pPr>
      <w:r>
        <w:rPr>
          <w:rFonts w:ascii="Arial" w:cs="Arial" w:eastAsia="Arial" w:hAnsi="Arial"/>
          <w:sz w:val="17"/>
          <w:szCs w:val="17"/>
          <w:color w:val="auto"/>
        </w:rPr>
        <w:t>As at December 31, 2004 and 2003, the company had approximately £27,200,000 and £22,400,000 of cumulative tax losses respectively. These losses represent a deferred tax asset for accounting purposes. In accordance with both UK GAAP and US GAAP, no asset has been recognised in respect of these tax losses due to the uncertainty as to whether these losses can be offset against future profits.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loss from UK GAAP to US GAAP</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5"/>
              <w:spacing w:after="0"/>
              <w:rPr>
                <w:sz w:val="20"/>
                <w:szCs w:val="20"/>
                <w:color w:val="auto"/>
              </w:rPr>
            </w:pPr>
            <w:r>
              <w:rPr>
                <w:rFonts w:ascii="Arial" w:cs="Arial" w:eastAsia="Arial" w:hAnsi="Arial"/>
                <w:sz w:val="16"/>
                <w:szCs w:val="16"/>
                <w:b w:val="1"/>
                <w:bCs w:val="1"/>
                <w:color w:val="auto"/>
              </w:rPr>
              <w:t>2003</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60" w:type="dxa"/>
            <w:vAlign w:val="bottom"/>
            <w:gridSpan w:val="2"/>
          </w:tcPr>
          <w:p>
            <w:pPr>
              <w:jc w:val="right"/>
              <w:ind w:right="173"/>
              <w:spacing w:after="0"/>
              <w:rPr>
                <w:sz w:val="20"/>
                <w:szCs w:val="20"/>
                <w:color w:val="auto"/>
              </w:rPr>
            </w:pPr>
            <w:r>
              <w:rPr>
                <w:rFonts w:ascii="Arial" w:cs="Arial" w:eastAsia="Arial" w:hAnsi="Arial"/>
                <w:sz w:val="16"/>
                <w:szCs w:val="16"/>
                <w:b w:val="1"/>
                <w:bCs w:val="1"/>
                <w:color w:val="auto"/>
              </w:rPr>
              <w:t>Notes</w:t>
            </w:r>
          </w:p>
        </w:tc>
        <w:tc>
          <w:tcPr>
            <w:tcW w:w="960" w:type="dxa"/>
            <w:vAlign w:val="bottom"/>
          </w:tcPr>
          <w:p>
            <w:pPr>
              <w:jc w:val="right"/>
              <w:ind w:right="175"/>
              <w:spacing w:after="0"/>
              <w:rPr>
                <w:sz w:val="20"/>
                <w:szCs w:val="20"/>
                <w:color w:val="auto"/>
              </w:rPr>
            </w:pPr>
            <w:r>
              <w:rPr>
                <w:rFonts w:ascii="Arial" w:cs="Arial" w:eastAsia="Arial" w:hAnsi="Arial"/>
                <w:sz w:val="16"/>
                <w:szCs w:val="16"/>
                <w:b w:val="1"/>
                <w:bCs w:val="1"/>
                <w:color w:val="auto"/>
              </w:rPr>
              <w:t>£’000</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Net loss as reported under UK GAAP</w:t>
            </w: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(9,727)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Adjustments for: *</w:t>
            </w:r>
          </w:p>
        </w:tc>
        <w:tc>
          <w:tcPr>
            <w:tcW w:w="1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Employee share options modifications</w:t>
            </w: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(a)</w:t>
            </w:r>
          </w:p>
        </w:tc>
        <w:tc>
          <w:tcPr>
            <w:tcW w:w="9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Accounting for National Insurance on share options</w:t>
            </w:r>
          </w:p>
        </w:tc>
        <w:tc>
          <w:tcPr>
            <w:tcW w:w="1760" w:type="dxa"/>
            <w:vAlign w:val="bottom"/>
          </w:tcPr>
          <w:p>
            <w:pPr>
              <w:spacing w:after="0"/>
              <w:rPr>
                <w:sz w:val="17"/>
                <w:szCs w:val="17"/>
                <w:color w:val="auto"/>
              </w:rPr>
            </w:pP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(b)</w:t>
            </w:r>
          </w:p>
        </w:tc>
        <w:tc>
          <w:tcPr>
            <w:tcW w:w="96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Vacation pay</w:t>
            </w:r>
          </w:p>
        </w:tc>
        <w:tc>
          <w:tcPr>
            <w:tcW w:w="17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(c)</w:t>
            </w:r>
          </w:p>
        </w:tc>
        <w:tc>
          <w:tcPr>
            <w:tcW w:w="9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Net loss as reported under US GAAP</w:t>
            </w:r>
          </w:p>
        </w:tc>
        <w:tc>
          <w:tcPr>
            <w:tcW w:w="17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right"/>
              <w:ind w:right="115"/>
              <w:spacing w:after="0"/>
              <w:rPr>
                <w:sz w:val="20"/>
                <w:szCs w:val="20"/>
                <w:color w:val="auto"/>
              </w:rPr>
            </w:pPr>
            <w:r>
              <w:rPr>
                <w:rFonts w:ascii="Arial" w:cs="Arial" w:eastAsia="Arial" w:hAnsi="Arial"/>
                <w:sz w:val="17"/>
                <w:szCs w:val="17"/>
                <w:color w:val="auto"/>
              </w:rPr>
              <w:t>(9,728)</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(9,204)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320" w:right="20" w:hanging="194"/>
        <w:spacing w:after="0" w:line="245" w:lineRule="auto"/>
        <w:tabs>
          <w:tab w:leader="none" w:pos="3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The deferred tax effect of reconciling items has not been reflected as, where a deferred tax asset arises, a valuation allowance would be recognised against that asset, and where a deferred tax liability arises, the valuation allowance would be reduced accordingly.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cash flows</w:t>
      </w:r>
    </w:p>
    <w:p>
      <w:pPr>
        <w:spacing w:after="0" w:line="141" w:lineRule="exact"/>
        <w:rPr>
          <w:sz w:val="20"/>
          <w:szCs w:val="20"/>
          <w:color w:val="auto"/>
        </w:rPr>
      </w:pPr>
    </w:p>
    <w:p>
      <w:pPr>
        <w:jc w:val="both"/>
        <w:ind w:right="160"/>
        <w:spacing w:after="0" w:line="250" w:lineRule="auto"/>
        <w:rPr>
          <w:sz w:val="20"/>
          <w:szCs w:val="20"/>
          <w:color w:val="auto"/>
        </w:rPr>
      </w:pPr>
      <w:r>
        <w:rPr>
          <w:rFonts w:ascii="Arial" w:cs="Arial" w:eastAsia="Arial" w:hAnsi="Arial"/>
          <w:sz w:val="17"/>
          <w:szCs w:val="17"/>
          <w:color w:val="auto"/>
        </w:rPr>
        <w:t xml:space="preserve">The statement of cash flows prepared under UK GAAP presents substantially the same information as that required under US GAAP by Statement of Financial Accounting Standards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These standards differ however with regard to classification of items within the statement and the definition of cash and cash equivalents.</w:t>
      </w:r>
    </w:p>
    <w:p>
      <w:pPr>
        <w:spacing w:after="0" w:line="96"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Under UK GAAP, cash comprises cash in hand, deposits repayable on demand and bank overdrafts. Deposits are repayable on demand if they can be withdrawn at any time without notice and without penalty or if a maturity or period of notice of not more than 24 hours or one working day has been agreed. Under US GAAP, cash equivalents are short-term highly liquid investments, generally with original maturities of three months or less, that are readily convertible to known amounts of cash and present insignificant risk of changes in value because of changes in interest rates.</w:t>
      </w:r>
    </w:p>
    <w:p>
      <w:pPr>
        <w:spacing w:after="0" w:line="102" w:lineRule="exact"/>
        <w:rPr>
          <w:sz w:val="20"/>
          <w:szCs w:val="20"/>
          <w:color w:val="auto"/>
        </w:rPr>
      </w:pPr>
    </w:p>
    <w:p>
      <w:pPr>
        <w:ind w:right="180"/>
        <w:spacing w:after="0" w:line="243" w:lineRule="auto"/>
        <w:rPr>
          <w:sz w:val="20"/>
          <w:szCs w:val="20"/>
          <w:color w:val="auto"/>
        </w:rPr>
      </w:pPr>
      <w:r>
        <w:rPr>
          <w:rFonts w:ascii="Arial" w:cs="Arial" w:eastAsia="Arial" w:hAnsi="Arial"/>
          <w:sz w:val="17"/>
          <w:szCs w:val="17"/>
          <w:color w:val="auto"/>
        </w:rPr>
        <w:t>Under UK GAAP, cash flows are presented separately for operating activities, returns on investments and servicing of finance, taxation, capital expenditure and financial investment, management of liquid resources and financing activities. US GAAP requires only three categories of cash flow activity to be reported: operating, investing and financing. Cash flows from taxation and returns on investments and servicing of finance under UK GAAP would, with the exception of dividends paid, be shown under operating activities under US GAAP. The payment of dividends and the payment to acquire own shares (treasury stock) would be included as a financing activity under US GAAP. Management of liquid resources under UK GAAP would be included as cash and cash equivalents. Under US GAAP management of liquid resources would be included as an investing activity to the extent that such amounts have an original maturity of more than three months and are convertible into known amounts of cash.</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24" w:right="1039" w:bottom="1440" w:gutter="0" w:footer="0" w:header="0"/>
        </w:sectPr>
      </w:pPr>
    </w:p>
    <w:bookmarkStart w:id="234" w:name="page235"/>
    <w:bookmarkEnd w:id="234"/>
    <w:p>
      <w:pPr>
        <w:ind w:left="680"/>
        <w:spacing w:after="0"/>
        <w:rPr>
          <w:sz w:val="20"/>
          <w:szCs w:val="20"/>
          <w:color w:val="auto"/>
        </w:rPr>
      </w:pPr>
      <w:r>
        <w:rPr>
          <w:rFonts w:ascii="Arial" w:cs="Arial" w:eastAsia="Arial" w:hAnsi="Arial"/>
          <w:sz w:val="17"/>
          <w:szCs w:val="17"/>
          <w:color w:val="auto"/>
        </w:rPr>
        <w:t>Summary statements of cash flows presented under US GAAP using UK GAAP measurement principles are given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3940" w:type="dxa"/>
            <w:vAlign w:val="bottom"/>
            <w:tcBorders>
              <w:top w:val="single" w:sz="8" w:color="auto"/>
            </w:tcBorders>
          </w:tcPr>
          <w:p>
            <w:pPr>
              <w:spacing w:after="0"/>
              <w:rPr>
                <w:sz w:val="17"/>
                <w:szCs w:val="17"/>
                <w:color w:val="auto"/>
              </w:rPr>
            </w:pPr>
          </w:p>
        </w:tc>
        <w:tc>
          <w:tcPr>
            <w:tcW w:w="5180" w:type="dxa"/>
            <w:vAlign w:val="bottom"/>
            <w:tcBorders>
              <w:top w:val="single" w:sz="8" w:color="auto"/>
            </w:tcBorders>
            <w:gridSpan w:val="2"/>
          </w:tcPr>
          <w:p>
            <w:pPr>
              <w:jc w:val="right"/>
              <w:ind w:right="181"/>
              <w:spacing w:after="0"/>
              <w:rPr>
                <w:sz w:val="20"/>
                <w:szCs w:val="20"/>
                <w:color w:val="auto"/>
              </w:rPr>
            </w:pPr>
            <w:r>
              <w:rPr>
                <w:rFonts w:ascii="Arial" w:cs="Arial" w:eastAsia="Arial" w:hAnsi="Arial"/>
                <w:sz w:val="16"/>
                <w:szCs w:val="16"/>
                <w:b w:val="1"/>
                <w:bCs w:val="1"/>
                <w:color w:val="auto"/>
              </w:rPr>
              <w:t>2003</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960" w:type="dxa"/>
            <w:vAlign w:val="bottom"/>
          </w:tcPr>
          <w:p>
            <w:pPr>
              <w:jc w:val="right"/>
              <w:ind w:right="181"/>
              <w:spacing w:after="0"/>
              <w:rPr>
                <w:sz w:val="20"/>
                <w:szCs w:val="20"/>
                <w:color w:val="auto"/>
              </w:rPr>
            </w:pPr>
            <w:r>
              <w:rPr>
                <w:rFonts w:ascii="Arial" w:cs="Arial" w:eastAsia="Arial" w:hAnsi="Arial"/>
                <w:sz w:val="16"/>
                <w:szCs w:val="16"/>
                <w:b w:val="1"/>
                <w:bCs w:val="1"/>
                <w:color w:val="auto"/>
              </w:rPr>
              <w:t>£’000</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70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5180" w:type="dxa"/>
            <w:vAlign w:val="bottom"/>
            <w:gridSpan w:val="2"/>
            <w:shd w:val="clear" w:color="auto" w:fill="CCEEFF"/>
          </w:tcPr>
          <w:p>
            <w:pPr>
              <w:jc w:val="right"/>
              <w:ind w:right="121"/>
              <w:spacing w:after="0"/>
              <w:rPr>
                <w:sz w:val="20"/>
                <w:szCs w:val="20"/>
                <w:color w:val="auto"/>
              </w:rPr>
            </w:pPr>
            <w:r>
              <w:rPr>
                <w:rFonts w:ascii="Arial" w:cs="Arial" w:eastAsia="Arial" w:hAnsi="Arial"/>
                <w:sz w:val="17"/>
                <w:szCs w:val="17"/>
                <w:color w:val="auto"/>
              </w:rPr>
              <w:t>(10,018)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(7,074)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5180" w:type="dxa"/>
            <w:vAlign w:val="bottom"/>
            <w:gridSpan w:val="2"/>
          </w:tcPr>
          <w:p>
            <w:pPr>
              <w:jc w:val="right"/>
              <w:ind w:right="121"/>
              <w:spacing w:after="0"/>
              <w:rPr>
                <w:sz w:val="20"/>
                <w:szCs w:val="20"/>
                <w:color w:val="auto"/>
              </w:rPr>
            </w:pPr>
            <w:r>
              <w:rPr>
                <w:rFonts w:ascii="Arial" w:cs="Arial" w:eastAsia="Arial" w:hAnsi="Arial"/>
                <w:sz w:val="17"/>
                <w:szCs w:val="17"/>
                <w:color w:val="auto"/>
              </w:rPr>
              <w:t>(244)</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(160)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518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6,000</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gridSpan w:val="2"/>
          </w:tcPr>
          <w:p>
            <w:pPr>
              <w:ind w:left="700"/>
              <w:spacing w:after="0"/>
              <w:rPr>
                <w:sz w:val="20"/>
                <w:szCs w:val="20"/>
                <w:color w:val="auto"/>
              </w:rPr>
            </w:pPr>
            <w:r>
              <w:rPr>
                <w:rFonts w:ascii="Arial" w:cs="Arial" w:eastAsia="Arial" w:hAnsi="Arial"/>
                <w:sz w:val="17"/>
                <w:szCs w:val="17"/>
                <w:color w:val="auto"/>
              </w:rPr>
              <w:t>Decrease in cash and cash equivalents</w:t>
            </w:r>
          </w:p>
        </w:tc>
        <w:tc>
          <w:tcPr>
            <w:tcW w:w="5180" w:type="dxa"/>
            <w:vAlign w:val="bottom"/>
            <w:gridSpan w:val="2"/>
          </w:tcPr>
          <w:p>
            <w:pPr>
              <w:jc w:val="right"/>
              <w:ind w:right="121"/>
              <w:spacing w:after="0"/>
              <w:rPr>
                <w:sz w:val="20"/>
                <w:szCs w:val="20"/>
                <w:color w:val="auto"/>
              </w:rPr>
            </w:pPr>
            <w:r>
              <w:rPr>
                <w:rFonts w:ascii="Arial" w:cs="Arial" w:eastAsia="Arial" w:hAnsi="Arial"/>
                <w:sz w:val="17"/>
                <w:szCs w:val="17"/>
                <w:color w:val="auto"/>
              </w:rPr>
              <w:t>(4,262)</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(1,734)</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Beginning cash and cash equivalents</w:t>
            </w:r>
          </w:p>
        </w:tc>
        <w:tc>
          <w:tcPr>
            <w:tcW w:w="5180" w:type="dxa"/>
            <w:vAlign w:val="bottom"/>
            <w:gridSpan w:val="2"/>
            <w:shd w:val="clear" w:color="auto" w:fill="CCEEFF"/>
          </w:tcPr>
          <w:p>
            <w:pPr>
              <w:jc w:val="right"/>
              <w:ind w:right="181"/>
              <w:spacing w:after="0"/>
              <w:rPr>
                <w:sz w:val="20"/>
                <w:szCs w:val="20"/>
                <w:color w:val="auto"/>
              </w:rPr>
            </w:pPr>
            <w:r>
              <w:rPr>
                <w:rFonts w:ascii="Arial" w:cs="Arial" w:eastAsia="Arial" w:hAnsi="Arial"/>
                <w:sz w:val="17"/>
                <w:szCs w:val="17"/>
                <w:color w:val="auto"/>
              </w:rPr>
              <w:t>7,878</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w:t>
            </w: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40" w:type="dxa"/>
            <w:vAlign w:val="bottom"/>
            <w:gridSpan w:val="2"/>
          </w:tcPr>
          <w:p>
            <w:pPr>
              <w:ind w:left="700"/>
              <w:spacing w:after="0"/>
              <w:rPr>
                <w:sz w:val="20"/>
                <w:szCs w:val="20"/>
                <w:color w:val="auto"/>
              </w:rPr>
            </w:pPr>
            <w:r>
              <w:rPr>
                <w:rFonts w:ascii="Arial" w:cs="Arial" w:eastAsia="Arial" w:hAnsi="Arial"/>
                <w:sz w:val="17"/>
                <w:szCs w:val="17"/>
                <w:color w:val="auto"/>
              </w:rPr>
              <w:t>Ending cash and cash equivalents</w:t>
            </w:r>
          </w:p>
        </w:tc>
        <w:tc>
          <w:tcPr>
            <w:tcW w:w="5180" w:type="dxa"/>
            <w:vAlign w:val="bottom"/>
            <w:gridSpan w:val="2"/>
          </w:tcPr>
          <w:p>
            <w:pPr>
              <w:jc w:val="right"/>
              <w:ind w:right="181"/>
              <w:spacing w:after="0"/>
              <w:rPr>
                <w:sz w:val="20"/>
                <w:szCs w:val="20"/>
                <w:color w:val="auto"/>
              </w:rPr>
            </w:pPr>
            <w:r>
              <w:rPr>
                <w:rFonts w:ascii="Arial" w:cs="Arial" w:eastAsia="Arial" w:hAnsi="Arial"/>
                <w:sz w:val="17"/>
                <w:szCs w:val="17"/>
                <w:color w:val="auto"/>
              </w:rPr>
              <w:t>3,616</w:t>
            </w:r>
          </w:p>
        </w:tc>
        <w:tc>
          <w:tcPr>
            <w:tcW w:w="720" w:type="dxa"/>
            <w:vAlign w:val="bottom"/>
          </w:tcPr>
          <w:p>
            <w:pPr>
              <w:jc w:val="right"/>
              <w:spacing w:after="0"/>
              <w:rPr>
                <w:sz w:val="20"/>
                <w:szCs w:val="20"/>
                <w:color w:val="auto"/>
              </w:rPr>
            </w:pPr>
            <w:r>
              <w:rPr>
                <w:rFonts w:ascii="Arial" w:cs="Arial" w:eastAsia="Arial" w:hAnsi="Arial"/>
                <w:sz w:val="17"/>
                <w:szCs w:val="17"/>
                <w:color w:val="auto"/>
              </w:rPr>
              <w:t>1,882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700" w:type="dxa"/>
            <w:vAlign w:val="bottom"/>
          </w:tcPr>
          <w:p>
            <w:pPr>
              <w:spacing w:after="0"/>
              <w:rPr>
                <w:sz w:val="24"/>
                <w:szCs w:val="24"/>
                <w:color w:val="auto"/>
              </w:rPr>
            </w:pPr>
          </w:p>
        </w:tc>
        <w:tc>
          <w:tcPr>
            <w:tcW w:w="3940" w:type="dxa"/>
            <w:vAlign w:val="bottom"/>
            <w:tcBorders>
              <w:top w:val="single" w:sz="8" w:color="auto"/>
            </w:tcBorders>
          </w:tcPr>
          <w:p>
            <w:pPr>
              <w:spacing w:after="0"/>
              <w:rPr>
                <w:sz w:val="24"/>
                <w:szCs w:val="24"/>
                <w:color w:val="auto"/>
              </w:rPr>
            </w:pPr>
          </w:p>
        </w:tc>
        <w:tc>
          <w:tcPr>
            <w:tcW w:w="5180" w:type="dxa"/>
            <w:vAlign w:val="bottom"/>
            <w:tcBorders>
              <w:top w:val="single" w:sz="8" w:color="auto"/>
            </w:tcBorders>
            <w:gridSpan w:val="2"/>
          </w:tcPr>
          <w:p>
            <w:pPr>
              <w:jc w:val="right"/>
              <w:ind w:right="3901"/>
              <w:spacing w:after="0"/>
              <w:rPr>
                <w:sz w:val="20"/>
                <w:szCs w:val="20"/>
                <w:color w:val="auto"/>
              </w:rPr>
            </w:pPr>
            <w:r>
              <w:rPr>
                <w:rFonts w:ascii="Arial" w:cs="Arial" w:eastAsia="Arial" w:hAnsi="Arial"/>
                <w:sz w:val="17"/>
                <w:szCs w:val="17"/>
                <w:color w:val="auto"/>
              </w:rPr>
              <w:t>F-50</w:t>
            </w: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0" w:type="dxa"/>
            <w:vAlign w:val="bottom"/>
            <w:tcBorders>
              <w:bottom w:val="single" w:sz="8" w:color="808080"/>
            </w:tcBorders>
          </w:tcPr>
          <w:p>
            <w:pPr>
              <w:spacing w:after="0"/>
              <w:rPr>
                <w:sz w:val="17"/>
                <w:szCs w:val="17"/>
                <w:color w:val="auto"/>
              </w:rPr>
            </w:pPr>
          </w:p>
        </w:tc>
        <w:tc>
          <w:tcPr>
            <w:tcW w:w="3940" w:type="dxa"/>
            <w:vAlign w:val="bottom"/>
            <w:tcBorders>
              <w:bottom w:val="single" w:sz="8" w:color="808080"/>
            </w:tcBorders>
          </w:tcPr>
          <w:p>
            <w:pPr>
              <w:spacing w:after="0"/>
              <w:rPr>
                <w:sz w:val="17"/>
                <w:szCs w:val="17"/>
                <w:color w:val="auto"/>
              </w:rPr>
            </w:pPr>
          </w:p>
        </w:tc>
        <w:tc>
          <w:tcPr>
            <w:tcW w:w="422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7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8" w:right="2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28"/>
          <w:szCs w:val="28"/>
          <w:b w:val="1"/>
          <w:bCs w:val="1"/>
          <w:color w:val="auto"/>
        </w:rPr>
        <w:t>Emergent BioSolutions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Unaudited pro forma condensed combined statement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6311265" cy="247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11265" cy="24765"/>
                    </a:xfrm>
                    <a:prstGeom prst="rect">
                      <a:avLst/>
                    </a:prstGeom>
                    <a:noFill/>
                  </pic:spPr>
                </pic:pic>
              </a:graphicData>
            </a:graphic>
          </wp:anchor>
        </w:drawing>
      </w:r>
    </w:p>
    <w:p>
      <w:pPr>
        <w:spacing w:after="0" w:line="146"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unaudited pro forma condensed combined financial information is presented to give effect to the acquisition of Microscience by Emergent and represents the combined company’s unaudited pro forma statements of operations for the year ended December 31, 2005. The statement of operations for the year ended December 31, 2005 was derived by combining the results for the year ended December 31, 2005 of Emergent with the results of Microscience as if the acquisition had occurred on January 1, 2005.</w:t>
      </w:r>
    </w:p>
    <w:p>
      <w:pPr>
        <w:spacing w:after="0" w:line="353" w:lineRule="exact"/>
        <w:rPr>
          <w:sz w:val="20"/>
          <w:szCs w:val="20"/>
          <w:color w:val="auto"/>
        </w:rPr>
      </w:pPr>
    </w:p>
    <w:tbl>
      <w:tblPr>
        <w:tblLayout w:type="fixed"/>
        <w:tblInd w:w="470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38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Pro forma</w:t>
            </w:r>
          </w:p>
        </w:tc>
      </w:tr>
      <w:tr>
        <w:trPr>
          <w:trHeight w:val="169"/>
        </w:trPr>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Emergent</w:t>
            </w:r>
          </w:p>
        </w:tc>
        <w:tc>
          <w:tcPr>
            <w:tcW w:w="40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Microscience</w:t>
            </w:r>
          </w:p>
        </w:tc>
        <w:tc>
          <w:tcPr>
            <w:tcW w:w="3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adjustments</w:t>
            </w:r>
          </w:p>
        </w:tc>
        <w:tc>
          <w:tcPr>
            <w:tcW w:w="380" w:type="dxa"/>
            <w:vAlign w:val="bottom"/>
          </w:tcPr>
          <w:p>
            <w:pPr>
              <w:spacing w:after="0"/>
              <w:rPr>
                <w:sz w:val="14"/>
                <w:szCs w:val="14"/>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combined</w:t>
            </w:r>
          </w:p>
        </w:tc>
      </w:tr>
    </w:tbl>
    <w:p>
      <w:pPr>
        <w:spacing w:after="0" w:line="30" w:lineRule="exact"/>
        <w:rPr>
          <w:sz w:val="20"/>
          <w:szCs w:val="20"/>
          <w:color w:val="auto"/>
        </w:rPr>
      </w:pPr>
    </w:p>
    <w:p>
      <w:pPr>
        <w:sectPr>
          <w:pgSz w:w="11900" w:h="16838" w:orient="portrait"/>
          <w:cols w:equalWidth="0" w:num="1">
            <w:col w:w="9940"/>
          </w:cols>
          <w:pgMar w:left="920" w:top="887" w:right="103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Revenues: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Product sales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Contracts and grants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Operating expense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of product sales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Research and development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Selling, general and administrative</w:t>
      </w:r>
    </w:p>
    <w:p>
      <w:pPr>
        <w:spacing w:after="0" w:line="1" w:lineRule="exact"/>
        <w:rPr>
          <w:sz w:val="20"/>
          <w:szCs w:val="20"/>
          <w:color w:val="auto"/>
        </w:rPr>
      </w:pPr>
    </w:p>
    <w:p>
      <w:pPr>
        <w:ind w:left="20" w:right="180"/>
        <w:spacing w:after="0" w:line="251" w:lineRule="auto"/>
        <w:rPr>
          <w:sz w:val="20"/>
          <w:szCs w:val="20"/>
          <w:color w:val="auto"/>
        </w:rPr>
      </w:pPr>
      <w:r>
        <w:rPr>
          <w:rFonts w:ascii="Arial" w:cs="Arial" w:eastAsia="Arial" w:hAnsi="Arial"/>
          <w:sz w:val="17"/>
          <w:szCs w:val="17"/>
          <w:color w:val="auto"/>
        </w:rPr>
        <w:t>Purchased in-process research and development Litigation settlement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Income (loss) from operations: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income (expense)</w:t>
      </w:r>
    </w:p>
    <w:p>
      <w:pPr>
        <w:spacing w:after="0" w:line="1" w:lineRule="exact"/>
        <w:rPr>
          <w:sz w:val="20"/>
          <w:szCs w:val="20"/>
          <w:color w:val="auto"/>
        </w:rPr>
      </w:pPr>
    </w:p>
    <w:p>
      <w:pPr>
        <w:ind w:left="180" w:hanging="174"/>
        <w:spacing w:after="0" w:line="241" w:lineRule="auto"/>
        <w:rPr>
          <w:sz w:val="20"/>
          <w:szCs w:val="20"/>
          <w:color w:val="auto"/>
        </w:rPr>
      </w:pPr>
      <w:r>
        <w:rPr>
          <w:rFonts w:ascii="Arial" w:cs="Arial" w:eastAsia="Arial" w:hAnsi="Arial"/>
          <w:sz w:val="17"/>
          <w:szCs w:val="17"/>
          <w:b w:val="1"/>
          <w:bCs w:val="1"/>
          <w:color w:val="auto"/>
        </w:rPr>
        <w:t>Income (loss) before provision for (benefit from) income taxes</w:t>
      </w:r>
    </w:p>
    <w:p>
      <w:pPr>
        <w:ind w:left="20" w:right="580"/>
        <w:spacing w:after="0" w:line="291" w:lineRule="auto"/>
        <w:rPr>
          <w:sz w:val="20"/>
          <w:szCs w:val="20"/>
          <w:color w:val="auto"/>
        </w:rPr>
      </w:pPr>
      <w:r>
        <w:rPr>
          <w:rFonts w:ascii="Arial" w:cs="Arial" w:eastAsia="Arial" w:hAnsi="Arial"/>
          <w:sz w:val="17"/>
          <w:szCs w:val="17"/>
          <w:b w:val="1"/>
          <w:bCs w:val="1"/>
          <w:color w:val="auto"/>
        </w:rPr>
        <w:t>Provision for (benefit from) income taxes Net income (loss)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Earnings (loss) per share — basic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Earnings (loss) per share — diluted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Weighted-average number of shares — basic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Weighted-average number of shares —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127,271</w:t>
            </w:r>
          </w:p>
        </w:tc>
        <w:tc>
          <w:tcPr>
            <w:tcW w:w="4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127,271</w:t>
            </w:r>
          </w:p>
        </w:tc>
      </w:tr>
      <w:tr>
        <w:trPr>
          <w:trHeight w:val="210"/>
        </w:trPr>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3,417</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3,417</w:t>
            </w:r>
          </w:p>
        </w:tc>
      </w:tr>
      <w:tr>
        <w:trPr>
          <w:trHeight w:val="216"/>
        </w:trPr>
        <w:tc>
          <w:tcPr>
            <w:tcW w:w="180" w:type="dxa"/>
            <w:vAlign w:val="bottom"/>
          </w:tcPr>
          <w:p>
            <w:pPr>
              <w:spacing w:after="0"/>
              <w:rPr>
                <w:sz w:val="18"/>
                <w:szCs w:val="18"/>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130,688</w:t>
            </w:r>
          </w:p>
        </w:tc>
        <w:tc>
          <w:tcPr>
            <w:tcW w:w="42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130,688</w:t>
            </w:r>
          </w:p>
        </w:tc>
      </w:tr>
      <w:tr>
        <w:trPr>
          <w:trHeight w:val="379"/>
        </w:trPr>
        <w:tc>
          <w:tcPr>
            <w:tcW w:w="18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31,603</w:t>
            </w:r>
          </w:p>
        </w:tc>
        <w:tc>
          <w:tcPr>
            <w:tcW w:w="420" w:type="dxa"/>
            <w:vAlign w:val="bottom"/>
          </w:tcPr>
          <w:p>
            <w:pPr>
              <w:spacing w:after="0"/>
              <w:rPr>
                <w:sz w:val="24"/>
                <w:szCs w:val="24"/>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31,603</w:t>
            </w:r>
          </w:p>
        </w:tc>
      </w:tr>
      <w:tr>
        <w:trPr>
          <w:trHeight w:val="196"/>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18,381</w:t>
            </w:r>
          </w:p>
        </w:tc>
        <w:tc>
          <w:tcPr>
            <w:tcW w:w="42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5,963</w:t>
            </w: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24,344</w:t>
            </w:r>
          </w:p>
        </w:tc>
      </w:tr>
      <w:tr>
        <w:trPr>
          <w:trHeight w:val="196"/>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42,793</w:t>
            </w:r>
          </w:p>
        </w:tc>
        <w:tc>
          <w:tcPr>
            <w:tcW w:w="42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557</w:t>
            </w: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43,350</w:t>
            </w:r>
          </w:p>
        </w:tc>
      </w:tr>
      <w:tr>
        <w:trPr>
          <w:trHeight w:val="196"/>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26,575</w:t>
            </w:r>
          </w:p>
        </w:tc>
        <w:tc>
          <w:tcPr>
            <w:tcW w:w="42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26,575</w:t>
            </w:r>
          </w:p>
        </w:tc>
      </w:tr>
      <w:tr>
        <w:trPr>
          <w:trHeight w:val="210"/>
        </w:trPr>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(10,000)</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w:t>
            </w:r>
          </w:p>
        </w:tc>
      </w:tr>
      <w:tr>
        <w:trPr>
          <w:trHeight w:val="202"/>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21,336</w:t>
            </w:r>
          </w:p>
        </w:tc>
        <w:tc>
          <w:tcPr>
            <w:tcW w:w="420" w:type="dxa"/>
            <w:vAlign w:val="bottom"/>
          </w:tcPr>
          <w:p>
            <w:pPr>
              <w:spacing w:after="0"/>
              <w:rPr>
                <w:sz w:val="17"/>
                <w:szCs w:val="17"/>
                <w:color w:val="auto"/>
              </w:rPr>
            </w:pPr>
          </w:p>
        </w:tc>
        <w:tc>
          <w:tcPr>
            <w:tcW w:w="880" w:type="dxa"/>
            <w:vAlign w:val="bottom"/>
          </w:tcPr>
          <w:p>
            <w:pPr>
              <w:jc w:val="right"/>
              <w:ind w:right="93"/>
              <w:spacing w:after="0"/>
              <w:rPr>
                <w:sz w:val="20"/>
                <w:szCs w:val="20"/>
                <w:color w:val="auto"/>
              </w:rPr>
            </w:pPr>
            <w:r>
              <w:rPr>
                <w:rFonts w:ascii="Arial" w:cs="Arial" w:eastAsia="Arial" w:hAnsi="Arial"/>
                <w:sz w:val="17"/>
                <w:szCs w:val="17"/>
                <w:color w:val="auto"/>
              </w:rPr>
              <w:t>(6,520)</w:t>
            </w: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14,816</w:t>
            </w:r>
          </w:p>
        </w:tc>
      </w:tr>
      <w:tr>
        <w:trPr>
          <w:trHeight w:val="210"/>
        </w:trPr>
        <w:tc>
          <w:tcPr>
            <w:tcW w:w="180" w:type="dxa"/>
            <w:vAlign w:val="bottom"/>
          </w:tcPr>
          <w:p>
            <w:pPr>
              <w:spacing w:after="0"/>
              <w:rPr>
                <w:sz w:val="18"/>
                <w:szCs w:val="18"/>
                <w:color w:val="auto"/>
              </w:rPr>
            </w:pP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(227)</w:t>
            </w:r>
          </w:p>
        </w:tc>
        <w:tc>
          <w:tcPr>
            <w:tcW w:w="420" w:type="dxa"/>
            <w:vAlign w:val="bottom"/>
          </w:tcPr>
          <w:p>
            <w:pPr>
              <w:spacing w:after="0"/>
              <w:rPr>
                <w:sz w:val="18"/>
                <w:szCs w:val="18"/>
                <w:color w:val="auto"/>
              </w:rPr>
            </w:pP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379"/>
        </w:trPr>
        <w:tc>
          <w:tcPr>
            <w:tcW w:w="180" w:type="dxa"/>
            <w:vAlign w:val="bottom"/>
          </w:tcPr>
          <w:p>
            <w:pPr>
              <w:spacing w:after="0"/>
              <w:rPr>
                <w:sz w:val="24"/>
                <w:szCs w:val="24"/>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21,109</w:t>
            </w:r>
          </w:p>
        </w:tc>
        <w:tc>
          <w:tcPr>
            <w:tcW w:w="420" w:type="dxa"/>
            <w:vAlign w:val="bottom"/>
          </w:tcPr>
          <w:p>
            <w:pPr>
              <w:spacing w:after="0"/>
              <w:rPr>
                <w:sz w:val="24"/>
                <w:szCs w:val="24"/>
                <w:color w:val="auto"/>
              </w:rPr>
            </w:pPr>
          </w:p>
        </w:tc>
        <w:tc>
          <w:tcPr>
            <w:tcW w:w="880" w:type="dxa"/>
            <w:vAlign w:val="bottom"/>
          </w:tcPr>
          <w:p>
            <w:pPr>
              <w:jc w:val="right"/>
              <w:ind w:right="93"/>
              <w:spacing w:after="0"/>
              <w:rPr>
                <w:sz w:val="20"/>
                <w:szCs w:val="20"/>
                <w:color w:val="auto"/>
              </w:rPr>
            </w:pPr>
            <w:r>
              <w:rPr>
                <w:rFonts w:ascii="Arial" w:cs="Arial" w:eastAsia="Arial" w:hAnsi="Arial"/>
                <w:sz w:val="17"/>
                <w:szCs w:val="17"/>
                <w:color w:val="auto"/>
              </w:rPr>
              <w:t>(6,498)</w:t>
            </w:r>
          </w:p>
        </w:tc>
        <w:tc>
          <w:tcPr>
            <w:tcW w:w="260" w:type="dxa"/>
            <w:vAlign w:val="bottom"/>
          </w:tcPr>
          <w:p>
            <w:pPr>
              <w:spacing w:after="0"/>
              <w:rPr>
                <w:sz w:val="24"/>
                <w:szCs w:val="24"/>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14,611</w:t>
            </w:r>
          </w:p>
        </w:tc>
      </w:tr>
      <w:tr>
        <w:trPr>
          <w:trHeight w:val="210"/>
        </w:trPr>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5,325</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(781)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4,544</w:t>
            </w:r>
          </w:p>
        </w:tc>
      </w:tr>
      <w:tr>
        <w:trPr>
          <w:trHeight w:val="216"/>
        </w:trPr>
        <w:tc>
          <w:tcPr>
            <w:tcW w:w="18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000003"/>
            </w:tcBorders>
          </w:tcPr>
          <w:p>
            <w:pPr>
              <w:jc w:val="right"/>
              <w:ind w:right="133"/>
              <w:spacing w:after="0"/>
              <w:rPr>
                <w:sz w:val="20"/>
                <w:szCs w:val="20"/>
                <w:color w:val="auto"/>
              </w:rPr>
            </w:pPr>
            <w:r>
              <w:rPr>
                <w:rFonts w:ascii="Arial" w:cs="Arial" w:eastAsia="Arial" w:hAnsi="Arial"/>
                <w:sz w:val="17"/>
                <w:szCs w:val="17"/>
                <w:color w:val="auto"/>
              </w:rPr>
              <w:t>15,784</w:t>
            </w:r>
          </w:p>
        </w:tc>
        <w:tc>
          <w:tcPr>
            <w:tcW w:w="420" w:type="dxa"/>
            <w:vAlign w:val="bottom"/>
            <w:tcBorders>
              <w:bottom w:val="single" w:sz="8" w:color="000003"/>
            </w:tcBorders>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000003"/>
            </w:tcBorders>
          </w:tcPr>
          <w:p>
            <w:pPr>
              <w:jc w:val="right"/>
              <w:ind w:right="93"/>
              <w:spacing w:after="0"/>
              <w:rPr>
                <w:sz w:val="20"/>
                <w:szCs w:val="20"/>
                <w:color w:val="auto"/>
              </w:rPr>
            </w:pPr>
            <w:r>
              <w:rPr>
                <w:rFonts w:ascii="Arial" w:cs="Arial" w:eastAsia="Arial" w:hAnsi="Arial"/>
                <w:sz w:val="17"/>
                <w:szCs w:val="17"/>
                <w:color w:val="auto"/>
              </w:rPr>
              <w:t>(5,717)</w:t>
            </w:r>
          </w:p>
        </w:tc>
        <w:tc>
          <w:tcPr>
            <w:tcW w:w="26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000003"/>
            </w:tcBorders>
          </w:tcPr>
          <w:p>
            <w:pPr>
              <w:jc w:val="right"/>
              <w:ind w:right="113"/>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000003"/>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000003"/>
            </w:tcBorders>
          </w:tcPr>
          <w:p>
            <w:pPr>
              <w:jc w:val="right"/>
              <w:ind w:right="13"/>
              <w:spacing w:after="0"/>
              <w:rPr>
                <w:sz w:val="20"/>
                <w:szCs w:val="20"/>
                <w:color w:val="auto"/>
              </w:rPr>
            </w:pPr>
            <w:r>
              <w:rPr>
                <w:rFonts w:ascii="Arial" w:cs="Arial" w:eastAsia="Arial" w:hAnsi="Arial"/>
                <w:sz w:val="17"/>
                <w:szCs w:val="17"/>
                <w:color w:val="auto"/>
              </w:rPr>
              <w:t>10,067</w:t>
            </w:r>
          </w:p>
        </w:tc>
      </w:tr>
      <w:tr>
        <w:trPr>
          <w:trHeight w:val="20"/>
        </w:trPr>
        <w:tc>
          <w:tcPr>
            <w:tcW w:w="180" w:type="dxa"/>
            <w:vAlign w:val="bottom"/>
            <w:tcBorders>
              <w:bottom w:val="single" w:sz="8" w:color="000003"/>
            </w:tcBorders>
          </w:tcPr>
          <w:p>
            <w:pPr>
              <w:spacing w:after="0" w:line="20" w:lineRule="exact"/>
              <w:rPr>
                <w:sz w:val="1"/>
                <w:szCs w:val="1"/>
                <w:color w:val="auto"/>
              </w:rPr>
            </w:pPr>
          </w:p>
        </w:tc>
        <w:tc>
          <w:tcPr>
            <w:tcW w:w="1160" w:type="dxa"/>
            <w:vAlign w:val="bottom"/>
            <w:tcBorders>
              <w:bottom w:val="single" w:sz="8" w:color="000003"/>
            </w:tcBorders>
          </w:tcPr>
          <w:p>
            <w:pPr>
              <w:spacing w:after="0" w:line="20" w:lineRule="exact"/>
              <w:rPr>
                <w:sz w:val="1"/>
                <w:szCs w:val="1"/>
                <w:color w:val="auto"/>
              </w:rPr>
            </w:pPr>
          </w:p>
        </w:tc>
        <w:tc>
          <w:tcPr>
            <w:tcW w:w="420" w:type="dxa"/>
            <w:vAlign w:val="bottom"/>
            <w:tcBorders>
              <w:bottom w:val="single" w:sz="8" w:color="000003"/>
            </w:tcBorders>
          </w:tcPr>
          <w:p>
            <w:pPr>
              <w:spacing w:after="0" w:line="20" w:lineRule="exact"/>
              <w:rPr>
                <w:sz w:val="1"/>
                <w:szCs w:val="1"/>
                <w:color w:val="auto"/>
              </w:rPr>
            </w:pPr>
          </w:p>
        </w:tc>
        <w:tc>
          <w:tcPr>
            <w:tcW w:w="880" w:type="dxa"/>
            <w:vAlign w:val="bottom"/>
            <w:tcBorders>
              <w:bottom w:val="single" w:sz="8" w:color="000003"/>
            </w:tcBorders>
          </w:tcPr>
          <w:p>
            <w:pPr>
              <w:spacing w:after="0" w:line="20" w:lineRule="exact"/>
              <w:rPr>
                <w:sz w:val="1"/>
                <w:szCs w:val="1"/>
                <w:color w:val="auto"/>
              </w:rPr>
            </w:pPr>
          </w:p>
        </w:tc>
        <w:tc>
          <w:tcPr>
            <w:tcW w:w="260" w:type="dxa"/>
            <w:vAlign w:val="bottom"/>
            <w:tcBorders>
              <w:bottom w:val="single" w:sz="8" w:color="000003"/>
            </w:tcBorders>
          </w:tcPr>
          <w:p>
            <w:pPr>
              <w:spacing w:after="0" w:line="20" w:lineRule="exact"/>
              <w:rPr>
                <w:sz w:val="1"/>
                <w:szCs w:val="1"/>
                <w:color w:val="auto"/>
              </w:rPr>
            </w:pPr>
          </w:p>
        </w:tc>
        <w:tc>
          <w:tcPr>
            <w:tcW w:w="980" w:type="dxa"/>
            <w:vAlign w:val="bottom"/>
            <w:tcBorders>
              <w:bottom w:val="single" w:sz="8" w:color="000003"/>
            </w:tcBorders>
          </w:tcPr>
          <w:p>
            <w:pPr>
              <w:spacing w:after="0" w:line="20" w:lineRule="exact"/>
              <w:rPr>
                <w:sz w:val="1"/>
                <w:szCs w:val="1"/>
                <w:color w:val="auto"/>
              </w:rPr>
            </w:pPr>
          </w:p>
        </w:tc>
        <w:tc>
          <w:tcPr>
            <w:tcW w:w="340" w:type="dxa"/>
            <w:vAlign w:val="bottom"/>
            <w:tcBorders>
              <w:bottom w:val="single" w:sz="8" w:color="000003"/>
            </w:tcBorders>
          </w:tcPr>
          <w:p>
            <w:pPr>
              <w:spacing w:after="0" w:line="20" w:lineRule="exact"/>
              <w:rPr>
                <w:sz w:val="1"/>
                <w:szCs w:val="1"/>
                <w:color w:val="auto"/>
              </w:rPr>
            </w:pPr>
          </w:p>
        </w:tc>
        <w:tc>
          <w:tcPr>
            <w:tcW w:w="1020" w:type="dxa"/>
            <w:vAlign w:val="bottom"/>
            <w:tcBorders>
              <w:bottom w:val="single" w:sz="8" w:color="000003"/>
            </w:tcBorders>
          </w:tcPr>
          <w:p>
            <w:pPr>
              <w:spacing w:after="0" w:line="20" w:lineRule="exact"/>
              <w:rPr>
                <w:sz w:val="1"/>
                <w:szCs w:val="1"/>
                <w:color w:val="auto"/>
              </w:rPr>
            </w:pPr>
          </w:p>
        </w:tc>
      </w:tr>
      <w:tr>
        <w:trPr>
          <w:trHeight w:val="188"/>
        </w:trPr>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3"/>
              <w:spacing w:after="0" w:line="189" w:lineRule="exact"/>
              <w:rPr>
                <w:sz w:val="20"/>
                <w:szCs w:val="20"/>
                <w:color w:val="auto"/>
              </w:rPr>
            </w:pPr>
            <w:r>
              <w:rPr>
                <w:rFonts w:ascii="Arial" w:cs="Arial" w:eastAsia="Arial" w:hAnsi="Arial"/>
                <w:sz w:val="17"/>
                <w:szCs w:val="17"/>
                <w:color w:val="auto"/>
              </w:rPr>
              <w:t>0.77</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line="189" w:lineRule="exact"/>
              <w:rPr>
                <w:sz w:val="20"/>
                <w:szCs w:val="20"/>
                <w:color w:val="auto"/>
              </w:rPr>
            </w:pPr>
            <w:r>
              <w:rPr>
                <w:rFonts w:ascii="Arial" w:cs="Arial" w:eastAsia="Arial" w:hAnsi="Arial"/>
                <w:sz w:val="17"/>
                <w:szCs w:val="17"/>
                <w:color w:val="auto"/>
              </w:rPr>
              <w:t>0.45</w:t>
            </w:r>
          </w:p>
        </w:tc>
      </w:tr>
      <w:tr>
        <w:trPr>
          <w:trHeight w:val="196"/>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0.69</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0.41</w:t>
            </w:r>
          </w:p>
        </w:tc>
      </w:tr>
      <w:tr>
        <w:trPr>
          <w:trHeight w:val="196"/>
        </w:trPr>
        <w:tc>
          <w:tcPr>
            <w:tcW w:w="18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20,533,471</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1,769,809</w:t>
            </w:r>
          </w:p>
        </w:tc>
        <w:tc>
          <w:tcPr>
            <w:tcW w:w="34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22,303,280</w:t>
            </w:r>
          </w:p>
        </w:tc>
      </w:tr>
      <w:tr>
        <w:trPr>
          <w:trHeight w:val="210"/>
        </w:trPr>
        <w:tc>
          <w:tcPr>
            <w:tcW w:w="180" w:type="dxa"/>
            <w:vAlign w:val="bottom"/>
          </w:tcPr>
          <w:p>
            <w:pPr>
              <w:spacing w:after="0"/>
              <w:rPr>
                <w:sz w:val="18"/>
                <w:szCs w:val="18"/>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22,751,733</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7"/>
                <w:szCs w:val="17"/>
                <w:color w:val="auto"/>
              </w:rPr>
              <w:t>1,769,809</w:t>
            </w:r>
          </w:p>
        </w:tc>
        <w:tc>
          <w:tcPr>
            <w:tcW w:w="340" w:type="dxa"/>
            <w:vAlign w:val="bottom"/>
          </w:tcPr>
          <w:p>
            <w:pPr>
              <w:spacing w:after="0"/>
              <w:rPr>
                <w:sz w:val="18"/>
                <w:szCs w:val="18"/>
                <w:color w:val="auto"/>
              </w:rPr>
            </w:pP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24,521,542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-2618105</wp:posOffset>
            </wp:positionV>
            <wp:extent cx="6303010" cy="1244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-2369185</wp:posOffset>
            </wp:positionV>
            <wp:extent cx="6303010" cy="1244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-2094230</wp:posOffset>
            </wp:positionV>
            <wp:extent cx="6303010" cy="1244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-1845310</wp:posOffset>
            </wp:positionV>
            <wp:extent cx="6303010" cy="1244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-1595755</wp:posOffset>
            </wp:positionV>
            <wp:extent cx="6303010" cy="1244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-1321435</wp:posOffset>
            </wp:positionV>
            <wp:extent cx="6303010" cy="1244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-1071880</wp:posOffset>
            </wp:positionV>
            <wp:extent cx="6303010" cy="2495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303010" cy="249555"/>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-672465</wp:posOffset>
            </wp:positionV>
            <wp:extent cx="6303010" cy="1244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-381635</wp:posOffset>
            </wp:positionV>
            <wp:extent cx="6303010" cy="1244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303010" cy="124460"/>
                    </a:xfrm>
                    <a:prstGeom prst="rect">
                      <a:avLst/>
                    </a:prstGeom>
                    <a:noFill/>
                  </pic:spPr>
                </pic:pic>
              </a:graphicData>
            </a:graphic>
          </wp:anchor>
        </w:drawing>
        <w:drawing>
          <wp:anchor simplePos="0" relativeHeight="251657728" behindDoc="1" locked="0" layoutInCell="0" allowOverlap="1">
            <wp:simplePos x="0" y="0"/>
            <wp:positionH relativeFrom="column">
              <wp:posOffset>-2971800</wp:posOffset>
            </wp:positionH>
            <wp:positionV relativeFrom="paragraph">
              <wp:posOffset>-132080</wp:posOffset>
            </wp:positionV>
            <wp:extent cx="6303010" cy="1244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03010" cy="12446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4000" w:space="700"/>
            <w:col w:w="5240"/>
          </w:cols>
          <w:pgMar w:left="920" w:top="887" w:right="1039" w:bottom="1440" w:gutter="0" w:footer="0" w:header="0"/>
          <w:type w:val="continuous"/>
        </w:sectPr>
      </w:pPr>
    </w:p>
    <w:p>
      <w:pPr>
        <w:spacing w:after="0"/>
        <w:rPr>
          <w:sz w:val="20"/>
          <w:szCs w:val="20"/>
          <w:color w:val="auto"/>
        </w:rPr>
      </w:pPr>
      <w:r>
        <w:rPr>
          <w:rFonts w:ascii="Arial" w:cs="Arial" w:eastAsia="Arial" w:hAnsi="Arial"/>
          <w:sz w:val="13"/>
          <w:szCs w:val="13"/>
          <w:i w:val="1"/>
          <w:iCs w:val="1"/>
          <w:color w:val="auto"/>
        </w:rPr>
        <w:t>The accompanying note is an integral part of this pro forma condensed combined statement of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887" w:right="1039" w:bottom="1440" w:gutter="0" w:footer="0" w:header="0"/>
          <w:type w:val="continuous"/>
        </w:sectPr>
      </w:pPr>
    </w:p>
    <w:bookmarkStart w:id="236" w:name="page237"/>
    <w:bookmarkEnd w:id="236"/>
    <w:p>
      <w:pPr>
        <w:jc w:val="center"/>
        <w:ind w:left="980" w:right="1960"/>
        <w:spacing w:after="0" w:line="268" w:lineRule="auto"/>
        <w:rPr>
          <w:sz w:val="20"/>
          <w:szCs w:val="20"/>
          <w:color w:val="auto"/>
        </w:rPr>
      </w:pPr>
      <w:r>
        <w:rPr>
          <w:rFonts w:ascii="Arial" w:cs="Arial" w:eastAsia="Arial" w:hAnsi="Arial"/>
          <w:sz w:val="27"/>
          <w:szCs w:val="27"/>
          <w:b w:val="1"/>
          <w:bCs w:val="1"/>
          <w:color w:val="auto"/>
        </w:rPr>
        <w:t>Emergent BioSolutions Inc. and subsidiaries Note to unaudited pro forma condensed combined statement of operations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6311265" cy="247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11265" cy="24765"/>
                    </a:xfrm>
                    <a:prstGeom prst="rect">
                      <a:avLst/>
                    </a:prstGeom>
                    <a:noFill/>
                  </pic:spPr>
                </pic:pic>
              </a:graphicData>
            </a:graphic>
          </wp:anchor>
        </w:drawing>
      </w:r>
    </w:p>
    <w:p>
      <w:pPr>
        <w:spacing w:after="0" w:line="97"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On June 23, 2005, Emergent Europe, Inc., a wholly owned subsidiary of Emergent incorporated in Delaware (EEI), completed the acquisition of Microscience pursuant to the terms and conditions of the Share Exchange Agreement dated June 23, 2005 by and among EEI and Microscience Holdings plc, a public limited liability company incorporated in England. At the closing date, Emergent, through EEI, issued Microscience shareholders 3,636,801 shares of Emergent’s Class A Common Stock in exchange for all of the outstanding stock of Microscience.</w:t>
      </w:r>
    </w:p>
    <w:p>
      <w:pPr>
        <w:spacing w:after="0" w:line="102"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The pro forma condensed combined statement of operations has been prepared by management of Emergent without audit, pursuant to the rules and regulations of the Securities and Exchange Commission. Certain information and footnote disclosures normally prepared in accordance with generally accepted accounting principles have been condensed or omitted pursuant to such rules and regulations. However, management believes that the disclosures are adequate to make the information not misleading.</w:t>
      </w:r>
    </w:p>
    <w:p>
      <w:pPr>
        <w:spacing w:after="0" w:line="302"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The unaudited pro forma condensed combined financial statements do not reflect one-off items directly attributable to the acquisition, such as the write-off of purchased in-process research and development. The unaudited pro forma condensed combined financial statements should be read in conjunction with the historical consolidated financial statements and related notes and other financial information pertaining to Emergent and Microscience, including “Management’s discussion and analysis of financial condition and results of operations” and “Risk factors,” which appear elsewhere in this prospectus.</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132080</wp:posOffset>
            </wp:positionV>
            <wp:extent cx="725487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00"/>
          </w:cols>
          <w:pgMar w:left="920" w:top="887" w:right="1079" w:bottom="1440" w:gutter="0" w:footer="0" w:header="0"/>
        </w:sectPr>
      </w:pPr>
    </w:p>
    <w:bookmarkStart w:id="237" w:name="page238"/>
    <w:bookmarkEnd w:id="237"/>
    <w:p>
      <w:pPr>
        <w:jc w:val="center"/>
        <w:ind w:right="-119"/>
        <w:spacing w:after="0"/>
        <w:rPr>
          <w:sz w:val="20"/>
          <w:szCs w:val="20"/>
          <w:color w:val="auto"/>
        </w:rPr>
      </w:pPr>
      <w:r>
        <w:rPr>
          <w:rFonts w:ascii="Arial" w:cs="Arial" w:eastAsia="Arial" w:hAnsi="Arial"/>
          <w:sz w:val="31"/>
          <w:szCs w:val="31"/>
          <w:b w:val="1"/>
          <w:bCs w:val="1"/>
          <w:i w:val="1"/>
          <w:i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69850</wp:posOffset>
            </wp:positionV>
            <wp:extent cx="1555115" cy="6483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55115" cy="64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31"/>
          <w:szCs w:val="31"/>
          <w:b w:val="1"/>
          <w:bCs w:val="1"/>
          <w:i w:val="1"/>
          <w:iCs w:val="1"/>
          <w:color w:val="auto"/>
        </w:rPr>
        <w:t>Common stock</w:t>
      </w:r>
    </w:p>
    <w:p>
      <w:pPr>
        <w:spacing w:after="0" w:line="60" w:lineRule="exact"/>
        <w:rPr>
          <w:sz w:val="20"/>
          <w:szCs w:val="20"/>
          <w:color w:val="auto"/>
        </w:rPr>
      </w:pPr>
    </w:p>
    <w:p>
      <w:pPr>
        <w:jc w:val="center"/>
        <w:ind w:right="-119"/>
        <w:spacing w:after="0"/>
        <w:rPr>
          <w:sz w:val="20"/>
          <w:szCs w:val="20"/>
          <w:color w:val="auto"/>
        </w:rPr>
      </w:pPr>
      <w:r>
        <w:rPr>
          <w:rFonts w:ascii="Arial" w:cs="Arial" w:eastAsia="Arial" w:hAnsi="Arial"/>
          <w:sz w:val="42"/>
          <w:szCs w:val="42"/>
          <w:b w:val="1"/>
          <w:bCs w:val="1"/>
          <w:color w:val="auto"/>
        </w:rPr>
        <w:t>Prospectus</w:t>
      </w:r>
    </w:p>
    <w:p>
      <w:pPr>
        <w:spacing w:after="0" w:line="7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JPMorgan</w:t>
      </w:r>
    </w:p>
    <w:p>
      <w:pPr>
        <w:spacing w:after="0" w:line="3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Cowen and Company</w:t>
      </w:r>
    </w:p>
    <w:p>
      <w:pPr>
        <w:spacing w:after="0" w:line="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HSBC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 2006</w:t>
      </w:r>
    </w:p>
    <w:p>
      <w:pPr>
        <w:spacing w:after="0" w:line="20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color w:val="auto"/>
        </w:rPr>
        <w:t>Until</w:t>
      </w:r>
      <w:r>
        <w:rPr>
          <w:sz w:val="20"/>
          <w:szCs w:val="20"/>
          <w:color w:val="auto"/>
        </w:rPr>
        <w:tab/>
      </w:r>
      <w:r>
        <w:rPr>
          <w:rFonts w:ascii="Arial" w:cs="Arial" w:eastAsia="Arial" w:hAnsi="Arial"/>
          <w:sz w:val="17"/>
          <w:szCs w:val="17"/>
          <w:color w:val="auto"/>
        </w:rPr>
        <w:t>, 2006 (25 days after the date of this prospectus), all dealers that buy, sell or trade our common stock, whether or not</w:t>
      </w:r>
    </w:p>
    <w:p>
      <w:pPr>
        <w:spacing w:after="0" w:line="1"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113665</wp:posOffset>
            </wp:positionV>
            <wp:extent cx="725487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40"/>
          </w:cols>
          <w:pgMar w:left="920" w:top="891" w:right="11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38" w:lineRule="exact"/>
        <w:rPr>
          <w:sz w:val="20"/>
          <w:szCs w:val="20"/>
          <w:color w:val="auto"/>
        </w:rPr>
      </w:pPr>
    </w:p>
    <w:p>
      <w:pPr>
        <w:jc w:val="both"/>
        <w:ind w:firstLine="397"/>
        <w:spacing w:after="0" w:line="297"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the Registrant. All amounts are estimated except the Securities and Exchange Commission registration fee and the National Association of Securities Dealers Inc. filing fee.</w:t>
      </w:r>
    </w:p>
    <w:p>
      <w:pPr>
        <w:sectPr>
          <w:pgSz w:w="11900" w:h="16838" w:orient="portrait"/>
          <w:cols w:equalWidth="0" w:num="1">
            <w:col w:w="9940"/>
          </w:cols>
          <w:pgMar w:left="920" w:top="946" w:right="10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6303010" cy="133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03010" cy="13335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National Association of Securities Dealers Inc. fee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New York Stock 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6303010" cy="133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03010" cy="133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Accountants’ fees and expenses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6303010" cy="133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303010" cy="133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Transfer Agent’s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6303010" cy="133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03010" cy="133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Printing and engraving expenses</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6303010" cy="133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303010" cy="133350"/>
                    </a:xfrm>
                    <a:prstGeom prst="rect">
                      <a:avLst/>
                    </a:prstGeom>
                    <a:noFill/>
                  </pic:spPr>
                </pic:pic>
              </a:graphicData>
            </a:graphic>
          </wp:anchor>
        </w:drawing>
      </w:r>
    </w:p>
    <w:p>
      <w:pPr>
        <w:spacing w:after="0" w:line="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 Expenses</w:t>
      </w:r>
    </w:p>
    <w:p>
      <w:pPr>
        <w:spacing w:after="0" w:line="257"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9232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51" w:lineRule="exact"/>
        <w:rPr>
          <w:sz w:val="20"/>
          <w:szCs w:val="20"/>
          <w:color w:val="auto"/>
        </w:rPr>
      </w:pPr>
    </w:p>
    <w:p>
      <w:pPr>
        <w:ind w:left="1060" w:hanging="1054"/>
        <w:spacing w:after="0"/>
        <w:tabs>
          <w:tab w:leader="none" w:pos="10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9,844</w:t>
      </w:r>
    </w:p>
    <w:p>
      <w:pPr>
        <w:spacing w:after="0" w:line="49"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9,700</w:t>
      </w:r>
    </w:p>
    <w:p>
      <w:pPr>
        <w:spacing w:after="0" w:line="37"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150,000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575,000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2,000,000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3,500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600,000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96,956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9232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8" w:lineRule="exact"/>
        <w:rPr>
          <w:sz w:val="20"/>
          <w:szCs w:val="20"/>
          <w:color w:val="auto"/>
        </w:rPr>
      </w:pPr>
    </w:p>
    <w:p>
      <w:pPr>
        <w:ind w:left="760" w:hanging="754"/>
        <w:spacing w:after="0"/>
        <w:tabs>
          <w:tab w:leader="none" w:pos="7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3,450,000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wp:posOffset>
            </wp:positionV>
            <wp:extent cx="923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613" w:lineRule="exact"/>
        <w:rPr>
          <w:sz w:val="20"/>
          <w:szCs w:val="20"/>
          <w:color w:val="auto"/>
        </w:rPr>
      </w:pPr>
    </w:p>
    <w:p>
      <w:pPr>
        <w:sectPr>
          <w:pgSz w:w="11900" w:h="16838" w:orient="portrait"/>
          <w:cols w:equalWidth="0" w:num="2">
            <w:col w:w="7760" w:space="720"/>
            <w:col w:w="1460"/>
          </w:cols>
          <w:pgMar w:left="920" w:top="946" w:right="1039" w:bottom="1440" w:gutter="0" w:footer="0" w:header="0"/>
          <w:type w:val="continuous"/>
        </w:sectPr>
      </w:pPr>
    </w:p>
    <w:p>
      <w:pPr>
        <w:ind w:right="20" w:firstLine="397"/>
        <w:spacing w:after="0" w:line="261" w:lineRule="auto"/>
        <w:rPr>
          <w:sz w:val="20"/>
          <w:szCs w:val="20"/>
          <w:color w:val="auto"/>
        </w:rPr>
      </w:pPr>
      <w:r>
        <w:rPr>
          <w:rFonts w:ascii="Arial" w:cs="Arial" w:eastAsia="Arial" w:hAnsi="Arial"/>
          <w:sz w:val="17"/>
          <w:szCs w:val="17"/>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The Registrant’s restated certificate of incorporation provides that no director of the Registrant shall be personally liable to it or its stockholders for monetary damages for any breach of fiduciary duty as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93" w:lineRule="exact"/>
        <w:rPr>
          <w:sz w:val="20"/>
          <w:szCs w:val="20"/>
          <w:color w:val="auto"/>
        </w:rPr>
      </w:pPr>
    </w:p>
    <w:p>
      <w:pPr>
        <w:ind w:firstLine="397"/>
        <w:spacing w:after="0" w:line="27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indemnify for such expenses which the Court of Chancery or such other court shall deem proper.</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147320</wp:posOffset>
            </wp:positionV>
            <wp:extent cx="725487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46" w:right="1039" w:bottom="1440" w:gutter="0" w:footer="0" w:header="0"/>
          <w:type w:val="continuous"/>
        </w:sectPr>
      </w:pPr>
    </w:p>
    <w:bookmarkStart w:id="239" w:name="page240"/>
    <w:bookmarkEnd w:id="239"/>
    <w:p>
      <w:pPr>
        <w:ind w:firstLine="457"/>
        <w:spacing w:after="0" w:line="294" w:lineRule="auto"/>
        <w:rPr>
          <w:sz w:val="20"/>
          <w:szCs w:val="20"/>
          <w:color w:val="auto"/>
        </w:rPr>
      </w:pPr>
      <w:r>
        <w:rPr>
          <w:rFonts w:ascii="Arial" w:cs="Arial" w:eastAsia="Arial" w:hAnsi="Arial"/>
          <w:sz w:val="15"/>
          <w:szCs w:val="15"/>
          <w:color w:val="auto"/>
        </w:rPr>
        <w:t>The Registrant’s restated certificate of incorporation provides that the Registrant will indemnify each person who was or is a party or threatened to be made a party to any threatened, pending or completed action, suit or proceeding, whether civil, criminal, administrative or investigative (other than an action by or in the right of the Registrant) by reason of the fact that he or she is or was, or has agreed to become, a director or officer of the Registrant, or is or was serving, or has agreed to serve, at the Registrant’s request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judgments, fines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and, with respect to any criminal action or proceeding, had no reasonable cause to believe his or her conduct was unlawful. The Registrant’s restated certificate of incorporation provides that the Registrant will indemnify any Indemnitee who was or is a party to or threatened to be made a party to any threatened, pending or completed action or suit by or in the right of the Registrant to procure a judgment in our favor by reason of the fact that the Indemnitee is or was, or has agreed to become, a director or officer of the Registrant, or is or was serving, or has agreed to serve, at our request,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Registrant, except that no indemnification shall be made with respect to any claim, issue or matter as to which Indemnitee shall have been adjudged to be liable to the Registrant,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 (including attorney’s fees) which the Court of Chancery of Delaware or the court in which such action or suit was brought shall deem proper. Notwithstanding the foregoing, to the extent that an Indemnitee has been successful, on the merits or otherwise, in defense of any action, suit or proceeding, Indemnitee shall be indemnified by the Registrant against all expenses (including attorneys’ fees) actually and reasonably incurred in connection therewith. Expenses must be advanced to an Indemnitee under certain circumstances.</w:t>
      </w:r>
    </w:p>
    <w:p>
      <w:pPr>
        <w:spacing w:after="0" w:line="290"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The Registrant has entered into agreements to indemnify the Registrant’s directors and executive officers. These agreements, among other things, provide that the Registrant will indemnify the director or executive officer to the fullest extent permitted by law for claims arising in his or her capacity as a director, officer, manager, employee, agent or representative of the Registrant. The indemnification agreements also establish the procedures that will apply in the event a director or officer makes a claim for indemnification.</w:t>
      </w:r>
    </w:p>
    <w:p>
      <w:pPr>
        <w:spacing w:after="0" w:line="86"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The Registrant maintains a general liability insurance policy which covers certain liabilities of directors and officers of the Registrant arising out of claims based on acts or omissions in their capacities as directors or officers.</w:t>
      </w:r>
    </w:p>
    <w:p>
      <w:pPr>
        <w:spacing w:after="0" w:line="66"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In any underwriting agreement the Registrant enters into in connection with the sale of common stock being registered hereby, the underwriters will agree to indemnify, under certain conditions, the Registrant, the Registrant’s directors, the Registrants officers and persons who control the Registrant with the meaning of the Securities Act of 1933, as amended, against certain liabilities.</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240" w:name="page241"/>
    <w:bookmarkEnd w:id="240"/>
    <w:p>
      <w:pPr>
        <w:spacing w:after="0"/>
        <w:tabs>
          <w:tab w:leader="none" w:pos="9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38" w:lineRule="exact"/>
        <w:rPr>
          <w:sz w:val="20"/>
          <w:szCs w:val="20"/>
          <w:color w:val="auto"/>
        </w:rPr>
      </w:pPr>
    </w:p>
    <w:p>
      <w:pPr>
        <w:ind w:right="120" w:firstLine="397"/>
        <w:spacing w:after="0" w:line="267" w:lineRule="auto"/>
        <w:rPr>
          <w:sz w:val="20"/>
          <w:szCs w:val="20"/>
          <w:color w:val="auto"/>
        </w:rPr>
      </w:pPr>
      <w:r>
        <w:rPr>
          <w:rFonts w:ascii="Arial" w:cs="Arial" w:eastAsia="Arial" w:hAnsi="Arial"/>
          <w:sz w:val="17"/>
          <w:szCs w:val="17"/>
          <w:color w:val="auto"/>
        </w:rPr>
        <w:t>Set forth below is information regarding shares of class A and class B common stock issued, and options granted, by the Registrant for class B common stock within the past three years. Also included is the consideration, if any, received by the Registrant for such shares, options and information relating to the section of the Securities Act, or rule of the Securities and Exchange Commission, under which exemption from registration was claimed.</w:t>
      </w:r>
    </w:p>
    <w:p>
      <w:pPr>
        <w:spacing w:after="0" w:line="86" w:lineRule="exact"/>
        <w:rPr>
          <w:sz w:val="20"/>
          <w:szCs w:val="20"/>
          <w:color w:val="auto"/>
        </w:rPr>
      </w:pPr>
    </w:p>
    <w:p>
      <w:pPr>
        <w:ind w:left="640" w:hanging="233"/>
        <w:spacing w:after="0"/>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Issuance of Securities</w:t>
      </w:r>
    </w:p>
    <w:p>
      <w:pPr>
        <w:spacing w:after="0" w:line="131" w:lineRule="exact"/>
        <w:rPr>
          <w:rFonts w:ascii="Arial" w:cs="Arial" w:eastAsia="Arial" w:hAnsi="Arial"/>
          <w:sz w:val="17"/>
          <w:szCs w:val="17"/>
          <w:color w:val="auto"/>
        </w:rPr>
      </w:pPr>
    </w:p>
    <w:p>
      <w:pPr>
        <w:ind w:left="1200" w:right="220" w:hanging="391"/>
        <w:spacing w:after="0" w:line="265" w:lineRule="auto"/>
        <w:tabs>
          <w:tab w:leader="none" w:pos="120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On June 30, 2004, the Registrant issued an aggregate of 18,666,479 shares of class A common stock to stockholders of BioPort Corporation in exchange for an equal number of outstanding shares of common stock of BioPort. All other issued and outstanding shares of common stock of BioPort were repurchased and retired. As a result of this exchange, BioPort became a wholly owned subsidiary of the Registrant. The Registrant subsequently renamed BioPort as Emergent BioDefense Operations Lansing Inc.</w:t>
      </w:r>
    </w:p>
    <w:p>
      <w:pPr>
        <w:spacing w:after="0" w:line="73" w:lineRule="exact"/>
        <w:rPr>
          <w:rFonts w:ascii="Arial" w:cs="Arial" w:eastAsia="Arial" w:hAnsi="Arial"/>
          <w:sz w:val="17"/>
          <w:szCs w:val="17"/>
          <w:color w:val="auto"/>
        </w:rPr>
      </w:pPr>
    </w:p>
    <w:p>
      <w:pPr>
        <w:ind w:left="1200" w:right="40" w:hanging="391"/>
        <w:spacing w:after="0" w:line="273" w:lineRule="auto"/>
        <w:tabs>
          <w:tab w:leader="none" w:pos="120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On June 23, 2005, the Registrant issued an aggregate of 3,636,801 shares of class A common stock to Microscience Investments Limited, formerly Microscience Holdings plc, in connection with the acquisition of all the outstanding shares of capital stock of Microscience Limited.</w:t>
      </w:r>
    </w:p>
    <w:p>
      <w:pPr>
        <w:spacing w:after="0" w:line="79" w:lineRule="exact"/>
        <w:rPr>
          <w:sz w:val="20"/>
          <w:szCs w:val="20"/>
          <w:color w:val="auto"/>
        </w:rPr>
      </w:pPr>
    </w:p>
    <w:p>
      <w:pPr>
        <w:ind w:firstLine="397"/>
        <w:spacing w:after="0" w:line="280"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4(2) under the Securities Act, relative to transactions by an issuer not involving any public offering, to the extent an exemption from such registration was required. All stockholders to whom shares of class A common stock described above were issued represented to the Registrant in connection with such issuances that they were acquiring the shares for their own account, for investment, and not with a view to the sale or distribution, and that they had sufficient knowledge and experience in financial matters so as to be capable of evaluating the merits and risks of purchasing the shares. The stockholders received written disclosures that the securities had not been registered under the Securities Act and that any resale must be made pursuant to a registration statement or an available exemption from such registration.</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 Stock Option Grants</w:t>
      </w:r>
    </w:p>
    <w:p>
      <w:pPr>
        <w:spacing w:after="0" w:line="132" w:lineRule="exact"/>
        <w:rPr>
          <w:sz w:val="20"/>
          <w:szCs w:val="20"/>
          <w:color w:val="auto"/>
        </w:rPr>
      </w:pPr>
    </w:p>
    <w:p>
      <w:pPr>
        <w:ind w:right="120" w:firstLine="397"/>
        <w:spacing w:after="0" w:line="289" w:lineRule="auto"/>
        <w:rPr>
          <w:sz w:val="20"/>
          <w:szCs w:val="20"/>
          <w:color w:val="auto"/>
        </w:rPr>
      </w:pPr>
      <w:r>
        <w:rPr>
          <w:rFonts w:ascii="Arial" w:cs="Arial" w:eastAsia="Arial" w:hAnsi="Arial"/>
          <w:sz w:val="16"/>
          <w:szCs w:val="16"/>
          <w:color w:val="auto"/>
        </w:rPr>
        <w:t>Since inception, we have issued options to certain employees and directors to purchase an aggregate of 3,750,712 shares of our class B common stock as of October 20, 2006. As of October 20, 2006, options to purchase 229,275 shares of class B common stock had been exercised, options to purchase 411,505 shares of class B common stock had been forfeited and options to purchase 3,109,932 shares of class B common stock remained outstanding at a weighted average exercise price of $2.54 per share.</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issuance of stock options and the common stock issuable upon the exercise of such options as described in this section (b)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Item 15 were issued pursuant to written compensatory plans or arrangements with our employees, directors and consultants, in reliance on the</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exemption provided by Section 3(b) of the Securities Act and Rule 701 promulgated thereunder. All recipients either received adequate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the Registrant or had access, through employment or other relationships, to such information.</w:t>
      </w:r>
    </w:p>
    <w:p>
      <w:pPr>
        <w:spacing w:after="0" w:line="120" w:lineRule="exact"/>
        <w:rPr>
          <w:sz w:val="20"/>
          <w:szCs w:val="20"/>
          <w:color w:val="auto"/>
        </w:rPr>
      </w:pPr>
    </w:p>
    <w:p>
      <w:pPr>
        <w:jc w:val="both"/>
        <w:ind w:right="40" w:firstLine="397"/>
        <w:spacing w:after="0" w:line="273" w:lineRule="auto"/>
        <w:rPr>
          <w:sz w:val="20"/>
          <w:szCs w:val="20"/>
          <w:color w:val="auto"/>
        </w:rPr>
      </w:pPr>
      <w:r>
        <w:rPr>
          <w:rFonts w:ascii="Arial" w:cs="Arial" w:eastAsia="Arial" w:hAnsi="Arial"/>
          <w:sz w:val="17"/>
          <w:szCs w:val="17"/>
          <w:color w:val="auto"/>
        </w:rPr>
        <w:t>All of the foregoing securities are deemed restricted securities for purposes of the Securities Act. All certificates representing the issued shares of common stock described in this Item 15 included appropriate legends setting forth that the securities had not been registered and the applicable restrictions on transfer.</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147320</wp:posOffset>
            </wp:positionV>
            <wp:extent cx="725487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940"/>
          </w:cols>
          <w:pgMar w:left="920" w:top="907" w:right="1039" w:bottom="1440" w:gutter="0" w:footer="0" w:header="0"/>
        </w:sectPr>
      </w:pPr>
    </w:p>
    <w:bookmarkStart w:id="241" w:name="page242"/>
    <w:bookmarkEnd w:id="241"/>
    <w:p>
      <w:pPr>
        <w:spacing w:after="0"/>
        <w:tabs>
          <w:tab w:leader="none" w:pos="102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to the registration statement are listed in the Exhibit Index to this registration statement and are incorporated by reference herein.</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138" w:lineRule="exact"/>
        <w:rPr>
          <w:sz w:val="20"/>
          <w:szCs w:val="20"/>
          <w:color w:val="auto"/>
        </w:rPr>
      </w:pPr>
    </w:p>
    <w:p>
      <w:pPr>
        <w:ind w:left="920" w:hanging="457"/>
        <w:spacing w:after="0" w:line="322" w:lineRule="auto"/>
        <w:tabs>
          <w:tab w:leader="none" w:pos="9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0" w:lineRule="exact"/>
        <w:rPr>
          <w:rFonts w:ascii="Arial" w:cs="Arial" w:eastAsia="Arial" w:hAnsi="Arial"/>
          <w:sz w:val="16"/>
          <w:szCs w:val="16"/>
          <w:color w:val="auto"/>
        </w:rPr>
      </w:pPr>
    </w:p>
    <w:p>
      <w:pPr>
        <w:ind w:left="920" w:hanging="457"/>
        <w:spacing w:after="0" w:line="280" w:lineRule="auto"/>
        <w:tabs>
          <w:tab w:leader="none" w:pos="9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63" w:lineRule="exact"/>
        <w:rPr>
          <w:rFonts w:ascii="Arial" w:cs="Arial" w:eastAsia="Arial" w:hAnsi="Arial"/>
          <w:sz w:val="16"/>
          <w:szCs w:val="16"/>
          <w:color w:val="auto"/>
        </w:rPr>
      </w:pPr>
    </w:p>
    <w:p>
      <w:pPr>
        <w:ind w:left="920" w:hanging="457"/>
        <w:spacing w:after="0"/>
        <w:tabs>
          <w:tab w:leader="none" w:pos="9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31" w:lineRule="exact"/>
        <w:rPr>
          <w:rFonts w:ascii="Arial" w:cs="Arial" w:eastAsia="Arial" w:hAnsi="Arial"/>
          <w:sz w:val="17"/>
          <w:szCs w:val="17"/>
          <w:color w:val="auto"/>
        </w:rPr>
      </w:pPr>
    </w:p>
    <w:p>
      <w:pPr>
        <w:ind w:left="1380" w:hanging="459"/>
        <w:spacing w:after="0" w:line="325" w:lineRule="auto"/>
        <w:tabs>
          <w:tab w:leader="none" w:pos="138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of 1933, the information omitted from the form of prospectus filed as part of this registration statement in reliance upon Rule 430A and contained in the form of prospectus filed by the registrant pursuant to Rule 424(b)(1) or (4) or 497(h) under the Securities Act shall be deemed to be part of the registration statement as of the time it was declared effective.</w:t>
      </w:r>
    </w:p>
    <w:p>
      <w:pPr>
        <w:spacing w:after="0" w:line="45" w:lineRule="exact"/>
        <w:rPr>
          <w:rFonts w:ascii="Arial" w:cs="Arial" w:eastAsia="Arial" w:hAnsi="Arial"/>
          <w:sz w:val="15"/>
          <w:szCs w:val="15"/>
          <w:color w:val="auto"/>
        </w:rPr>
      </w:pPr>
    </w:p>
    <w:p>
      <w:pPr>
        <w:ind w:left="1500" w:right="80" w:hanging="579"/>
        <w:spacing w:after="0" w:line="273" w:lineRule="auto"/>
        <w:tabs>
          <w:tab w:leader="none" w:pos="150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42" w:name="page243"/>
    <w:bookmarkEnd w:id="242"/>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38" w:lineRule="exact"/>
        <w:rPr>
          <w:sz w:val="20"/>
          <w:szCs w:val="20"/>
          <w:color w:val="auto"/>
        </w:rPr>
      </w:pPr>
    </w:p>
    <w:p>
      <w:pPr>
        <w:ind w:right="20" w:firstLine="397"/>
        <w:spacing w:after="0" w:line="273" w:lineRule="auto"/>
        <w:rPr>
          <w:sz w:val="20"/>
          <w:szCs w:val="20"/>
          <w:color w:val="auto"/>
        </w:rPr>
      </w:pPr>
      <w:r>
        <w:rPr>
          <w:rFonts w:ascii="Arial" w:cs="Arial" w:eastAsia="Arial" w:hAnsi="Arial"/>
          <w:sz w:val="17"/>
          <w:szCs w:val="17"/>
          <w:color w:val="auto"/>
        </w:rPr>
        <w:t>Pursuant to the requirements of the Securities Act, the Registrant has duly caused this Amendment No. 5 to the Registration Statement to be signed on its behalf by the undersigned, thereunto duly authorized, in the City of Gaithersburg, State of Maryland on the 30th day of October 2006.</w:t>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EMERGENT BIOSOLUTIONS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80"/>
        <w:spacing w:after="0"/>
        <w:tabs>
          <w:tab w:leader="none" w:pos="5260" w:val="left"/>
        </w:tabs>
        <w:rPr>
          <w:sz w:val="20"/>
          <w:szCs w:val="20"/>
          <w:color w:val="auto"/>
        </w:rPr>
      </w:pPr>
      <w:r>
        <w:rPr>
          <w:rFonts w:ascii="Arial" w:cs="Arial" w:eastAsia="Arial" w:hAnsi="Arial"/>
          <w:sz w:val="17"/>
          <w:szCs w:val="17"/>
          <w:color w:val="auto"/>
        </w:rPr>
        <w:t>By:</w:t>
        <w:tab/>
        <w:t>/s/ Fuad El-Hibri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25400</wp:posOffset>
            </wp:positionV>
            <wp:extent cx="27190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spacing w:after="0" w:line="2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Fuad El-Hibri</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President, Chief Executive Officer and Chairman of the Board of</w:t>
      </w:r>
    </w:p>
    <w:p>
      <w:pPr>
        <w:spacing w:after="0" w:line="2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Directors</w:t>
      </w:r>
    </w:p>
    <w:p>
      <w:pPr>
        <w:spacing w:after="0" w:line="120" w:lineRule="exact"/>
        <w:rPr>
          <w:sz w:val="20"/>
          <w:szCs w:val="20"/>
          <w:color w:val="auto"/>
        </w:rPr>
      </w:pPr>
    </w:p>
    <w:p>
      <w:pPr>
        <w:ind w:right="560" w:firstLine="397"/>
        <w:spacing w:after="0" w:line="289" w:lineRule="auto"/>
        <w:rPr>
          <w:sz w:val="20"/>
          <w:szCs w:val="20"/>
          <w:color w:val="auto"/>
        </w:rPr>
      </w:pPr>
      <w:r>
        <w:rPr>
          <w:rFonts w:ascii="Arial" w:cs="Arial" w:eastAsia="Arial" w:hAnsi="Arial"/>
          <w:sz w:val="17"/>
          <w:szCs w:val="17"/>
          <w:color w:val="auto"/>
        </w:rPr>
        <w:t>Pursuant to the requirements of the Securities Act, this Amendment No. 5 to the Registration Statement has been signed by the following persons in the capacities and on the dates indicated.</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60" w:type="dxa"/>
            <w:vAlign w:val="bottom"/>
          </w:tcPr>
          <w:p>
            <w:pPr>
              <w:jc w:val="right"/>
              <w:ind w:right="1554"/>
              <w:spacing w:after="0"/>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ignature</w:t>
            </w:r>
          </w:p>
        </w:tc>
        <w:tc>
          <w:tcPr>
            <w:tcW w:w="3800" w:type="dxa"/>
            <w:vAlign w:val="bottom"/>
          </w:tcPr>
          <w:p>
            <w:pPr>
              <w:ind w:left="196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Date</w:t>
            </w:r>
          </w:p>
        </w:tc>
      </w:tr>
      <w:tr>
        <w:trPr>
          <w:trHeight w:val="429"/>
        </w:trPr>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/s/</w:t>
            </w:r>
          </w:p>
        </w:tc>
        <w:tc>
          <w:tcPr>
            <w:tcW w:w="2660" w:type="dxa"/>
            <w:vAlign w:val="bottom"/>
            <w:tcBorders>
              <w:bottom w:val="single" w:sz="8" w:color="auto"/>
            </w:tcBorders>
          </w:tcPr>
          <w:p>
            <w:pPr>
              <w:jc w:val="right"/>
              <w:ind w:right="1554"/>
              <w:spacing w:after="0"/>
              <w:rPr>
                <w:sz w:val="20"/>
                <w:szCs w:val="20"/>
                <w:color w:val="auto"/>
              </w:rPr>
            </w:pPr>
            <w:r>
              <w:rPr>
                <w:rFonts w:ascii="Arial" w:cs="Arial" w:eastAsia="Arial" w:hAnsi="Arial"/>
                <w:sz w:val="17"/>
                <w:szCs w:val="17"/>
                <w:color w:val="auto"/>
              </w:rPr>
              <w:t>F</w:t>
            </w:r>
            <w:r>
              <w:rPr>
                <w:rFonts w:ascii="Arial" w:cs="Arial" w:eastAsia="Arial" w:hAnsi="Arial"/>
                <w:sz w:val="11"/>
                <w:szCs w:val="11"/>
                <w:color w:val="auto"/>
              </w:rPr>
              <w:t>UAD</w:t>
            </w:r>
            <w:r>
              <w:rPr>
                <w:rFonts w:ascii="Arial" w:cs="Arial" w:eastAsia="Arial" w:hAnsi="Arial"/>
                <w:sz w:val="17"/>
                <w:szCs w:val="17"/>
                <w:color w:val="auto"/>
              </w:rPr>
              <w:t xml:space="preserve"> E</w:t>
            </w:r>
            <w:r>
              <w:rPr>
                <w:rFonts w:ascii="Arial" w:cs="Arial" w:eastAsia="Arial" w:hAnsi="Arial"/>
                <w:sz w:val="11"/>
                <w:szCs w:val="11"/>
                <w:color w:val="auto"/>
              </w:rPr>
              <w:t>L</w:t>
            </w:r>
            <w:r>
              <w:rPr>
                <w:rFonts w:ascii="Arial" w:cs="Arial" w:eastAsia="Arial" w:hAnsi="Arial"/>
                <w:sz w:val="17"/>
                <w:szCs w:val="17"/>
                <w:color w:val="auto"/>
              </w:rPr>
              <w:t>-H</w:t>
            </w:r>
            <w:r>
              <w:rPr>
                <w:rFonts w:ascii="Arial" w:cs="Arial" w:eastAsia="Arial" w:hAnsi="Arial"/>
                <w:sz w:val="11"/>
                <w:szCs w:val="11"/>
                <w:color w:val="auto"/>
              </w:rPr>
              <w:t>IBRI</w:t>
            </w: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3"/>
              </w:rPr>
              <w:t>President, Chief Executive Officer and</w:t>
            </w:r>
          </w:p>
        </w:tc>
        <w:tc>
          <w:tcPr>
            <w:tcW w:w="1480" w:type="dxa"/>
            <w:vAlign w:val="bottom"/>
          </w:tcPr>
          <w:p>
            <w:pPr>
              <w:ind w:left="280"/>
              <w:spacing w:after="0"/>
              <w:rPr>
                <w:sz w:val="20"/>
                <w:szCs w:val="20"/>
                <w:color w:val="auto"/>
              </w:rPr>
            </w:pPr>
            <w:r>
              <w:rPr>
                <w:rFonts w:ascii="Arial" w:cs="Arial" w:eastAsia="Arial" w:hAnsi="Arial"/>
                <w:sz w:val="17"/>
                <w:szCs w:val="17"/>
                <w:color w:val="auto"/>
                <w:w w:val="89"/>
              </w:rPr>
              <w:t>October 30, 2006</w:t>
            </w:r>
          </w:p>
        </w:tc>
      </w:tr>
      <w:tr>
        <w:trPr>
          <w:trHeight w:val="178"/>
        </w:trPr>
        <w:tc>
          <w:tcPr>
            <w:tcW w:w="700" w:type="dxa"/>
            <w:vAlign w:val="bottom"/>
          </w:tcPr>
          <w:p>
            <w:pPr>
              <w:spacing w:after="0"/>
              <w:rPr>
                <w:sz w:val="15"/>
                <w:szCs w:val="15"/>
                <w:color w:val="auto"/>
              </w:rPr>
            </w:pPr>
          </w:p>
        </w:tc>
        <w:tc>
          <w:tcPr>
            <w:tcW w:w="3800" w:type="dxa"/>
            <w:vAlign w:val="bottom"/>
            <w:gridSpan w:val="2"/>
          </w:tcPr>
          <w:p>
            <w:pPr>
              <w:jc w:val="center"/>
              <w:ind w:right="634"/>
              <w:spacing w:after="0" w:line="177" w:lineRule="exact"/>
              <w:rPr>
                <w:sz w:val="20"/>
                <w:szCs w:val="20"/>
                <w:color w:val="auto"/>
              </w:rPr>
            </w:pPr>
            <w:r>
              <w:rPr>
                <w:rFonts w:ascii="Arial" w:cs="Arial" w:eastAsia="Arial" w:hAnsi="Arial"/>
                <w:sz w:val="17"/>
                <w:szCs w:val="17"/>
                <w:color w:val="auto"/>
                <w:w w:val="96"/>
              </w:rPr>
              <w:t>Fuad El-Hibri</w:t>
            </w:r>
          </w:p>
        </w:tc>
        <w:tc>
          <w:tcPr>
            <w:tcW w:w="3800" w:type="dxa"/>
            <w:vAlign w:val="bottom"/>
          </w:tcPr>
          <w:p>
            <w:pPr>
              <w:jc w:val="center"/>
              <w:ind w:left="54"/>
              <w:spacing w:after="0" w:line="177" w:lineRule="exact"/>
              <w:rPr>
                <w:sz w:val="20"/>
                <w:szCs w:val="20"/>
                <w:color w:val="auto"/>
              </w:rPr>
            </w:pPr>
            <w:r>
              <w:rPr>
                <w:rFonts w:ascii="Arial" w:cs="Arial" w:eastAsia="Arial" w:hAnsi="Arial"/>
                <w:sz w:val="17"/>
                <w:szCs w:val="17"/>
                <w:color w:val="auto"/>
                <w:w w:val="95"/>
              </w:rPr>
              <w:t>Chairman of the Board of Directors</w:t>
            </w:r>
          </w:p>
        </w:tc>
        <w:tc>
          <w:tcPr>
            <w:tcW w:w="1480" w:type="dxa"/>
            <w:vAlign w:val="bottom"/>
          </w:tcPr>
          <w:p>
            <w:pPr>
              <w:spacing w:after="0"/>
              <w:rPr>
                <w:sz w:val="15"/>
                <w:szCs w:val="15"/>
                <w:color w:val="auto"/>
              </w:rPr>
            </w:pPr>
          </w:p>
        </w:tc>
      </w:tr>
      <w:tr>
        <w:trPr>
          <w:trHeight w:val="222"/>
        </w:trPr>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6"/>
              </w:rPr>
              <w:t>(Principal Executive Officer)</w:t>
            </w:r>
          </w:p>
        </w:tc>
        <w:tc>
          <w:tcPr>
            <w:tcW w:w="1480" w:type="dxa"/>
            <w:vAlign w:val="bottom"/>
          </w:tcPr>
          <w:p>
            <w:pPr>
              <w:spacing w:after="0"/>
              <w:rPr>
                <w:sz w:val="19"/>
                <w:szCs w:val="19"/>
                <w:color w:val="auto"/>
              </w:rPr>
            </w:pPr>
          </w:p>
        </w:tc>
      </w:tr>
      <w:tr>
        <w:trPr>
          <w:trHeight w:val="419"/>
        </w:trPr>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w w:val="99"/>
              </w:rPr>
              <w:t>/s/</w:t>
            </w:r>
          </w:p>
        </w:tc>
        <w:tc>
          <w:tcPr>
            <w:tcW w:w="2660" w:type="dxa"/>
            <w:vAlign w:val="bottom"/>
            <w:tcBorders>
              <w:bottom w:val="single" w:sz="8" w:color="auto"/>
            </w:tcBorders>
          </w:tcPr>
          <w:p>
            <w:pPr>
              <w:jc w:val="right"/>
              <w:ind w:right="1574"/>
              <w:spacing w:after="0"/>
              <w:rPr>
                <w:sz w:val="20"/>
                <w:szCs w:val="20"/>
                <w:color w:val="auto"/>
              </w:rPr>
            </w:pPr>
            <w:r>
              <w:rPr>
                <w:rFonts w:ascii="Arial" w:cs="Arial" w:eastAsia="Arial" w:hAnsi="Arial"/>
                <w:sz w:val="17"/>
                <w:szCs w:val="17"/>
                <w:color w:val="auto"/>
              </w:rPr>
              <w:t>R. D</w:t>
            </w:r>
            <w:r>
              <w:rPr>
                <w:rFonts w:ascii="Arial" w:cs="Arial" w:eastAsia="Arial" w:hAnsi="Arial"/>
                <w:sz w:val="11"/>
                <w:szCs w:val="11"/>
                <w:color w:val="auto"/>
              </w:rPr>
              <w:t>ON</w:t>
            </w:r>
            <w:r>
              <w:rPr>
                <w:rFonts w:ascii="Arial" w:cs="Arial" w:eastAsia="Arial" w:hAnsi="Arial"/>
                <w:sz w:val="17"/>
                <w:szCs w:val="17"/>
                <w:color w:val="auto"/>
              </w:rPr>
              <w:t xml:space="preserve"> E</w:t>
            </w:r>
            <w:r>
              <w:rPr>
                <w:rFonts w:ascii="Arial" w:cs="Arial" w:eastAsia="Arial" w:hAnsi="Arial"/>
                <w:sz w:val="11"/>
                <w:szCs w:val="11"/>
                <w:color w:val="auto"/>
              </w:rPr>
              <w:t>LSEY</w:t>
            </w: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3"/>
              </w:rPr>
              <w:t>Vice President Finance, Chief</w:t>
            </w:r>
          </w:p>
        </w:tc>
        <w:tc>
          <w:tcPr>
            <w:tcW w:w="1480" w:type="dxa"/>
            <w:vAlign w:val="bottom"/>
          </w:tcPr>
          <w:p>
            <w:pPr>
              <w:ind w:left="280"/>
              <w:spacing w:after="0"/>
              <w:rPr>
                <w:sz w:val="20"/>
                <w:szCs w:val="20"/>
                <w:color w:val="auto"/>
              </w:rPr>
            </w:pPr>
            <w:r>
              <w:rPr>
                <w:rFonts w:ascii="Arial" w:cs="Arial" w:eastAsia="Arial" w:hAnsi="Arial"/>
                <w:sz w:val="17"/>
                <w:szCs w:val="17"/>
                <w:color w:val="auto"/>
                <w:w w:val="89"/>
              </w:rPr>
              <w:t>October 30, 2006</w:t>
            </w:r>
          </w:p>
        </w:tc>
      </w:tr>
      <w:tr>
        <w:trPr>
          <w:trHeight w:val="178"/>
        </w:trPr>
        <w:tc>
          <w:tcPr>
            <w:tcW w:w="700" w:type="dxa"/>
            <w:vAlign w:val="bottom"/>
          </w:tcPr>
          <w:p>
            <w:pPr>
              <w:spacing w:after="0"/>
              <w:rPr>
                <w:sz w:val="15"/>
                <w:szCs w:val="15"/>
                <w:color w:val="auto"/>
              </w:rPr>
            </w:pPr>
          </w:p>
        </w:tc>
        <w:tc>
          <w:tcPr>
            <w:tcW w:w="3800" w:type="dxa"/>
            <w:vAlign w:val="bottom"/>
            <w:gridSpan w:val="2"/>
          </w:tcPr>
          <w:p>
            <w:pPr>
              <w:jc w:val="center"/>
              <w:ind w:right="634"/>
              <w:spacing w:after="0" w:line="177" w:lineRule="exact"/>
              <w:rPr>
                <w:sz w:val="20"/>
                <w:szCs w:val="20"/>
                <w:color w:val="auto"/>
              </w:rPr>
            </w:pPr>
            <w:r>
              <w:rPr>
                <w:rFonts w:ascii="Arial" w:cs="Arial" w:eastAsia="Arial" w:hAnsi="Arial"/>
                <w:sz w:val="17"/>
                <w:szCs w:val="17"/>
                <w:color w:val="auto"/>
                <w:w w:val="92"/>
              </w:rPr>
              <w:t>R. Don Elsey</w:t>
            </w:r>
          </w:p>
        </w:tc>
        <w:tc>
          <w:tcPr>
            <w:tcW w:w="3800" w:type="dxa"/>
            <w:vAlign w:val="bottom"/>
          </w:tcPr>
          <w:p>
            <w:pPr>
              <w:jc w:val="center"/>
              <w:ind w:left="54"/>
              <w:spacing w:after="0" w:line="177" w:lineRule="exact"/>
              <w:rPr>
                <w:sz w:val="20"/>
                <w:szCs w:val="20"/>
                <w:color w:val="auto"/>
              </w:rPr>
            </w:pPr>
            <w:r>
              <w:rPr>
                <w:rFonts w:ascii="Arial" w:cs="Arial" w:eastAsia="Arial" w:hAnsi="Arial"/>
                <w:sz w:val="17"/>
                <w:szCs w:val="17"/>
                <w:color w:val="auto"/>
                <w:w w:val="93"/>
              </w:rPr>
              <w:t>Financial Officer and Treasurer</w:t>
            </w:r>
          </w:p>
        </w:tc>
        <w:tc>
          <w:tcPr>
            <w:tcW w:w="1480" w:type="dxa"/>
            <w:vAlign w:val="bottom"/>
          </w:tcPr>
          <w:p>
            <w:pPr>
              <w:spacing w:after="0"/>
              <w:rPr>
                <w:sz w:val="15"/>
                <w:szCs w:val="15"/>
                <w:color w:val="auto"/>
              </w:rPr>
            </w:pPr>
          </w:p>
        </w:tc>
      </w:tr>
      <w:tr>
        <w:trPr>
          <w:trHeight w:val="222"/>
        </w:trPr>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6"/>
              </w:rPr>
              <w:t>(Principal Financial and Accounting Officer)</w:t>
            </w:r>
          </w:p>
        </w:tc>
        <w:tc>
          <w:tcPr>
            <w:tcW w:w="1480" w:type="dxa"/>
            <w:vAlign w:val="bottom"/>
          </w:tcPr>
          <w:p>
            <w:pPr>
              <w:spacing w:after="0"/>
              <w:rPr>
                <w:sz w:val="19"/>
                <w:szCs w:val="19"/>
                <w:color w:val="auto"/>
              </w:rPr>
            </w:pPr>
          </w:p>
        </w:tc>
      </w:tr>
      <w:tr>
        <w:trPr>
          <w:trHeight w:val="419"/>
        </w:trPr>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74"/>
              <w:spacing w:after="0"/>
              <w:rPr>
                <w:sz w:val="20"/>
                <w:szCs w:val="20"/>
                <w:color w:val="auto"/>
              </w:rPr>
            </w:pPr>
            <w:r>
              <w:rPr>
                <w:rFonts w:ascii="Arial" w:cs="Arial" w:eastAsia="Arial" w:hAnsi="Arial"/>
                <w:sz w:val="17"/>
                <w:szCs w:val="17"/>
                <w:color w:val="auto"/>
              </w:rPr>
              <w:t>*</w:t>
            </w: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480" w:type="dxa"/>
            <w:vAlign w:val="bottom"/>
          </w:tcPr>
          <w:p>
            <w:pPr>
              <w:ind w:left="280"/>
              <w:spacing w:after="0"/>
              <w:rPr>
                <w:sz w:val="20"/>
                <w:szCs w:val="20"/>
                <w:color w:val="auto"/>
              </w:rPr>
            </w:pPr>
            <w:r>
              <w:rPr>
                <w:rFonts w:ascii="Arial" w:cs="Arial" w:eastAsia="Arial" w:hAnsi="Arial"/>
                <w:sz w:val="17"/>
                <w:szCs w:val="17"/>
                <w:color w:val="auto"/>
                <w:w w:val="89"/>
              </w:rPr>
              <w:t>October 30, 2006</w:t>
            </w:r>
          </w:p>
        </w:tc>
      </w:tr>
      <w:tr>
        <w:trPr>
          <w:trHeight w:val="215"/>
        </w:trPr>
        <w:tc>
          <w:tcPr>
            <w:tcW w:w="700" w:type="dxa"/>
            <w:vAlign w:val="bottom"/>
          </w:tcPr>
          <w:p>
            <w:pPr>
              <w:spacing w:after="0"/>
              <w:rPr>
                <w:sz w:val="18"/>
                <w:szCs w:val="18"/>
                <w:color w:val="auto"/>
              </w:rPr>
            </w:pPr>
          </w:p>
        </w:tc>
        <w:tc>
          <w:tcPr>
            <w:tcW w:w="3800" w:type="dxa"/>
            <w:vAlign w:val="bottom"/>
            <w:gridSpan w:val="2"/>
          </w:tcPr>
          <w:p>
            <w:pPr>
              <w:jc w:val="center"/>
              <w:ind w:right="634"/>
              <w:spacing w:after="0"/>
              <w:rPr>
                <w:sz w:val="20"/>
                <w:szCs w:val="20"/>
                <w:color w:val="auto"/>
              </w:rPr>
            </w:pPr>
            <w:r>
              <w:rPr>
                <w:rFonts w:ascii="Arial" w:cs="Arial" w:eastAsia="Arial" w:hAnsi="Arial"/>
                <w:sz w:val="17"/>
                <w:szCs w:val="17"/>
                <w:color w:val="auto"/>
                <w:w w:val="95"/>
              </w:rPr>
              <w:t>Joe M. Allbaugh</w:t>
            </w: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7"/>
        </w:trPr>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74"/>
              <w:spacing w:after="0"/>
              <w:rPr>
                <w:sz w:val="20"/>
                <w:szCs w:val="20"/>
                <w:color w:val="auto"/>
              </w:rPr>
            </w:pPr>
            <w:r>
              <w:rPr>
                <w:rFonts w:ascii="Arial" w:cs="Arial" w:eastAsia="Arial" w:hAnsi="Arial"/>
                <w:sz w:val="17"/>
                <w:szCs w:val="17"/>
                <w:color w:val="auto"/>
              </w:rPr>
              <w:t>*</w:t>
            </w: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480" w:type="dxa"/>
            <w:vAlign w:val="bottom"/>
          </w:tcPr>
          <w:p>
            <w:pPr>
              <w:ind w:left="280"/>
              <w:spacing w:after="0"/>
              <w:rPr>
                <w:sz w:val="20"/>
                <w:szCs w:val="20"/>
                <w:color w:val="auto"/>
              </w:rPr>
            </w:pPr>
            <w:r>
              <w:rPr>
                <w:rFonts w:ascii="Arial" w:cs="Arial" w:eastAsia="Arial" w:hAnsi="Arial"/>
                <w:sz w:val="17"/>
                <w:szCs w:val="17"/>
                <w:color w:val="auto"/>
                <w:w w:val="89"/>
              </w:rPr>
              <w:t>October 30, 2006</w:t>
            </w:r>
          </w:p>
        </w:tc>
      </w:tr>
      <w:tr>
        <w:trPr>
          <w:trHeight w:val="215"/>
        </w:trPr>
        <w:tc>
          <w:tcPr>
            <w:tcW w:w="700" w:type="dxa"/>
            <w:vAlign w:val="bottom"/>
          </w:tcPr>
          <w:p>
            <w:pPr>
              <w:spacing w:after="0"/>
              <w:rPr>
                <w:sz w:val="18"/>
                <w:szCs w:val="18"/>
                <w:color w:val="auto"/>
              </w:rPr>
            </w:pPr>
          </w:p>
        </w:tc>
        <w:tc>
          <w:tcPr>
            <w:tcW w:w="3800" w:type="dxa"/>
            <w:vAlign w:val="bottom"/>
            <w:gridSpan w:val="2"/>
          </w:tcPr>
          <w:p>
            <w:pPr>
              <w:jc w:val="center"/>
              <w:ind w:right="634"/>
              <w:spacing w:after="0"/>
              <w:rPr>
                <w:sz w:val="20"/>
                <w:szCs w:val="20"/>
                <w:color w:val="auto"/>
              </w:rPr>
            </w:pPr>
            <w:r>
              <w:rPr>
                <w:rFonts w:ascii="Arial" w:cs="Arial" w:eastAsia="Arial" w:hAnsi="Arial"/>
                <w:sz w:val="17"/>
                <w:szCs w:val="17"/>
                <w:color w:val="auto"/>
                <w:w w:val="94"/>
              </w:rPr>
              <w:t>Zsolt Harsanyi, Ph.D.</w:t>
            </w: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7"/>
        </w:trPr>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74"/>
              <w:spacing w:after="0"/>
              <w:rPr>
                <w:sz w:val="20"/>
                <w:szCs w:val="20"/>
                <w:color w:val="auto"/>
              </w:rPr>
            </w:pPr>
            <w:r>
              <w:rPr>
                <w:rFonts w:ascii="Arial" w:cs="Arial" w:eastAsia="Arial" w:hAnsi="Arial"/>
                <w:sz w:val="17"/>
                <w:szCs w:val="17"/>
                <w:color w:val="auto"/>
              </w:rPr>
              <w:t>*</w:t>
            </w: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480" w:type="dxa"/>
            <w:vAlign w:val="bottom"/>
          </w:tcPr>
          <w:p>
            <w:pPr>
              <w:ind w:left="280"/>
              <w:spacing w:after="0"/>
              <w:rPr>
                <w:sz w:val="20"/>
                <w:szCs w:val="20"/>
                <w:color w:val="auto"/>
              </w:rPr>
            </w:pPr>
            <w:r>
              <w:rPr>
                <w:rFonts w:ascii="Arial" w:cs="Arial" w:eastAsia="Arial" w:hAnsi="Arial"/>
                <w:sz w:val="17"/>
                <w:szCs w:val="17"/>
                <w:color w:val="auto"/>
                <w:w w:val="89"/>
              </w:rPr>
              <w:t>October 30, 2006</w:t>
            </w:r>
          </w:p>
        </w:tc>
      </w:tr>
      <w:tr>
        <w:trPr>
          <w:trHeight w:val="215"/>
        </w:trPr>
        <w:tc>
          <w:tcPr>
            <w:tcW w:w="700" w:type="dxa"/>
            <w:vAlign w:val="bottom"/>
          </w:tcPr>
          <w:p>
            <w:pPr>
              <w:spacing w:after="0"/>
              <w:rPr>
                <w:sz w:val="18"/>
                <w:szCs w:val="18"/>
                <w:color w:val="auto"/>
              </w:rPr>
            </w:pPr>
          </w:p>
        </w:tc>
        <w:tc>
          <w:tcPr>
            <w:tcW w:w="3800" w:type="dxa"/>
            <w:vAlign w:val="bottom"/>
            <w:gridSpan w:val="2"/>
          </w:tcPr>
          <w:p>
            <w:pPr>
              <w:jc w:val="center"/>
              <w:ind w:right="634"/>
              <w:spacing w:after="0"/>
              <w:rPr>
                <w:sz w:val="20"/>
                <w:szCs w:val="20"/>
                <w:color w:val="auto"/>
              </w:rPr>
            </w:pPr>
            <w:r>
              <w:rPr>
                <w:rFonts w:ascii="Arial" w:cs="Arial" w:eastAsia="Arial" w:hAnsi="Arial"/>
                <w:sz w:val="17"/>
                <w:szCs w:val="17"/>
                <w:color w:val="auto"/>
                <w:w w:val="91"/>
              </w:rPr>
              <w:t>Jerome M. Hauer</w:t>
            </w: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7"/>
        </w:trPr>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74"/>
              <w:spacing w:after="0"/>
              <w:rPr>
                <w:sz w:val="20"/>
                <w:szCs w:val="20"/>
                <w:color w:val="auto"/>
              </w:rPr>
            </w:pPr>
            <w:r>
              <w:rPr>
                <w:rFonts w:ascii="Arial" w:cs="Arial" w:eastAsia="Arial" w:hAnsi="Arial"/>
                <w:sz w:val="17"/>
                <w:szCs w:val="17"/>
                <w:color w:val="auto"/>
              </w:rPr>
              <w:t>*</w:t>
            </w: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480" w:type="dxa"/>
            <w:vAlign w:val="bottom"/>
          </w:tcPr>
          <w:p>
            <w:pPr>
              <w:ind w:left="280"/>
              <w:spacing w:after="0"/>
              <w:rPr>
                <w:sz w:val="20"/>
                <w:szCs w:val="20"/>
                <w:color w:val="auto"/>
              </w:rPr>
            </w:pPr>
            <w:r>
              <w:rPr>
                <w:rFonts w:ascii="Arial" w:cs="Arial" w:eastAsia="Arial" w:hAnsi="Arial"/>
                <w:sz w:val="17"/>
                <w:szCs w:val="17"/>
                <w:color w:val="auto"/>
                <w:w w:val="89"/>
              </w:rPr>
              <w:t>October 30, 2006</w:t>
            </w:r>
          </w:p>
        </w:tc>
      </w:tr>
      <w:tr>
        <w:trPr>
          <w:trHeight w:val="215"/>
        </w:trPr>
        <w:tc>
          <w:tcPr>
            <w:tcW w:w="700" w:type="dxa"/>
            <w:vAlign w:val="bottom"/>
          </w:tcPr>
          <w:p>
            <w:pPr>
              <w:spacing w:after="0"/>
              <w:rPr>
                <w:sz w:val="18"/>
                <w:szCs w:val="18"/>
                <w:color w:val="auto"/>
              </w:rPr>
            </w:pPr>
          </w:p>
        </w:tc>
        <w:tc>
          <w:tcPr>
            <w:tcW w:w="3800" w:type="dxa"/>
            <w:vAlign w:val="bottom"/>
            <w:gridSpan w:val="2"/>
          </w:tcPr>
          <w:p>
            <w:pPr>
              <w:jc w:val="center"/>
              <w:ind w:right="674"/>
              <w:spacing w:after="0"/>
              <w:rPr>
                <w:sz w:val="20"/>
                <w:szCs w:val="20"/>
                <w:color w:val="auto"/>
              </w:rPr>
            </w:pPr>
            <w:r>
              <w:rPr>
                <w:rFonts w:ascii="Arial" w:cs="Arial" w:eastAsia="Arial" w:hAnsi="Arial"/>
                <w:sz w:val="17"/>
                <w:szCs w:val="17"/>
                <w:color w:val="auto"/>
                <w:w w:val="96"/>
              </w:rPr>
              <w:t>Shahzad Malik, M.D.</w:t>
            </w: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7"/>
        </w:trPr>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74"/>
              <w:spacing w:after="0"/>
              <w:rPr>
                <w:sz w:val="20"/>
                <w:szCs w:val="20"/>
                <w:color w:val="auto"/>
              </w:rPr>
            </w:pPr>
            <w:r>
              <w:rPr>
                <w:rFonts w:ascii="Arial" w:cs="Arial" w:eastAsia="Arial" w:hAnsi="Arial"/>
                <w:sz w:val="17"/>
                <w:szCs w:val="17"/>
                <w:color w:val="auto"/>
              </w:rPr>
              <w:t>*</w:t>
            </w: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480" w:type="dxa"/>
            <w:vAlign w:val="bottom"/>
          </w:tcPr>
          <w:p>
            <w:pPr>
              <w:ind w:left="280"/>
              <w:spacing w:after="0"/>
              <w:rPr>
                <w:sz w:val="20"/>
                <w:szCs w:val="20"/>
                <w:color w:val="auto"/>
              </w:rPr>
            </w:pPr>
            <w:r>
              <w:rPr>
                <w:rFonts w:ascii="Arial" w:cs="Arial" w:eastAsia="Arial" w:hAnsi="Arial"/>
                <w:sz w:val="17"/>
                <w:szCs w:val="17"/>
                <w:color w:val="auto"/>
                <w:w w:val="89"/>
              </w:rPr>
              <w:t>October 30, 2006</w:t>
            </w:r>
          </w:p>
        </w:tc>
      </w:tr>
      <w:tr>
        <w:trPr>
          <w:trHeight w:val="215"/>
        </w:trPr>
        <w:tc>
          <w:tcPr>
            <w:tcW w:w="700" w:type="dxa"/>
            <w:vAlign w:val="bottom"/>
          </w:tcPr>
          <w:p>
            <w:pPr>
              <w:spacing w:after="0"/>
              <w:rPr>
                <w:sz w:val="18"/>
                <w:szCs w:val="18"/>
                <w:color w:val="auto"/>
              </w:rPr>
            </w:pPr>
          </w:p>
        </w:tc>
        <w:tc>
          <w:tcPr>
            <w:tcW w:w="3800" w:type="dxa"/>
            <w:vAlign w:val="bottom"/>
            <w:gridSpan w:val="2"/>
          </w:tcPr>
          <w:p>
            <w:pPr>
              <w:jc w:val="center"/>
              <w:ind w:right="634"/>
              <w:spacing w:after="0"/>
              <w:rPr>
                <w:sz w:val="20"/>
                <w:szCs w:val="20"/>
                <w:color w:val="auto"/>
              </w:rPr>
            </w:pPr>
            <w:r>
              <w:rPr>
                <w:rFonts w:ascii="Arial" w:cs="Arial" w:eastAsia="Arial" w:hAnsi="Arial"/>
                <w:sz w:val="17"/>
                <w:szCs w:val="17"/>
                <w:color w:val="auto"/>
                <w:w w:val="95"/>
              </w:rPr>
              <w:t>Ronald B. Richard</w:t>
            </w: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7"/>
        </w:trPr>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center"/>
              <w:ind w:right="1774"/>
              <w:spacing w:after="0"/>
              <w:rPr>
                <w:sz w:val="20"/>
                <w:szCs w:val="20"/>
                <w:color w:val="auto"/>
              </w:rPr>
            </w:pPr>
            <w:r>
              <w:rPr>
                <w:rFonts w:ascii="Arial" w:cs="Arial" w:eastAsia="Arial" w:hAnsi="Arial"/>
                <w:sz w:val="17"/>
                <w:szCs w:val="17"/>
                <w:color w:val="auto"/>
              </w:rPr>
              <w:t>*</w:t>
            </w:r>
          </w:p>
        </w:tc>
        <w:tc>
          <w:tcPr>
            <w:tcW w:w="3800" w:type="dxa"/>
            <w:vAlign w:val="bottom"/>
          </w:tcPr>
          <w:p>
            <w:pPr>
              <w:jc w:val="center"/>
              <w:ind w:left="54"/>
              <w:spacing w:after="0"/>
              <w:rPr>
                <w:sz w:val="20"/>
                <w:szCs w:val="20"/>
                <w:color w:val="auto"/>
              </w:rPr>
            </w:pPr>
            <w:r>
              <w:rPr>
                <w:rFonts w:ascii="Arial" w:cs="Arial" w:eastAsia="Arial" w:hAnsi="Arial"/>
                <w:sz w:val="17"/>
                <w:szCs w:val="17"/>
                <w:color w:val="auto"/>
                <w:w w:val="97"/>
              </w:rPr>
              <w:t>Director</w:t>
            </w:r>
          </w:p>
        </w:tc>
        <w:tc>
          <w:tcPr>
            <w:tcW w:w="1480" w:type="dxa"/>
            <w:vAlign w:val="bottom"/>
          </w:tcPr>
          <w:p>
            <w:pPr>
              <w:ind w:left="280"/>
              <w:spacing w:after="0"/>
              <w:rPr>
                <w:sz w:val="20"/>
                <w:szCs w:val="20"/>
                <w:color w:val="auto"/>
              </w:rPr>
            </w:pPr>
            <w:r>
              <w:rPr>
                <w:rFonts w:ascii="Arial" w:cs="Arial" w:eastAsia="Arial" w:hAnsi="Arial"/>
                <w:sz w:val="17"/>
                <w:szCs w:val="17"/>
                <w:color w:val="auto"/>
                <w:w w:val="89"/>
              </w:rPr>
              <w:t>October 30, 2006</w:t>
            </w:r>
          </w:p>
        </w:tc>
      </w:tr>
      <w:tr>
        <w:trPr>
          <w:trHeight w:val="215"/>
        </w:trPr>
        <w:tc>
          <w:tcPr>
            <w:tcW w:w="700" w:type="dxa"/>
            <w:vAlign w:val="bottom"/>
          </w:tcPr>
          <w:p>
            <w:pPr>
              <w:spacing w:after="0"/>
              <w:rPr>
                <w:sz w:val="18"/>
                <w:szCs w:val="18"/>
                <w:color w:val="auto"/>
              </w:rPr>
            </w:pPr>
          </w:p>
        </w:tc>
        <w:tc>
          <w:tcPr>
            <w:tcW w:w="3800" w:type="dxa"/>
            <w:vAlign w:val="bottom"/>
            <w:gridSpan w:val="2"/>
          </w:tcPr>
          <w:p>
            <w:pPr>
              <w:jc w:val="center"/>
              <w:ind w:right="674"/>
              <w:spacing w:after="0"/>
              <w:rPr>
                <w:sz w:val="20"/>
                <w:szCs w:val="20"/>
                <w:color w:val="auto"/>
              </w:rPr>
            </w:pPr>
            <w:r>
              <w:rPr>
                <w:rFonts w:ascii="Arial" w:cs="Arial" w:eastAsia="Arial" w:hAnsi="Arial"/>
                <w:sz w:val="17"/>
                <w:szCs w:val="17"/>
                <w:color w:val="auto"/>
                <w:w w:val="98"/>
              </w:rPr>
              <w:t>Louis Sullivan, M.D.</w:t>
            </w:r>
          </w:p>
        </w:tc>
        <w:tc>
          <w:tcPr>
            <w:tcW w:w="38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07"/>
        </w:trPr>
        <w:tc>
          <w:tcPr>
            <w:tcW w:w="1840" w:type="dxa"/>
            <w:vAlign w:val="bottom"/>
            <w:gridSpan w:val="2"/>
          </w:tcPr>
          <w:p>
            <w:pPr>
              <w:ind w:left="120"/>
              <w:spacing w:after="0"/>
              <w:rPr>
                <w:sz w:val="20"/>
                <w:szCs w:val="20"/>
                <w:color w:val="auto"/>
              </w:rPr>
            </w:pPr>
            <w:r>
              <w:rPr>
                <w:rFonts w:ascii="Arial" w:cs="Arial" w:eastAsia="Arial" w:hAnsi="Arial"/>
                <w:sz w:val="17"/>
                <w:szCs w:val="17"/>
                <w:color w:val="auto"/>
              </w:rPr>
              <w:t>*By:</w:t>
            </w:r>
          </w:p>
        </w:tc>
        <w:tc>
          <w:tcPr>
            <w:tcW w:w="2660" w:type="dxa"/>
            <w:vAlign w:val="bottom"/>
          </w:tcPr>
          <w:p>
            <w:pPr>
              <w:jc w:val="center"/>
              <w:ind w:right="1054"/>
              <w:spacing w:after="0"/>
              <w:rPr>
                <w:sz w:val="20"/>
                <w:szCs w:val="20"/>
                <w:color w:val="auto"/>
              </w:rPr>
            </w:pPr>
            <w:r>
              <w:rPr>
                <w:rFonts w:ascii="Arial" w:cs="Arial" w:eastAsia="Arial" w:hAnsi="Arial"/>
                <w:sz w:val="17"/>
                <w:szCs w:val="17"/>
                <w:color w:val="auto"/>
              </w:rPr>
              <w:t>/s/ F</w:t>
            </w:r>
            <w:r>
              <w:rPr>
                <w:rFonts w:ascii="Arial" w:cs="Arial" w:eastAsia="Arial" w:hAnsi="Arial"/>
                <w:sz w:val="11"/>
                <w:szCs w:val="11"/>
                <w:color w:val="auto"/>
              </w:rPr>
              <w:t>UAD</w:t>
            </w:r>
            <w:r>
              <w:rPr>
                <w:rFonts w:ascii="Arial" w:cs="Arial" w:eastAsia="Arial" w:hAnsi="Arial"/>
                <w:sz w:val="17"/>
                <w:szCs w:val="17"/>
                <w:color w:val="auto"/>
              </w:rPr>
              <w:t xml:space="preserve"> E</w:t>
            </w:r>
            <w:r>
              <w:rPr>
                <w:rFonts w:ascii="Arial" w:cs="Arial" w:eastAsia="Arial" w:hAnsi="Arial"/>
                <w:sz w:val="11"/>
                <w:szCs w:val="11"/>
                <w:color w:val="auto"/>
              </w:rPr>
              <w:t>L</w:t>
            </w:r>
            <w:r>
              <w:rPr>
                <w:rFonts w:ascii="Arial" w:cs="Arial" w:eastAsia="Arial" w:hAnsi="Arial"/>
                <w:sz w:val="17"/>
                <w:szCs w:val="17"/>
                <w:color w:val="auto"/>
              </w:rPr>
              <w:t>-H</w:t>
            </w:r>
            <w:r>
              <w:rPr>
                <w:rFonts w:ascii="Arial" w:cs="Arial" w:eastAsia="Arial" w:hAnsi="Arial"/>
                <w:sz w:val="11"/>
                <w:szCs w:val="11"/>
                <w:color w:val="auto"/>
              </w:rPr>
              <w:t>IBRI</w:t>
            </w:r>
          </w:p>
        </w:tc>
        <w:tc>
          <w:tcPr>
            <w:tcW w:w="3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0"/>
        </w:trPr>
        <w:tc>
          <w:tcPr>
            <w:tcW w:w="7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jc w:val="center"/>
              <w:ind w:right="1074"/>
              <w:spacing w:after="0" w:line="190" w:lineRule="exact"/>
              <w:rPr>
                <w:sz w:val="20"/>
                <w:szCs w:val="20"/>
                <w:color w:val="auto"/>
              </w:rPr>
            </w:pPr>
            <w:r>
              <w:rPr>
                <w:rFonts w:ascii="Arial" w:cs="Arial" w:eastAsia="Arial" w:hAnsi="Arial"/>
                <w:sz w:val="17"/>
                <w:szCs w:val="17"/>
                <w:color w:val="auto"/>
                <w:w w:val="98"/>
              </w:rPr>
              <w:t>Fuad El-Hibri</w:t>
            </w:r>
          </w:p>
        </w:tc>
        <w:tc>
          <w:tcPr>
            <w:tcW w:w="38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2"/>
        </w:trPr>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60" w:type="dxa"/>
            <w:vAlign w:val="bottom"/>
          </w:tcPr>
          <w:p>
            <w:pPr>
              <w:jc w:val="center"/>
              <w:ind w:right="1074"/>
              <w:spacing w:after="0"/>
              <w:rPr>
                <w:sz w:val="20"/>
                <w:szCs w:val="20"/>
                <w:color w:val="auto"/>
              </w:rPr>
            </w:pPr>
            <w:r>
              <w:rPr>
                <w:rFonts w:ascii="Arial" w:cs="Arial" w:eastAsia="Arial" w:hAnsi="Arial"/>
                <w:sz w:val="17"/>
                <w:szCs w:val="17"/>
                <w:color w:val="auto"/>
                <w:w w:val="98"/>
              </w:rPr>
              <w:t>Attorney-in-fact</w:t>
            </w:r>
          </w:p>
        </w:tc>
        <w:tc>
          <w:tcPr>
            <w:tcW w:w="380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-4057015</wp:posOffset>
            </wp:positionV>
            <wp:extent cx="165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6510" cy="8255"/>
                    </a:xfrm>
                    <a:prstGeom prst="rect">
                      <a:avLst/>
                    </a:prstGeom>
                    <a:noFill/>
                  </pic:spPr>
                </pic:pic>
              </a:graphicData>
            </a:graphic>
          </wp:anchor>
        </w:drawing>
        <w:drawing>
          <wp:anchor simplePos="0" relativeHeight="251657728" behindDoc="1" locked="0" layoutInCell="0" allowOverlap="1">
            <wp:simplePos x="0" y="0"/>
            <wp:positionH relativeFrom="column">
              <wp:posOffset>5840730</wp:posOffset>
            </wp:positionH>
            <wp:positionV relativeFrom="paragraph">
              <wp:posOffset>-4057015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147320</wp:posOffset>
            </wp:positionV>
            <wp:extent cx="725487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820"/>
          </w:cols>
          <w:pgMar w:left="920" w:top="907" w:right="115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28"/>
        </w:trPr>
        <w:tc>
          <w:tcPr>
            <w:tcW w:w="1700" w:type="dxa"/>
            <w:vAlign w:val="bottom"/>
          </w:tcPr>
          <w:p>
            <w:pPr>
              <w:spacing w:after="0"/>
              <w:rPr>
                <w:sz w:val="19"/>
                <w:szCs w:val="19"/>
                <w:color w:val="auto"/>
              </w:rPr>
            </w:pPr>
          </w:p>
        </w:tc>
        <w:tc>
          <w:tcPr>
            <w:tcW w:w="9720" w:type="dxa"/>
            <w:vAlign w:val="bottom"/>
            <w:gridSpan w:val="3"/>
          </w:tcPr>
          <w:p>
            <w:pPr>
              <w:ind w:left="3280"/>
              <w:spacing w:after="0"/>
              <w:rPr>
                <w:sz w:val="20"/>
                <w:szCs w:val="20"/>
                <w:color w:val="auto"/>
              </w:rPr>
            </w:pPr>
            <w:r>
              <w:rPr>
                <w:rFonts w:ascii="Arial" w:cs="Arial" w:eastAsia="Arial" w:hAnsi="Arial"/>
                <w:sz w:val="17"/>
                <w:szCs w:val="17"/>
                <w:b w:val="1"/>
                <w:bCs w:val="1"/>
                <w:color w:val="auto"/>
              </w:rPr>
              <w:t>EXHIBIT INDEX</w:t>
            </w:r>
          </w:p>
        </w:tc>
      </w:tr>
      <w:tr>
        <w:trPr>
          <w:trHeight w:val="382"/>
        </w:trPr>
        <w:tc>
          <w:tcPr>
            <w:tcW w:w="1700" w:type="dxa"/>
            <w:vAlign w:val="bottom"/>
          </w:tcPr>
          <w:p>
            <w:pPr>
              <w:jc w:val="right"/>
              <w:ind w:right="254"/>
              <w:spacing w:after="0"/>
              <w:rPr>
                <w:sz w:val="20"/>
                <w:szCs w:val="20"/>
                <w:color w:val="auto"/>
              </w:rPr>
            </w:pPr>
            <w:r>
              <w:rPr>
                <w:rFonts w:ascii="Arial" w:cs="Arial" w:eastAsia="Arial" w:hAnsi="Arial"/>
                <w:sz w:val="14"/>
                <w:szCs w:val="14"/>
                <w:b w:val="1"/>
                <w:bCs w:val="1"/>
                <w:color w:val="auto"/>
              </w:rPr>
              <w:t>Exhibit</w:t>
            </w: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182"/>
        </w:trPr>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4440" w:type="dxa"/>
            <w:vAlign w:val="bottom"/>
          </w:tcPr>
          <w:p>
            <w:pPr>
              <w:spacing w:after="0"/>
              <w:rPr>
                <w:sz w:val="15"/>
                <w:szCs w:val="15"/>
                <w:color w:val="auto"/>
              </w:rPr>
            </w:pP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700" w:type="dxa"/>
            <w:vAlign w:val="bottom"/>
          </w:tcPr>
          <w:p>
            <w:pPr>
              <w:jc w:val="right"/>
              <w:ind w:right="334"/>
              <w:spacing w:after="0"/>
              <w:rPr>
                <w:sz w:val="20"/>
                <w:szCs w:val="20"/>
                <w:color w:val="auto"/>
              </w:rPr>
            </w:pPr>
            <w:r>
              <w:rPr>
                <w:rFonts w:ascii="Arial" w:cs="Arial" w:eastAsia="Arial" w:hAnsi="Arial"/>
                <w:sz w:val="17"/>
                <w:szCs w:val="17"/>
                <w:color w:val="auto"/>
              </w:rPr>
              <w:t>1.1</w:t>
            </w:r>
          </w:p>
        </w:tc>
        <w:tc>
          <w:tcPr>
            <w:tcW w:w="4440" w:type="dxa"/>
            <w:vAlign w:val="bottom"/>
          </w:tcPr>
          <w:p>
            <w:pPr>
              <w:ind w:left="40"/>
              <w:spacing w:after="0"/>
              <w:rPr>
                <w:sz w:val="20"/>
                <w:szCs w:val="20"/>
                <w:color w:val="auto"/>
              </w:rPr>
            </w:pPr>
            <w:r>
              <w:rPr>
                <w:rFonts w:ascii="Arial" w:cs="Arial" w:eastAsia="Arial" w:hAnsi="Arial"/>
                <w:sz w:val="17"/>
                <w:szCs w:val="17"/>
                <w:color w:val="auto"/>
              </w:rPr>
              <w:t>Form of Underwriting Agreement</w:t>
            </w:r>
          </w:p>
        </w:tc>
        <w:tc>
          <w:tcPr>
            <w:tcW w:w="80" w:type="dxa"/>
            <w:vAlign w:val="bottom"/>
            <w:tcBorders>
              <w:top w:val="single" w:sz="8" w:color="auto"/>
            </w:tcBorders>
          </w:tcPr>
          <w:p>
            <w:pPr>
              <w:spacing w:after="0"/>
              <w:rPr>
                <w:sz w:val="21"/>
                <w:szCs w:val="21"/>
                <w:color w:val="auto"/>
              </w:rPr>
            </w:pPr>
          </w:p>
        </w:tc>
        <w:tc>
          <w:tcPr>
            <w:tcW w:w="5200" w:type="dxa"/>
            <w:vAlign w:val="bottom"/>
          </w:tcPr>
          <w:p>
            <w:pPr>
              <w:spacing w:after="0"/>
              <w:rPr>
                <w:sz w:val="21"/>
                <w:szCs w:val="21"/>
                <w:color w:val="auto"/>
              </w:rPr>
            </w:pPr>
          </w:p>
        </w:tc>
      </w:tr>
      <w:tr>
        <w:trPr>
          <w:trHeight w:val="210"/>
        </w:trPr>
        <w:tc>
          <w:tcPr>
            <w:tcW w:w="1700" w:type="dxa"/>
            <w:vAlign w:val="bottom"/>
          </w:tcPr>
          <w:p>
            <w:pPr>
              <w:jc w:val="right"/>
              <w:ind w:right="334"/>
              <w:spacing w:after="0"/>
              <w:rPr>
                <w:sz w:val="20"/>
                <w:szCs w:val="20"/>
                <w:color w:val="auto"/>
              </w:rPr>
            </w:pPr>
            <w:r>
              <w:rPr>
                <w:rFonts w:ascii="Arial" w:cs="Arial" w:eastAsia="Arial" w:hAnsi="Arial"/>
                <w:sz w:val="17"/>
                <w:szCs w:val="17"/>
                <w:color w:val="auto"/>
              </w:rPr>
              <w:t>3.1</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Amended and Restated Certificate of Incorporation, as amended, of the Registrant</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3.2*</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Form of Restated Certificate of Incorporation of the Registrant to be effective upon completion of the offering</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3.3*</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Bylaws of the Registrant</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3.4*</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Form of Amended and Restated By-laws of the Registrant to be effective upon the completion of the offering</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4.1*</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Specimen certificate evidencing shares of common stock</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4.2*</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Registration Rights Agreement, dated June 23, 2005, between the Registrant and Microscience Investments Limited, formerly</w:t>
            </w:r>
          </w:p>
        </w:tc>
      </w:tr>
      <w:tr>
        <w:trPr>
          <w:trHeight w:val="210"/>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Microscience Holdings plc</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4.3*</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Registration Rights Agreement, dated September 22, 2006, among the Registrant and the entities listed on Schedule 1 thereto</w:t>
            </w:r>
          </w:p>
        </w:tc>
      </w:tr>
      <w:tr>
        <w:trPr>
          <w:trHeight w:val="210"/>
        </w:trPr>
        <w:tc>
          <w:tcPr>
            <w:tcW w:w="1700" w:type="dxa"/>
            <w:vAlign w:val="bottom"/>
          </w:tcPr>
          <w:p>
            <w:pPr>
              <w:jc w:val="right"/>
              <w:ind w:right="334"/>
              <w:spacing w:after="0"/>
              <w:rPr>
                <w:sz w:val="20"/>
                <w:szCs w:val="20"/>
                <w:color w:val="auto"/>
              </w:rPr>
            </w:pPr>
            <w:r>
              <w:rPr>
                <w:rFonts w:ascii="Arial" w:cs="Arial" w:eastAsia="Arial" w:hAnsi="Arial"/>
                <w:sz w:val="17"/>
                <w:szCs w:val="17"/>
                <w:color w:val="auto"/>
              </w:rPr>
              <w:t>4.4</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Form of Rights Agreement to be entered into between the Registrant and the Rights Agent prior to the completion of the</w:t>
            </w:r>
          </w:p>
        </w:tc>
      </w:tr>
      <w:tr>
        <w:trPr>
          <w:trHeight w:val="210"/>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offering</w:t>
            </w:r>
          </w:p>
        </w:tc>
      </w:tr>
      <w:tr>
        <w:trPr>
          <w:trHeight w:val="210"/>
        </w:trPr>
        <w:tc>
          <w:tcPr>
            <w:tcW w:w="1700" w:type="dxa"/>
            <w:vAlign w:val="bottom"/>
          </w:tcPr>
          <w:p>
            <w:pPr>
              <w:jc w:val="right"/>
              <w:ind w:right="334"/>
              <w:spacing w:after="0"/>
              <w:rPr>
                <w:sz w:val="20"/>
                <w:szCs w:val="20"/>
                <w:color w:val="auto"/>
              </w:rPr>
            </w:pPr>
            <w:r>
              <w:rPr>
                <w:rFonts w:ascii="Arial" w:cs="Arial" w:eastAsia="Arial" w:hAnsi="Arial"/>
                <w:sz w:val="17"/>
                <w:szCs w:val="17"/>
                <w:color w:val="auto"/>
              </w:rPr>
              <w:t>5.1</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Opinion of Wilmer Cutler Pickering Hale and Dorr LLP</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9.1*</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Voting and Right of First Refusal Agreement, dated October 21, 2005, between the William J. Crowe, Jr. Revocable Living</w:t>
            </w:r>
          </w:p>
        </w:tc>
      </w:tr>
      <w:tr>
        <w:trPr>
          <w:trHeight w:val="210"/>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Trust and Fuad El-Hibri</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9.2*</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Voting Agreement, dated June 30, 2004, between BioPharm, L.L.C. and Michigan Biologic Products, Inc.</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9.3*</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Voting Agreement, dated June 30, 2004, between BioPharm, L.L.C. and Biologika, L.L.C.</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9.4*</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Voting Agreement, dated June 30, 2004, by and among the stockholders named therein</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9.5*</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Voting Agreement, dated August 11, 2006, between BioPharm, L.L.C. and Microscience Investments Limited</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10.1*</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Employee Stock Option Plan, as amended and restated</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10.2*</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Form of Director Stock Option Agreement</w:t>
            </w:r>
          </w:p>
        </w:tc>
      </w:tr>
      <w:tr>
        <w:trPr>
          <w:trHeight w:val="210"/>
        </w:trPr>
        <w:tc>
          <w:tcPr>
            <w:tcW w:w="1700" w:type="dxa"/>
            <w:vAlign w:val="bottom"/>
          </w:tcPr>
          <w:p>
            <w:pPr>
              <w:jc w:val="right"/>
              <w:ind w:right="334"/>
              <w:spacing w:after="0"/>
              <w:rPr>
                <w:sz w:val="20"/>
                <w:szCs w:val="20"/>
                <w:color w:val="auto"/>
              </w:rPr>
            </w:pPr>
            <w:r>
              <w:rPr>
                <w:rFonts w:ascii="Arial" w:cs="Arial" w:eastAsia="Arial" w:hAnsi="Arial"/>
                <w:sz w:val="17"/>
                <w:szCs w:val="17"/>
                <w:color w:val="auto"/>
              </w:rPr>
              <w:t>10.3</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2006 Stock Incentive Plan</w:t>
            </w:r>
          </w:p>
        </w:tc>
      </w:tr>
      <w:tr>
        <w:trPr>
          <w:trHeight w:val="210"/>
        </w:trPr>
        <w:tc>
          <w:tcPr>
            <w:tcW w:w="1700" w:type="dxa"/>
            <w:vAlign w:val="bottom"/>
          </w:tcPr>
          <w:p>
            <w:pPr>
              <w:jc w:val="right"/>
              <w:ind w:right="334"/>
              <w:spacing w:after="0"/>
              <w:rPr>
                <w:sz w:val="20"/>
                <w:szCs w:val="20"/>
                <w:color w:val="auto"/>
              </w:rPr>
            </w:pPr>
            <w:r>
              <w:rPr>
                <w:rFonts w:ascii="Arial" w:cs="Arial" w:eastAsia="Arial" w:hAnsi="Arial"/>
                <w:sz w:val="17"/>
                <w:szCs w:val="17"/>
                <w:color w:val="auto"/>
              </w:rPr>
              <w:t>10.4</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Form of Incentive Stock Option Agreement under 2006 Stock Incentive Plan</w:t>
            </w:r>
          </w:p>
        </w:tc>
      </w:tr>
      <w:tr>
        <w:trPr>
          <w:trHeight w:val="210"/>
        </w:trPr>
        <w:tc>
          <w:tcPr>
            <w:tcW w:w="1700" w:type="dxa"/>
            <w:vAlign w:val="bottom"/>
          </w:tcPr>
          <w:p>
            <w:pPr>
              <w:jc w:val="right"/>
              <w:ind w:right="334"/>
              <w:spacing w:after="0"/>
              <w:rPr>
                <w:sz w:val="20"/>
                <w:szCs w:val="20"/>
                <w:color w:val="auto"/>
              </w:rPr>
            </w:pPr>
            <w:r>
              <w:rPr>
                <w:rFonts w:ascii="Arial" w:cs="Arial" w:eastAsia="Arial" w:hAnsi="Arial"/>
                <w:sz w:val="17"/>
                <w:szCs w:val="17"/>
                <w:color w:val="auto"/>
              </w:rPr>
              <w:t>10.5</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Form of Nonstatutory Stock Option Agreement under 2006 Stock Incentive Plan</w:t>
            </w:r>
          </w:p>
        </w:tc>
      </w:tr>
      <w:tr>
        <w:trPr>
          <w:trHeight w:val="210"/>
        </w:trPr>
        <w:tc>
          <w:tcPr>
            <w:tcW w:w="1700" w:type="dxa"/>
            <w:vAlign w:val="bottom"/>
          </w:tcPr>
          <w:p>
            <w:pPr>
              <w:ind w:left="980"/>
              <w:spacing w:after="0"/>
              <w:rPr>
                <w:sz w:val="20"/>
                <w:szCs w:val="20"/>
                <w:color w:val="auto"/>
              </w:rPr>
            </w:pPr>
            <w:r>
              <w:rPr>
                <w:rFonts w:ascii="Arial" w:cs="Arial" w:eastAsia="Arial" w:hAnsi="Arial"/>
                <w:sz w:val="17"/>
                <w:szCs w:val="17"/>
                <w:color w:val="auto"/>
              </w:rPr>
              <w:t>10.6†*</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Severance Plan and Termination Protection Program</w:t>
            </w:r>
          </w:p>
        </w:tc>
      </w:tr>
      <w:tr>
        <w:trPr>
          <w:trHeight w:val="210"/>
        </w:trPr>
        <w:tc>
          <w:tcPr>
            <w:tcW w:w="1700" w:type="dxa"/>
            <w:vAlign w:val="bottom"/>
          </w:tcPr>
          <w:p>
            <w:pPr>
              <w:jc w:val="right"/>
              <w:ind w:right="234"/>
              <w:spacing w:after="0"/>
              <w:rPr>
                <w:sz w:val="20"/>
                <w:szCs w:val="20"/>
                <w:color w:val="auto"/>
              </w:rPr>
            </w:pPr>
            <w:r>
              <w:rPr>
                <w:rFonts w:ascii="Arial" w:cs="Arial" w:eastAsia="Arial" w:hAnsi="Arial"/>
                <w:sz w:val="17"/>
                <w:szCs w:val="17"/>
                <w:color w:val="auto"/>
              </w:rPr>
              <w:t>10.7*</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Form of Indemnity Agreement</w:t>
            </w:r>
          </w:p>
        </w:tc>
      </w:tr>
      <w:tr>
        <w:trPr>
          <w:trHeight w:val="210"/>
        </w:trPr>
        <w:tc>
          <w:tcPr>
            <w:tcW w:w="1700" w:type="dxa"/>
            <w:vAlign w:val="bottom"/>
          </w:tcPr>
          <w:p>
            <w:pPr>
              <w:ind w:left="980"/>
              <w:spacing w:after="0"/>
              <w:rPr>
                <w:sz w:val="20"/>
                <w:szCs w:val="20"/>
                <w:color w:val="auto"/>
              </w:rPr>
            </w:pPr>
            <w:r>
              <w:rPr>
                <w:rFonts w:ascii="Arial" w:cs="Arial" w:eastAsia="Arial" w:hAnsi="Arial"/>
                <w:sz w:val="17"/>
                <w:szCs w:val="17"/>
                <w:color w:val="auto"/>
              </w:rPr>
              <w:t>10.8†*</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Contract No. W9113M-04-D-0002, dated January 3, 2004, between Emergent BioDefense Operations Lansing Inc., formerly</w:t>
            </w:r>
          </w:p>
        </w:tc>
      </w:tr>
      <w:tr>
        <w:trPr>
          <w:trHeight w:val="210"/>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BioPort Corporation, and U.S. Army Space and Missile Defense Command, as amended</w:t>
            </w:r>
          </w:p>
        </w:tc>
      </w:tr>
      <w:tr>
        <w:trPr>
          <w:trHeight w:val="210"/>
        </w:trPr>
        <w:tc>
          <w:tcPr>
            <w:tcW w:w="1700" w:type="dxa"/>
            <w:vAlign w:val="bottom"/>
          </w:tcPr>
          <w:p>
            <w:pPr>
              <w:ind w:left="980"/>
              <w:spacing w:after="0"/>
              <w:rPr>
                <w:sz w:val="20"/>
                <w:szCs w:val="20"/>
                <w:color w:val="auto"/>
              </w:rPr>
            </w:pPr>
            <w:r>
              <w:rPr>
                <w:rFonts w:ascii="Arial" w:cs="Arial" w:eastAsia="Arial" w:hAnsi="Arial"/>
                <w:sz w:val="17"/>
                <w:szCs w:val="17"/>
                <w:color w:val="auto"/>
              </w:rPr>
              <w:t>10.9†*</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Contract No. 200-2005-11811, dated May 5, 2005, between Emergent BioDefense Operations Lansing Inc., formerly BioPort</w:t>
            </w:r>
          </w:p>
        </w:tc>
      </w:tr>
      <w:tr>
        <w:trPr>
          <w:trHeight w:val="210"/>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Corporation, and Department of Health and Human Services, Office of Public Health Emergency Preparedness and Office of</w:t>
            </w:r>
          </w:p>
        </w:tc>
      </w:tr>
      <w:tr>
        <w:trPr>
          <w:trHeight w:val="210"/>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Research and Development Coordination, as amended</w:t>
            </w:r>
          </w:p>
        </w:tc>
      </w:tr>
      <w:tr>
        <w:trPr>
          <w:trHeight w:val="210"/>
        </w:trPr>
        <w:tc>
          <w:tcPr>
            <w:tcW w:w="1700" w:type="dxa"/>
            <w:vAlign w:val="bottom"/>
          </w:tcPr>
          <w:p>
            <w:pPr>
              <w:ind w:left="980"/>
              <w:spacing w:after="0"/>
              <w:rPr>
                <w:sz w:val="20"/>
                <w:szCs w:val="20"/>
                <w:color w:val="auto"/>
              </w:rPr>
            </w:pPr>
            <w:r>
              <w:rPr>
                <w:rFonts w:ascii="Arial" w:cs="Arial" w:eastAsia="Arial" w:hAnsi="Arial"/>
                <w:sz w:val="17"/>
                <w:szCs w:val="17"/>
                <w:color w:val="auto"/>
              </w:rPr>
              <w:t>10.10†*</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Filling Services Agreement, dated March 18, 2002, between Emergent BioDefense Operations Lansing Inc., formerly BioPort</w:t>
            </w:r>
          </w:p>
        </w:tc>
      </w:tr>
      <w:tr>
        <w:trPr>
          <w:trHeight w:val="210"/>
        </w:trPr>
        <w:tc>
          <w:tcPr>
            <w:tcW w:w="1700" w:type="dxa"/>
            <w:vAlign w:val="bottom"/>
          </w:tcPr>
          <w:p>
            <w:pPr>
              <w:spacing w:after="0"/>
              <w:rPr>
                <w:sz w:val="18"/>
                <w:szCs w:val="18"/>
                <w:color w:val="auto"/>
              </w:rPr>
            </w:pP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Corporation, and Hollister-Stier Laboratories LLC, as amended</w:t>
            </w:r>
          </w:p>
        </w:tc>
      </w:tr>
      <w:tr>
        <w:trPr>
          <w:trHeight w:val="210"/>
        </w:trPr>
        <w:tc>
          <w:tcPr>
            <w:tcW w:w="1700" w:type="dxa"/>
            <w:vAlign w:val="bottom"/>
          </w:tcPr>
          <w:p>
            <w:pPr>
              <w:ind w:left="980"/>
              <w:spacing w:after="0"/>
              <w:rPr>
                <w:sz w:val="20"/>
                <w:szCs w:val="20"/>
                <w:color w:val="auto"/>
              </w:rPr>
            </w:pPr>
            <w:r>
              <w:rPr>
                <w:rFonts w:ascii="Arial" w:cs="Arial" w:eastAsia="Arial" w:hAnsi="Arial"/>
                <w:sz w:val="17"/>
                <w:szCs w:val="17"/>
                <w:color w:val="auto"/>
              </w:rPr>
              <w:t>10.11†*</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BT Vaccine License Agreement, dated November 23, 2004, between the Registrant and the Health Protection Agency</w:t>
            </w:r>
          </w:p>
        </w:tc>
      </w:tr>
      <w:tr>
        <w:trPr>
          <w:trHeight w:val="210"/>
        </w:trPr>
        <w:tc>
          <w:tcPr>
            <w:tcW w:w="1700" w:type="dxa"/>
            <w:vAlign w:val="bottom"/>
          </w:tcPr>
          <w:p>
            <w:pPr>
              <w:ind w:left="980"/>
              <w:spacing w:after="0"/>
              <w:rPr>
                <w:sz w:val="20"/>
                <w:szCs w:val="20"/>
                <w:color w:val="auto"/>
              </w:rPr>
            </w:pPr>
            <w:r>
              <w:rPr>
                <w:rFonts w:ascii="Arial" w:cs="Arial" w:eastAsia="Arial" w:hAnsi="Arial"/>
                <w:sz w:val="17"/>
                <w:szCs w:val="17"/>
                <w:color w:val="auto"/>
              </w:rPr>
              <w:t>10.12†*</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BT Vaccine Development Agreement, dated November 23, 2004, between the Registrant and the Health Protection Agency</w:t>
            </w:r>
          </w:p>
        </w:tc>
      </w:tr>
      <w:tr>
        <w:trPr>
          <w:trHeight w:val="210"/>
        </w:trPr>
        <w:tc>
          <w:tcPr>
            <w:tcW w:w="1700" w:type="dxa"/>
            <w:vAlign w:val="bottom"/>
          </w:tcPr>
          <w:p>
            <w:pPr>
              <w:ind w:left="980"/>
              <w:spacing w:after="0"/>
              <w:rPr>
                <w:sz w:val="20"/>
                <w:szCs w:val="20"/>
                <w:color w:val="auto"/>
              </w:rPr>
            </w:pPr>
            <w:r>
              <w:rPr>
                <w:rFonts w:ascii="Arial" w:cs="Arial" w:eastAsia="Arial" w:hAnsi="Arial"/>
                <w:sz w:val="17"/>
                <w:szCs w:val="17"/>
                <w:color w:val="auto"/>
              </w:rPr>
              <w:t>10.13†*</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rBot Vaccine License Agreement, dated November 23, 2004, between the Registrant and the Health Protection Agency</w:t>
            </w:r>
          </w:p>
        </w:tc>
      </w:tr>
      <w:tr>
        <w:trPr>
          <w:trHeight w:val="222"/>
        </w:trPr>
        <w:tc>
          <w:tcPr>
            <w:tcW w:w="1700" w:type="dxa"/>
            <w:vAlign w:val="bottom"/>
          </w:tcPr>
          <w:p>
            <w:pPr>
              <w:ind w:left="980"/>
              <w:spacing w:after="0"/>
              <w:rPr>
                <w:sz w:val="20"/>
                <w:szCs w:val="20"/>
                <w:color w:val="auto"/>
              </w:rPr>
            </w:pPr>
            <w:r>
              <w:rPr>
                <w:rFonts w:ascii="Arial" w:cs="Arial" w:eastAsia="Arial" w:hAnsi="Arial"/>
                <w:sz w:val="17"/>
                <w:szCs w:val="17"/>
                <w:color w:val="auto"/>
              </w:rPr>
              <w:t>10.14†*</w:t>
            </w:r>
          </w:p>
        </w:tc>
        <w:tc>
          <w:tcPr>
            <w:tcW w:w="9720" w:type="dxa"/>
            <w:vAlign w:val="bottom"/>
            <w:gridSpan w:val="3"/>
          </w:tcPr>
          <w:p>
            <w:pPr>
              <w:ind w:left="40"/>
              <w:spacing w:after="0"/>
              <w:rPr>
                <w:sz w:val="20"/>
                <w:szCs w:val="20"/>
                <w:color w:val="auto"/>
              </w:rPr>
            </w:pPr>
            <w:r>
              <w:rPr>
                <w:rFonts w:ascii="Arial" w:cs="Arial" w:eastAsia="Arial" w:hAnsi="Arial"/>
                <w:sz w:val="17"/>
                <w:szCs w:val="17"/>
                <w:color w:val="auto"/>
              </w:rPr>
              <w:t>rBot Vaccine Development Agreement, dated November 23, 2004, between the Registrant and the Health Protection Agency</w:t>
            </w:r>
          </w:p>
        </w:tc>
      </w:tr>
      <w:tr>
        <w:trPr>
          <w:trHeight w:val="220"/>
        </w:trPr>
        <w:tc>
          <w:tcPr>
            <w:tcW w:w="170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44" w:name="page245"/>
    <w:bookmarkEnd w:id="244"/>
    <w:p>
      <w:pPr>
        <w:spacing w:after="0"/>
        <w:rPr>
          <w:sz w:val="20"/>
          <w:szCs w:val="20"/>
          <w:color w:val="auto"/>
        </w:rPr>
      </w:pPr>
      <w:r>
        <w:rPr>
          <w:rFonts w:ascii="Arial" w:cs="Arial" w:eastAsia="Arial" w:hAnsi="Arial"/>
          <w:sz w:val="14"/>
          <w:szCs w:val="14"/>
          <w:b w:val="1"/>
          <w:bCs w:val="1"/>
          <w:color w:val="auto"/>
        </w:rPr>
        <w:t>Exhibit</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w:t>
      </w:r>
      <w:r>
        <w:rPr>
          <w:rFonts w:ascii="Arial" w:cs="Arial" w:eastAsia="Arial" w:hAnsi="Arial"/>
          <w:sz w:val="13"/>
          <w:szCs w:val="13"/>
          <w:b w:val="1"/>
          <w:bCs w:val="1"/>
          <w:color w:val="auto"/>
        </w:rPr>
        <w:t>escription</w:t>
      </w:r>
    </w:p>
    <w:p>
      <w:pPr>
        <w:spacing w:after="0" w:line="84" w:lineRule="exact"/>
        <w:rPr>
          <w:sz w:val="20"/>
          <w:szCs w:val="20"/>
          <w:color w:val="auto"/>
        </w:rPr>
      </w:pPr>
    </w:p>
    <w:p>
      <w:pPr>
        <w:sectPr>
          <w:pgSz w:w="11900" w:h="16838" w:orient="portrait"/>
          <w:cols w:equalWidth="0" w:num="2">
            <w:col w:w="4540" w:space="720"/>
            <w:col w:w="4460"/>
          </w:cols>
          <w:pgMar w:left="1120" w:top="927" w:right="1059" w:bottom="1440" w:gutter="0" w:footer="0" w:header="0"/>
        </w:sectPr>
      </w:pPr>
    </w:p>
    <w:p>
      <w:pPr>
        <w:ind w:left="100"/>
        <w:spacing w:after="0"/>
        <w:tabs>
          <w:tab w:leader="none" w:pos="840" w:val="left"/>
        </w:tabs>
        <w:rPr>
          <w:sz w:val="20"/>
          <w:szCs w:val="20"/>
          <w:color w:val="auto"/>
        </w:rPr>
      </w:pPr>
      <w:r>
        <w:rPr>
          <w:rFonts w:ascii="Arial" w:cs="Arial" w:eastAsia="Arial" w:hAnsi="Arial"/>
          <w:sz w:val="17"/>
          <w:szCs w:val="17"/>
          <w:color w:val="auto"/>
        </w:rPr>
        <w:t>10.15†*</w:t>
      </w:r>
      <w:r>
        <w:rPr>
          <w:sz w:val="20"/>
          <w:szCs w:val="20"/>
          <w:color w:val="auto"/>
        </w:rPr>
        <w:tab/>
      </w:r>
      <w:r>
        <w:rPr>
          <w:rFonts w:ascii="Arial" w:cs="Arial" w:eastAsia="Arial" w:hAnsi="Arial"/>
          <w:sz w:val="15"/>
          <w:szCs w:val="15"/>
          <w:color w:val="auto"/>
        </w:rPr>
        <w:t>Exclusive Distribution Agreement, dated November 23, 2004, between the Registrant and the Health Protection Agency</w:t>
      </w:r>
    </w:p>
    <w:p>
      <w:pPr>
        <w:spacing w:after="0" w:line="26" w:lineRule="exact"/>
        <w:rPr>
          <w:sz w:val="20"/>
          <w:szCs w:val="20"/>
          <w:color w:val="auto"/>
        </w:rPr>
      </w:pPr>
    </w:p>
    <w:p>
      <w:pPr>
        <w:ind w:left="860" w:right="240" w:hanging="763"/>
        <w:spacing w:after="0" w:line="257" w:lineRule="auto"/>
        <w:tabs>
          <w:tab w:leader="none" w:pos="840" w:val="left"/>
        </w:tabs>
        <w:rPr>
          <w:sz w:val="20"/>
          <w:szCs w:val="20"/>
          <w:color w:val="auto"/>
        </w:rPr>
      </w:pPr>
      <w:r>
        <w:rPr>
          <w:rFonts w:ascii="Arial" w:cs="Arial" w:eastAsia="Arial" w:hAnsi="Arial"/>
          <w:sz w:val="17"/>
          <w:szCs w:val="17"/>
          <w:color w:val="auto"/>
        </w:rPr>
        <w:t>10.16*</w:t>
      </w:r>
      <w:r>
        <w:rPr>
          <w:sz w:val="20"/>
          <w:szCs w:val="20"/>
          <w:color w:val="auto"/>
        </w:rPr>
        <w:tab/>
      </w:r>
      <w:r>
        <w:rPr>
          <w:rFonts w:ascii="Arial" w:cs="Arial" w:eastAsia="Arial" w:hAnsi="Arial"/>
          <w:sz w:val="17"/>
          <w:szCs w:val="17"/>
          <w:color w:val="auto"/>
        </w:rPr>
        <w:t>Investment Agreement relating to Microscience Holdings plc, dated March 18, 2005, among the Wellcome Trust, Microscience Investments Limited, formerly Microscience Holdings plc, and Emergent Product Development UK Limited, formerly Microscience Limited, as amended</w:t>
      </w:r>
    </w:p>
    <w:p>
      <w:pPr>
        <w:spacing w:after="0" w:line="1" w:lineRule="exact"/>
        <w:rPr>
          <w:sz w:val="20"/>
          <w:szCs w:val="20"/>
          <w:color w:val="auto"/>
        </w:rPr>
      </w:pPr>
    </w:p>
    <w:p>
      <w:pPr>
        <w:ind w:left="860" w:right="200" w:hanging="763"/>
        <w:spacing w:after="0" w:line="257" w:lineRule="auto"/>
        <w:tabs>
          <w:tab w:leader="none" w:pos="840" w:val="left"/>
        </w:tabs>
        <w:rPr>
          <w:sz w:val="20"/>
          <w:szCs w:val="20"/>
          <w:color w:val="auto"/>
        </w:rPr>
      </w:pPr>
      <w:r>
        <w:rPr>
          <w:rFonts w:ascii="Arial" w:cs="Arial" w:eastAsia="Arial" w:hAnsi="Arial"/>
          <w:sz w:val="17"/>
          <w:szCs w:val="17"/>
          <w:color w:val="auto"/>
        </w:rPr>
        <w:t>10.17*</w:t>
      </w:r>
      <w:r>
        <w:rPr>
          <w:sz w:val="20"/>
          <w:szCs w:val="20"/>
          <w:color w:val="auto"/>
        </w:rPr>
        <w:tab/>
      </w:r>
      <w:r>
        <w:rPr>
          <w:rFonts w:ascii="Arial" w:cs="Arial" w:eastAsia="Arial" w:hAnsi="Arial"/>
          <w:sz w:val="17"/>
          <w:szCs w:val="17"/>
          <w:color w:val="auto"/>
        </w:rPr>
        <w:t>Standard Employment Contract, dated September 22, 2006, between Emergent Product Development UK Limited, formerly Emergent Europe Limited, and Steven N. Chatfield</w:t>
      </w:r>
    </w:p>
    <w:p>
      <w:pPr>
        <w:ind w:left="100"/>
        <w:spacing w:after="0"/>
        <w:tabs>
          <w:tab w:leader="none" w:pos="840" w:val="left"/>
        </w:tabs>
        <w:rPr>
          <w:sz w:val="20"/>
          <w:szCs w:val="20"/>
          <w:color w:val="auto"/>
        </w:rPr>
      </w:pPr>
      <w:r>
        <w:rPr>
          <w:rFonts w:ascii="Arial" w:cs="Arial" w:eastAsia="Arial" w:hAnsi="Arial"/>
          <w:sz w:val="17"/>
          <w:szCs w:val="17"/>
          <w:color w:val="auto"/>
        </w:rPr>
        <w:t>10.18*</w:t>
      </w:r>
      <w:r>
        <w:rPr>
          <w:sz w:val="20"/>
          <w:szCs w:val="20"/>
          <w:color w:val="auto"/>
        </w:rPr>
        <w:tab/>
      </w:r>
      <w:r>
        <w:rPr>
          <w:rFonts w:ascii="Arial" w:cs="Arial" w:eastAsia="Arial" w:hAnsi="Arial"/>
          <w:sz w:val="15"/>
          <w:szCs w:val="15"/>
          <w:color w:val="auto"/>
        </w:rPr>
        <w:t>Letter Agreement, dated July 11, 2006, between the Registrant and Steven N. Chatfield</w:t>
      </w:r>
    </w:p>
    <w:p>
      <w:pPr>
        <w:spacing w:after="0" w:line="14"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7"/>
          <w:szCs w:val="17"/>
          <w:color w:val="auto"/>
        </w:rPr>
        <w:t>10.19†*</w:t>
      </w:r>
      <w:r>
        <w:rPr>
          <w:sz w:val="20"/>
          <w:szCs w:val="20"/>
          <w:color w:val="auto"/>
        </w:rPr>
        <w:tab/>
      </w:r>
      <w:r>
        <w:rPr>
          <w:rFonts w:ascii="Arial" w:cs="Arial" w:eastAsia="Arial" w:hAnsi="Arial"/>
          <w:sz w:val="15"/>
          <w:szCs w:val="15"/>
          <w:color w:val="auto"/>
        </w:rPr>
        <w:t>Consulting Services Agreement, dated March 1, 2006, between the Registrant and The Hauer Group</w:t>
      </w:r>
    </w:p>
    <w:p>
      <w:pPr>
        <w:spacing w:after="0" w:line="14" w:lineRule="exact"/>
        <w:rPr>
          <w:sz w:val="20"/>
          <w:szCs w:val="20"/>
          <w:color w:val="auto"/>
        </w:rPr>
      </w:pPr>
    </w:p>
    <w:p>
      <w:pPr>
        <w:jc w:val="both"/>
        <w:ind w:left="860" w:hanging="763"/>
        <w:spacing w:after="0" w:line="257" w:lineRule="auto"/>
        <w:tabs>
          <w:tab w:leader="none" w:pos="840" w:val="left"/>
        </w:tabs>
        <w:rPr>
          <w:sz w:val="20"/>
          <w:szCs w:val="20"/>
          <w:color w:val="auto"/>
        </w:rPr>
      </w:pPr>
      <w:r>
        <w:rPr>
          <w:rFonts w:ascii="Arial" w:cs="Arial" w:eastAsia="Arial" w:hAnsi="Arial"/>
          <w:sz w:val="17"/>
          <w:szCs w:val="17"/>
          <w:color w:val="auto"/>
        </w:rPr>
        <w:t>10.20*</w:t>
      </w:r>
      <w:r>
        <w:rPr>
          <w:sz w:val="20"/>
          <w:szCs w:val="20"/>
          <w:color w:val="auto"/>
        </w:rPr>
        <w:tab/>
      </w:r>
      <w:r>
        <w:rPr>
          <w:rFonts w:ascii="Arial" w:cs="Arial" w:eastAsia="Arial" w:hAnsi="Arial"/>
          <w:sz w:val="17"/>
          <w:szCs w:val="17"/>
          <w:color w:val="auto"/>
        </w:rPr>
        <w:t>Amended and Restated Marketing Agreement, dated January 1, 2000, between Emergent BioDefense Operations Lansing Inc., formerly BioPort Corporation, and Intergen N.V., as amended</w:t>
      </w:r>
    </w:p>
    <w:p>
      <w:pPr>
        <w:ind w:left="100"/>
        <w:spacing w:after="0"/>
        <w:tabs>
          <w:tab w:leader="none" w:pos="84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5"/>
          <w:szCs w:val="15"/>
          <w:color w:val="auto"/>
        </w:rPr>
        <w:t>Lease, dated December 1, 1998, between ARE-QRS, Corp. and Antex Biologics Inc., as amended</w:t>
      </w:r>
    </w:p>
    <w:p>
      <w:pPr>
        <w:spacing w:after="0" w:line="14" w:lineRule="exact"/>
        <w:rPr>
          <w:sz w:val="20"/>
          <w:szCs w:val="20"/>
          <w:color w:val="auto"/>
        </w:rPr>
      </w:pPr>
    </w:p>
    <w:p>
      <w:pPr>
        <w:jc w:val="both"/>
        <w:ind w:left="860" w:right="20" w:hanging="763"/>
        <w:spacing w:after="0" w:line="257" w:lineRule="auto"/>
        <w:tabs>
          <w:tab w:leader="none" w:pos="840" w:val="left"/>
        </w:tabs>
        <w:rPr>
          <w:sz w:val="20"/>
          <w:szCs w:val="20"/>
          <w:color w:val="auto"/>
        </w:rPr>
      </w:pPr>
      <w:r>
        <w:rPr>
          <w:rFonts w:ascii="Arial" w:cs="Arial" w:eastAsia="Arial" w:hAnsi="Arial"/>
          <w:sz w:val="17"/>
          <w:szCs w:val="17"/>
          <w:color w:val="auto"/>
        </w:rPr>
        <w:t>10.22*</w:t>
      </w:r>
      <w:r>
        <w:rPr>
          <w:sz w:val="20"/>
          <w:szCs w:val="20"/>
          <w:color w:val="auto"/>
        </w:rPr>
        <w:tab/>
      </w:r>
      <w:r>
        <w:rPr>
          <w:rFonts w:ascii="Arial" w:cs="Arial" w:eastAsia="Arial" w:hAnsi="Arial"/>
          <w:sz w:val="17"/>
          <w:szCs w:val="17"/>
          <w:color w:val="auto"/>
        </w:rPr>
        <w:t>Lease (540 Eskdale Road, Winnersh Triangle, Wokingham, Berkshire), dated December 13, 1996, between Slough Properties Limited and Azur Environmental Limited, as assigned to Emergent Product Development UK Limited, formerly Microscience Limited</w:t>
      </w:r>
    </w:p>
    <w:p>
      <w:pPr>
        <w:spacing w:after="0" w:line="1" w:lineRule="exact"/>
        <w:rPr>
          <w:sz w:val="20"/>
          <w:szCs w:val="20"/>
          <w:color w:val="auto"/>
        </w:rPr>
      </w:pPr>
    </w:p>
    <w:p>
      <w:pPr>
        <w:jc w:val="both"/>
        <w:ind w:left="860" w:right="20" w:hanging="763"/>
        <w:spacing w:after="0" w:line="257" w:lineRule="auto"/>
        <w:tabs>
          <w:tab w:leader="none" w:pos="840" w:val="left"/>
        </w:tabs>
        <w:rPr>
          <w:sz w:val="20"/>
          <w:szCs w:val="20"/>
          <w:color w:val="auto"/>
        </w:rPr>
      </w:pPr>
      <w:r>
        <w:rPr>
          <w:rFonts w:ascii="Arial" w:cs="Arial" w:eastAsia="Arial" w:hAnsi="Arial"/>
          <w:sz w:val="17"/>
          <w:szCs w:val="17"/>
          <w:color w:val="auto"/>
        </w:rPr>
        <w:t>10.23*</w:t>
      </w:r>
      <w:r>
        <w:rPr>
          <w:sz w:val="20"/>
          <w:szCs w:val="20"/>
          <w:color w:val="auto"/>
        </w:rPr>
        <w:tab/>
      </w:r>
      <w:r>
        <w:rPr>
          <w:rFonts w:ascii="Arial" w:cs="Arial" w:eastAsia="Arial" w:hAnsi="Arial"/>
          <w:sz w:val="17"/>
          <w:szCs w:val="17"/>
          <w:color w:val="auto"/>
        </w:rPr>
        <w:t>Lease (545 Eskdale Road, Winnersh Triangle, Wokingham, Berkshire), dated December 13, 1996, between Slough Properties Limited and Azur Environmental Limited, as assigned to Emergent Product Development UK Limited, formerly Microscience Limited</w:t>
      </w:r>
    </w:p>
    <w:p>
      <w:pPr>
        <w:spacing w:after="0" w:line="1"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7"/>
          <w:szCs w:val="17"/>
          <w:color w:val="auto"/>
        </w:rPr>
        <w:t>10.24*</w:t>
      </w:r>
      <w:r>
        <w:rPr>
          <w:sz w:val="20"/>
          <w:szCs w:val="20"/>
          <w:color w:val="auto"/>
        </w:rPr>
        <w:tab/>
      </w:r>
      <w:r>
        <w:rPr>
          <w:rFonts w:ascii="Arial" w:cs="Arial" w:eastAsia="Arial" w:hAnsi="Arial"/>
          <w:sz w:val="15"/>
          <w:szCs w:val="15"/>
          <w:color w:val="auto"/>
        </w:rPr>
        <w:t>Lease Agreement, dated June 27, 2006, between Brandywine Research LLC and the Registrant</w:t>
      </w:r>
    </w:p>
    <w:p>
      <w:pPr>
        <w:spacing w:after="0" w:line="14" w:lineRule="exact"/>
        <w:rPr>
          <w:sz w:val="20"/>
          <w:szCs w:val="20"/>
          <w:color w:val="auto"/>
        </w:rPr>
      </w:pPr>
    </w:p>
    <w:p>
      <w:pPr>
        <w:ind w:left="860" w:right="540" w:hanging="763"/>
        <w:spacing w:after="0" w:line="257" w:lineRule="auto"/>
        <w:tabs>
          <w:tab w:leader="none" w:pos="840" w:val="left"/>
        </w:tabs>
        <w:rPr>
          <w:sz w:val="20"/>
          <w:szCs w:val="20"/>
          <w:color w:val="auto"/>
        </w:rPr>
      </w:pPr>
      <w:r>
        <w:rPr>
          <w:rFonts w:ascii="Arial" w:cs="Arial" w:eastAsia="Arial" w:hAnsi="Arial"/>
          <w:sz w:val="17"/>
          <w:szCs w:val="17"/>
          <w:color w:val="auto"/>
        </w:rPr>
        <w:t>10.25*</w:t>
      </w:r>
      <w:r>
        <w:rPr>
          <w:sz w:val="20"/>
          <w:szCs w:val="20"/>
          <w:color w:val="auto"/>
        </w:rPr>
        <w:tab/>
      </w:r>
      <w:r>
        <w:rPr>
          <w:rFonts w:ascii="Arial" w:cs="Arial" w:eastAsia="Arial" w:hAnsi="Arial"/>
          <w:sz w:val="17"/>
          <w:szCs w:val="17"/>
          <w:color w:val="auto"/>
        </w:rPr>
        <w:t>Amended and Restated Loan Agreement, dated July 29, 2005, between Emergent BioDefense Operations Lansing Inc., formerly BioPort Corporation, and Fifth Third Bank, as amended</w:t>
      </w:r>
    </w:p>
    <w:p>
      <w:pPr>
        <w:jc w:val="both"/>
        <w:ind w:left="860" w:right="240" w:hanging="763"/>
        <w:spacing w:after="0" w:line="257" w:lineRule="auto"/>
        <w:tabs>
          <w:tab w:leader="none" w:pos="840" w:val="left"/>
        </w:tabs>
        <w:rPr>
          <w:sz w:val="20"/>
          <w:szCs w:val="20"/>
          <w:color w:val="auto"/>
        </w:rPr>
      </w:pPr>
      <w:r>
        <w:rPr>
          <w:rFonts w:ascii="Arial" w:cs="Arial" w:eastAsia="Arial" w:hAnsi="Arial"/>
          <w:sz w:val="17"/>
          <w:szCs w:val="17"/>
          <w:color w:val="auto"/>
        </w:rPr>
        <w:t>10.26*</w:t>
      </w:r>
      <w:r>
        <w:rPr>
          <w:sz w:val="20"/>
          <w:szCs w:val="20"/>
          <w:color w:val="auto"/>
        </w:rPr>
        <w:tab/>
      </w:r>
      <w:r>
        <w:rPr>
          <w:rFonts w:ascii="Arial" w:cs="Arial" w:eastAsia="Arial" w:hAnsi="Arial"/>
          <w:sz w:val="17"/>
          <w:szCs w:val="17"/>
          <w:color w:val="auto"/>
        </w:rPr>
        <w:t>Loan and Security Agreement, dated October 14, 2004, among the Registrant, Emergent Commercial Operations Frederick Inc., formerly Advanced BioSolutions, Inc., Antex Biologics Inc., Emergent BioDefense Operations Lansing Inc., formerly BioPort Corporation, and Mercantile Potomac Bank</w:t>
      </w:r>
    </w:p>
    <w:p>
      <w:pPr>
        <w:spacing w:after="0" w:line="1" w:lineRule="exact"/>
        <w:rPr>
          <w:sz w:val="20"/>
          <w:szCs w:val="20"/>
          <w:color w:val="auto"/>
        </w:rPr>
      </w:pPr>
    </w:p>
    <w:p>
      <w:pPr>
        <w:ind w:left="860" w:right="620" w:hanging="763"/>
        <w:spacing w:after="0" w:line="257" w:lineRule="auto"/>
        <w:tabs>
          <w:tab w:leader="none" w:pos="840" w:val="left"/>
        </w:tabs>
        <w:rPr>
          <w:sz w:val="20"/>
          <w:szCs w:val="20"/>
          <w:color w:val="auto"/>
        </w:rPr>
      </w:pPr>
      <w:r>
        <w:rPr>
          <w:rFonts w:ascii="Arial" w:cs="Arial" w:eastAsia="Arial" w:hAnsi="Arial"/>
          <w:sz w:val="17"/>
          <w:szCs w:val="17"/>
          <w:color w:val="auto"/>
        </w:rPr>
        <w:t>10.27*</w:t>
      </w:r>
      <w:r>
        <w:rPr>
          <w:sz w:val="20"/>
          <w:szCs w:val="20"/>
          <w:color w:val="auto"/>
        </w:rPr>
        <w:tab/>
      </w:r>
      <w:r>
        <w:rPr>
          <w:rFonts w:ascii="Arial" w:cs="Arial" w:eastAsia="Arial" w:hAnsi="Arial"/>
          <w:sz w:val="17"/>
          <w:szCs w:val="17"/>
          <w:color w:val="auto"/>
        </w:rPr>
        <w:t>Promissory Note, dated October 14, 2004, from Emergent Commercial Operations Frederick Inc., formerly Advanced BioSolutions, Inc., to Mercantile Potomac Bank</w:t>
      </w:r>
    </w:p>
    <w:p>
      <w:pPr>
        <w:ind w:left="860" w:right="380" w:hanging="763"/>
        <w:spacing w:after="0" w:line="257" w:lineRule="auto"/>
        <w:tabs>
          <w:tab w:leader="none" w:pos="840" w:val="left"/>
        </w:tabs>
        <w:rPr>
          <w:sz w:val="20"/>
          <w:szCs w:val="20"/>
          <w:color w:val="auto"/>
        </w:rPr>
      </w:pPr>
      <w:r>
        <w:rPr>
          <w:rFonts w:ascii="Arial" w:cs="Arial" w:eastAsia="Arial" w:hAnsi="Arial"/>
          <w:sz w:val="17"/>
          <w:szCs w:val="17"/>
          <w:color w:val="auto"/>
        </w:rPr>
        <w:t>10.28*</w:t>
      </w:r>
      <w:r>
        <w:rPr>
          <w:sz w:val="20"/>
          <w:szCs w:val="20"/>
          <w:color w:val="auto"/>
        </w:rPr>
        <w:tab/>
      </w:r>
      <w:r>
        <w:rPr>
          <w:rFonts w:ascii="Arial" w:cs="Arial" w:eastAsia="Arial" w:hAnsi="Arial"/>
          <w:sz w:val="17"/>
          <w:szCs w:val="17"/>
          <w:color w:val="auto"/>
        </w:rPr>
        <w:t>Loan Agreement, dated October 15, 2004, between Emergent Commercial Operations Frederick Inc., formerly Advanced BioSolutions, Inc., and the Department of Business and Economic Development</w:t>
      </w:r>
    </w:p>
    <w:p>
      <w:pPr>
        <w:ind w:left="860" w:right="220" w:hanging="763"/>
        <w:spacing w:after="0" w:line="257" w:lineRule="auto"/>
        <w:tabs>
          <w:tab w:leader="none" w:pos="840" w:val="left"/>
        </w:tabs>
        <w:rPr>
          <w:sz w:val="20"/>
          <w:szCs w:val="20"/>
          <w:color w:val="auto"/>
        </w:rPr>
      </w:pPr>
      <w:r>
        <w:rPr>
          <w:rFonts w:ascii="Arial" w:cs="Arial" w:eastAsia="Arial" w:hAnsi="Arial"/>
          <w:sz w:val="17"/>
          <w:szCs w:val="17"/>
          <w:color w:val="auto"/>
        </w:rPr>
        <w:t>10.29*</w:t>
      </w:r>
      <w:r>
        <w:rPr>
          <w:sz w:val="20"/>
          <w:szCs w:val="20"/>
          <w:color w:val="auto"/>
        </w:rPr>
        <w:tab/>
      </w:r>
      <w:r>
        <w:rPr>
          <w:rFonts w:ascii="Arial" w:cs="Arial" w:eastAsia="Arial" w:hAnsi="Arial"/>
          <w:sz w:val="17"/>
          <w:szCs w:val="17"/>
          <w:color w:val="auto"/>
        </w:rPr>
        <w:t>Deed of Trust Note, dated October 14, 2004, between Emergent Commercial Operations Frederick Inc., formerly Advanced BioSolutions, Inc., and the Department of Business and Economic Development</w:t>
      </w:r>
    </w:p>
    <w:p>
      <w:pPr>
        <w:ind w:left="860" w:right="300" w:hanging="763"/>
        <w:spacing w:after="0" w:line="257" w:lineRule="auto"/>
        <w:tabs>
          <w:tab w:leader="none" w:pos="840" w:val="left"/>
        </w:tabs>
        <w:rPr>
          <w:sz w:val="20"/>
          <w:szCs w:val="20"/>
          <w:color w:val="auto"/>
        </w:rPr>
      </w:pPr>
      <w:r>
        <w:rPr>
          <w:rFonts w:ascii="Arial" w:cs="Arial" w:eastAsia="Arial" w:hAnsi="Arial"/>
          <w:sz w:val="17"/>
          <w:szCs w:val="17"/>
          <w:color w:val="auto"/>
        </w:rPr>
        <w:t>10.30†*</w:t>
        <w:tab/>
        <w:t>Term Note, dated August 10, 2004, from Emergent BioDefense Operations Lansing Inc., formerly BioPort Corporation, to Fifth Third Bank</w:t>
      </w:r>
    </w:p>
    <w:p>
      <w:pPr>
        <w:ind w:left="860" w:right="60" w:hanging="763"/>
        <w:spacing w:after="0" w:line="257" w:lineRule="auto"/>
        <w:tabs>
          <w:tab w:leader="none" w:pos="840" w:val="left"/>
        </w:tabs>
        <w:rPr>
          <w:sz w:val="20"/>
          <w:szCs w:val="20"/>
          <w:color w:val="auto"/>
        </w:rPr>
      </w:pPr>
      <w:r>
        <w:rPr>
          <w:rFonts w:ascii="Arial" w:cs="Arial" w:eastAsia="Arial" w:hAnsi="Arial"/>
          <w:sz w:val="17"/>
          <w:szCs w:val="17"/>
          <w:color w:val="auto"/>
        </w:rPr>
        <w:t>10.31*</w:t>
      </w:r>
      <w:r>
        <w:rPr>
          <w:sz w:val="20"/>
          <w:szCs w:val="20"/>
          <w:color w:val="auto"/>
        </w:rPr>
        <w:tab/>
      </w:r>
      <w:r>
        <w:rPr>
          <w:rFonts w:ascii="Arial" w:cs="Arial" w:eastAsia="Arial" w:hAnsi="Arial"/>
          <w:sz w:val="17"/>
          <w:szCs w:val="17"/>
          <w:color w:val="auto"/>
        </w:rPr>
        <w:t>Loan Agreement, dated April 25, 2006, among the Registrant, Emergent Frederick LLC and HSBC Realty Credit Corporation (USA)</w:t>
      </w:r>
    </w:p>
    <w:p>
      <w:pPr>
        <w:ind w:left="860" w:right="540" w:hanging="763"/>
        <w:spacing w:after="0" w:line="273" w:lineRule="auto"/>
        <w:tabs>
          <w:tab w:leader="none" w:pos="840" w:val="left"/>
        </w:tabs>
        <w:rPr>
          <w:sz w:val="20"/>
          <w:szCs w:val="20"/>
          <w:color w:val="auto"/>
        </w:rPr>
      </w:pPr>
      <w:r>
        <w:rPr>
          <w:rFonts w:ascii="Arial" w:cs="Arial" w:eastAsia="Arial" w:hAnsi="Arial"/>
          <w:sz w:val="17"/>
          <w:szCs w:val="17"/>
          <w:color w:val="auto"/>
        </w:rPr>
        <w:t>10.32*</w:t>
      </w:r>
      <w:r>
        <w:rPr>
          <w:sz w:val="20"/>
          <w:szCs w:val="20"/>
          <w:color w:val="auto"/>
        </w:rPr>
        <w:tab/>
      </w:r>
      <w:r>
        <w:rPr>
          <w:rFonts w:ascii="Arial" w:cs="Arial" w:eastAsia="Arial" w:hAnsi="Arial"/>
          <w:sz w:val="16"/>
          <w:szCs w:val="16"/>
          <w:color w:val="auto"/>
        </w:rPr>
        <w:t>Bond Purchase Agreement, dated March 31, 2005, between the County Commissioners of Frederick County, Emergent Commercial Operations Frederick Inc., formerly Emergent Biologics Inc., and Mercantile Potomac Bank</w:t>
      </w:r>
    </w:p>
    <w:p>
      <w:pPr>
        <w:ind w:left="860" w:right="60" w:hanging="763"/>
        <w:spacing w:after="0" w:line="257" w:lineRule="auto"/>
        <w:tabs>
          <w:tab w:leader="none" w:pos="840" w:val="left"/>
        </w:tabs>
        <w:rPr>
          <w:sz w:val="20"/>
          <w:szCs w:val="20"/>
          <w:color w:val="auto"/>
        </w:rPr>
      </w:pPr>
      <w:r>
        <w:rPr>
          <w:rFonts w:ascii="Arial" w:cs="Arial" w:eastAsia="Arial" w:hAnsi="Arial"/>
          <w:sz w:val="17"/>
          <w:szCs w:val="17"/>
          <w:color w:val="auto"/>
        </w:rPr>
        <w:t>10.33†*</w:t>
        <w:tab/>
        <w:t>License and Co-development Agreement, dated May 6, 2006, between Emergent Product Development UK Limited, formerly Emergent Europe Limited, and Sanofi Pasteur, S.A.</w:t>
      </w:r>
    </w:p>
    <w:p>
      <w:pPr>
        <w:ind w:left="860" w:right="360" w:hanging="763"/>
        <w:spacing w:after="0" w:line="257" w:lineRule="auto"/>
        <w:tabs>
          <w:tab w:leader="none" w:pos="840" w:val="left"/>
        </w:tabs>
        <w:rPr>
          <w:sz w:val="20"/>
          <w:szCs w:val="20"/>
          <w:color w:val="auto"/>
        </w:rPr>
      </w:pPr>
      <w:r>
        <w:rPr>
          <w:rFonts w:ascii="Arial" w:cs="Arial" w:eastAsia="Arial" w:hAnsi="Arial"/>
          <w:sz w:val="17"/>
          <w:szCs w:val="17"/>
          <w:color w:val="auto"/>
        </w:rPr>
        <w:t>10.34†*</w:t>
        <w:tab/>
        <w:t>Product Supply Agreement, dated June 12, 2006, between Emergent Product Development Gaithersburg Inc. and Talecris Biotherapeutics, Inc.</w:t>
      </w:r>
    </w:p>
    <w:p>
      <w:pPr>
        <w:ind w:left="100"/>
        <w:spacing w:after="0"/>
        <w:tabs>
          <w:tab w:leader="none" w:pos="840" w:val="left"/>
        </w:tabs>
        <w:rPr>
          <w:sz w:val="20"/>
          <w:szCs w:val="20"/>
          <w:color w:val="auto"/>
        </w:rPr>
      </w:pPr>
      <w:r>
        <w:rPr>
          <w:rFonts w:ascii="Arial" w:cs="Arial" w:eastAsia="Arial" w:hAnsi="Arial"/>
          <w:sz w:val="17"/>
          <w:szCs w:val="17"/>
          <w:color w:val="auto"/>
        </w:rPr>
        <w:t>10.35*</w:t>
      </w:r>
      <w:r>
        <w:rPr>
          <w:sz w:val="20"/>
          <w:szCs w:val="20"/>
          <w:color w:val="auto"/>
        </w:rPr>
        <w:tab/>
      </w:r>
      <w:r>
        <w:rPr>
          <w:rFonts w:ascii="Arial" w:cs="Arial" w:eastAsia="Arial" w:hAnsi="Arial"/>
          <w:sz w:val="15"/>
          <w:szCs w:val="15"/>
          <w:color w:val="auto"/>
        </w:rPr>
        <w:t>Election of Fuad El-Hibri to Participate in the Severance Plan and Termination Protection Program</w:t>
      </w:r>
    </w:p>
    <w:p>
      <w:pPr>
        <w:spacing w:after="0" w:line="14"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7"/>
          <w:szCs w:val="17"/>
          <w:color w:val="auto"/>
        </w:rPr>
        <w:t>10.36*</w:t>
      </w:r>
      <w:r>
        <w:rPr>
          <w:sz w:val="20"/>
          <w:szCs w:val="20"/>
          <w:color w:val="auto"/>
        </w:rPr>
        <w:tab/>
      </w:r>
      <w:r>
        <w:rPr>
          <w:rFonts w:ascii="Arial" w:cs="Arial" w:eastAsia="Arial" w:hAnsi="Arial"/>
          <w:sz w:val="15"/>
          <w:szCs w:val="15"/>
          <w:color w:val="auto"/>
        </w:rPr>
        <w:t>Services Agreement, dated August 1, 2006, between East West Resources Corporation and the Registrant</w:t>
      </w:r>
    </w:p>
    <w:p>
      <w:pPr>
        <w:spacing w:after="0" w:line="14"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7"/>
          <w:szCs w:val="17"/>
          <w:color w:val="auto"/>
        </w:rPr>
        <w:t>10.37*</w:t>
      </w:r>
      <w:r>
        <w:rPr>
          <w:sz w:val="20"/>
          <w:szCs w:val="20"/>
          <w:color w:val="auto"/>
        </w:rPr>
        <w:tab/>
      </w:r>
      <w:r>
        <w:rPr>
          <w:rFonts w:ascii="Arial" w:cs="Arial" w:eastAsia="Arial" w:hAnsi="Arial"/>
          <w:sz w:val="15"/>
          <w:szCs w:val="15"/>
          <w:color w:val="auto"/>
        </w:rPr>
        <w:t>Director Compensation Program</w:t>
      </w:r>
    </w:p>
    <w:p>
      <w:pPr>
        <w:spacing w:after="0" w:line="14" w:lineRule="exact"/>
        <w:rPr>
          <w:sz w:val="20"/>
          <w:szCs w:val="20"/>
          <w:color w:val="auto"/>
        </w:rPr>
      </w:pPr>
    </w:p>
    <w:p>
      <w:pPr>
        <w:ind w:left="860" w:right="800" w:hanging="763"/>
        <w:spacing w:after="0" w:line="274" w:lineRule="auto"/>
        <w:tabs>
          <w:tab w:leader="none" w:pos="840" w:val="left"/>
        </w:tabs>
        <w:rPr>
          <w:sz w:val="20"/>
          <w:szCs w:val="20"/>
          <w:color w:val="auto"/>
        </w:rPr>
      </w:pPr>
      <w:r>
        <w:rPr>
          <w:rFonts w:ascii="Arial" w:cs="Arial" w:eastAsia="Arial" w:hAnsi="Arial"/>
          <w:sz w:val="17"/>
          <w:szCs w:val="17"/>
          <w:color w:val="auto"/>
        </w:rPr>
        <w:t>10.38*</w:t>
      </w:r>
      <w:r>
        <w:rPr>
          <w:sz w:val="20"/>
          <w:szCs w:val="20"/>
          <w:color w:val="auto"/>
        </w:rPr>
        <w:tab/>
      </w:r>
      <w:r>
        <w:rPr>
          <w:rFonts w:ascii="Arial" w:cs="Arial" w:eastAsia="Arial" w:hAnsi="Arial"/>
          <w:sz w:val="17"/>
          <w:szCs w:val="17"/>
          <w:color w:val="auto"/>
        </w:rPr>
        <w:t>Revolving Credit Note, dated July 29, 2005, from Emergent BioDefense Operations Lansing Inc., formerly BioPort Corporation, to Fifth Third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113665</wp:posOffset>
            </wp:positionV>
            <wp:extent cx="725487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720"/>
          </w:cols>
          <w:pgMar w:left="1120" w:top="927" w:right="1059" w:bottom="1440" w:gutter="0" w:footer="0" w:header="0"/>
          <w:type w:val="continuous"/>
        </w:sectPr>
      </w:pPr>
    </w:p>
    <w:bookmarkStart w:id="245" w:name="page246"/>
    <w:bookmarkEnd w:id="245"/>
    <w:p>
      <w:pPr>
        <w:ind w:left="68"/>
        <w:spacing w:after="0"/>
        <w:rPr>
          <w:sz w:val="20"/>
          <w:szCs w:val="20"/>
          <w:color w:val="auto"/>
        </w:rPr>
      </w:pPr>
      <w:r>
        <w:rPr>
          <w:rFonts w:ascii="Arial" w:cs="Arial" w:eastAsia="Arial" w:hAnsi="Arial"/>
          <w:sz w:val="14"/>
          <w:szCs w:val="14"/>
          <w:b w:val="1"/>
          <w:bCs w:val="1"/>
          <w:color w:val="auto"/>
        </w:rPr>
        <w:t>Exhibit</w:t>
      </w:r>
    </w:p>
    <w:p>
      <w:pPr>
        <w:spacing w:after="0" w:line="12" w:lineRule="exact"/>
        <w:rPr>
          <w:sz w:val="20"/>
          <w:szCs w:val="20"/>
          <w:color w:val="auto"/>
        </w:rPr>
      </w:pPr>
    </w:p>
    <w:p>
      <w:pPr>
        <w:ind w:left="308"/>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w:t>
      </w:r>
      <w:r>
        <w:rPr>
          <w:rFonts w:ascii="Arial" w:cs="Arial" w:eastAsia="Arial" w:hAnsi="Arial"/>
          <w:sz w:val="13"/>
          <w:szCs w:val="13"/>
          <w:b w:val="1"/>
          <w:bCs w:val="1"/>
          <w:color w:val="auto"/>
        </w:rPr>
        <w:t>escription</w:t>
      </w:r>
    </w:p>
    <w:p>
      <w:pPr>
        <w:spacing w:after="0" w:line="84" w:lineRule="exact"/>
        <w:rPr>
          <w:sz w:val="20"/>
          <w:szCs w:val="20"/>
          <w:color w:val="auto"/>
        </w:rPr>
      </w:pPr>
    </w:p>
    <w:p>
      <w:pPr>
        <w:sectPr>
          <w:pgSz w:w="11900" w:h="16838" w:orient="portrait"/>
          <w:cols w:equalWidth="0" w:num="2">
            <w:col w:w="4608" w:space="720"/>
            <w:col w:w="4420"/>
          </w:cols>
          <w:pgMar w:left="1052" w:top="927" w:right="1099" w:bottom="1440" w:gutter="0" w:footer="0" w:header="0"/>
        </w:sectPr>
      </w:pPr>
    </w:p>
    <w:p>
      <w:pPr>
        <w:ind w:left="168"/>
        <w:spacing w:after="0"/>
        <w:tabs>
          <w:tab w:leader="none" w:pos="907" w:val="left"/>
        </w:tabs>
        <w:rPr>
          <w:sz w:val="20"/>
          <w:szCs w:val="20"/>
          <w:color w:val="auto"/>
        </w:rPr>
      </w:pPr>
      <w:r>
        <w:rPr>
          <w:rFonts w:ascii="Arial" w:cs="Arial" w:eastAsia="Arial" w:hAnsi="Arial"/>
          <w:sz w:val="17"/>
          <w:szCs w:val="17"/>
          <w:color w:val="auto"/>
        </w:rPr>
        <w:t>10.39*</w:t>
      </w:r>
      <w:r>
        <w:rPr>
          <w:sz w:val="20"/>
          <w:szCs w:val="20"/>
          <w:color w:val="auto"/>
        </w:rPr>
        <w:tab/>
      </w:r>
      <w:r>
        <w:rPr>
          <w:rFonts w:ascii="Arial" w:cs="Arial" w:eastAsia="Arial" w:hAnsi="Arial"/>
          <w:sz w:val="16"/>
          <w:szCs w:val="16"/>
          <w:color w:val="auto"/>
        </w:rPr>
        <w:t>Promissory Note, dated April 25, 2006, from Emergent Frederick LLC to HSBC Realty Credit Corporation (USA)</w:t>
      </w:r>
    </w:p>
    <w:p>
      <w:pPr>
        <w:spacing w:after="0" w:line="26" w:lineRule="exact"/>
        <w:rPr>
          <w:sz w:val="20"/>
          <w:szCs w:val="20"/>
          <w:color w:val="auto"/>
        </w:rPr>
      </w:pPr>
    </w:p>
    <w:p>
      <w:pPr>
        <w:ind w:left="928" w:right="340" w:hanging="763"/>
        <w:spacing w:after="0" w:line="257" w:lineRule="auto"/>
        <w:tabs>
          <w:tab w:leader="none" w:pos="907" w:val="left"/>
        </w:tabs>
        <w:rPr>
          <w:sz w:val="20"/>
          <w:szCs w:val="20"/>
          <w:color w:val="auto"/>
        </w:rPr>
      </w:pPr>
      <w:r>
        <w:rPr>
          <w:rFonts w:ascii="Arial" w:cs="Arial" w:eastAsia="Arial" w:hAnsi="Arial"/>
          <w:sz w:val="17"/>
          <w:szCs w:val="17"/>
          <w:color w:val="auto"/>
        </w:rPr>
        <w:t>10.40*</w:t>
      </w:r>
      <w:r>
        <w:rPr>
          <w:sz w:val="20"/>
          <w:szCs w:val="20"/>
          <w:color w:val="auto"/>
        </w:rPr>
        <w:tab/>
      </w:r>
      <w:r>
        <w:rPr>
          <w:rFonts w:ascii="Arial" w:cs="Arial" w:eastAsia="Arial" w:hAnsi="Arial"/>
          <w:sz w:val="17"/>
          <w:szCs w:val="17"/>
          <w:color w:val="auto"/>
        </w:rPr>
        <w:t>Loan Agreement, dated August 25, 2006, among the Registrant, Emergent BioDefense Operations Lansing Inc., formerly BioPort Corporation, and HSBC Realty Credit Corporation (USA)</w:t>
      </w:r>
    </w:p>
    <w:p>
      <w:pPr>
        <w:ind w:left="928" w:right="40" w:hanging="763"/>
        <w:spacing w:after="0" w:line="257" w:lineRule="auto"/>
        <w:tabs>
          <w:tab w:leader="none" w:pos="907" w:val="left"/>
        </w:tabs>
        <w:rPr>
          <w:sz w:val="20"/>
          <w:szCs w:val="20"/>
          <w:color w:val="auto"/>
        </w:rPr>
      </w:pPr>
      <w:r>
        <w:rPr>
          <w:rFonts w:ascii="Arial" w:cs="Arial" w:eastAsia="Arial" w:hAnsi="Arial"/>
          <w:sz w:val="17"/>
          <w:szCs w:val="17"/>
          <w:color w:val="auto"/>
        </w:rPr>
        <w:t>10.41*</w:t>
      </w:r>
      <w:r>
        <w:rPr>
          <w:sz w:val="20"/>
          <w:szCs w:val="20"/>
          <w:color w:val="auto"/>
        </w:rPr>
        <w:tab/>
      </w:r>
      <w:r>
        <w:rPr>
          <w:rFonts w:ascii="Arial" w:cs="Arial" w:eastAsia="Arial" w:hAnsi="Arial"/>
          <w:sz w:val="17"/>
          <w:szCs w:val="17"/>
          <w:color w:val="auto"/>
        </w:rPr>
        <w:t>Promissory Note (Term Note), dated August 25, 2006, from Emergent BioDefense Operations Lansing Inc., formerly BioPort Corporation, to HSBC Realty Credit Corporation (USA)</w:t>
      </w:r>
    </w:p>
    <w:p>
      <w:pPr>
        <w:ind w:left="928" w:right="420" w:hanging="763"/>
        <w:spacing w:after="0" w:line="257" w:lineRule="auto"/>
        <w:tabs>
          <w:tab w:leader="none" w:pos="907" w:val="left"/>
        </w:tabs>
        <w:rPr>
          <w:sz w:val="20"/>
          <w:szCs w:val="20"/>
          <w:color w:val="auto"/>
        </w:rPr>
      </w:pPr>
      <w:r>
        <w:rPr>
          <w:rFonts w:ascii="Arial" w:cs="Arial" w:eastAsia="Arial" w:hAnsi="Arial"/>
          <w:sz w:val="17"/>
          <w:szCs w:val="17"/>
          <w:color w:val="auto"/>
        </w:rPr>
        <w:t>10.42*</w:t>
      </w:r>
      <w:r>
        <w:rPr>
          <w:sz w:val="20"/>
          <w:szCs w:val="20"/>
          <w:color w:val="auto"/>
        </w:rPr>
        <w:tab/>
      </w:r>
      <w:r>
        <w:rPr>
          <w:rFonts w:ascii="Arial" w:cs="Arial" w:eastAsia="Arial" w:hAnsi="Arial"/>
          <w:sz w:val="17"/>
          <w:szCs w:val="17"/>
          <w:color w:val="auto"/>
        </w:rPr>
        <w:t>Promissory Note (Revolving Credit Loan), dated August 25, 2006, from Emergent BioDefense Operations Lansing Inc., formerly, BioPort Corporation to HSBC Realty Credit Corporation (USA)</w:t>
      </w:r>
    </w:p>
    <w:p>
      <w:pPr>
        <w:ind w:left="928" w:hanging="763"/>
        <w:spacing w:after="0" w:line="257" w:lineRule="auto"/>
        <w:tabs>
          <w:tab w:leader="none" w:pos="907" w:val="left"/>
        </w:tabs>
        <w:rPr>
          <w:sz w:val="20"/>
          <w:szCs w:val="20"/>
          <w:color w:val="auto"/>
        </w:rPr>
      </w:pPr>
      <w:r>
        <w:rPr>
          <w:rFonts w:ascii="Arial" w:cs="Arial" w:eastAsia="Arial" w:hAnsi="Arial"/>
          <w:sz w:val="17"/>
          <w:szCs w:val="17"/>
          <w:color w:val="auto"/>
        </w:rPr>
        <w:t>10.43†*</w:t>
        <w:tab/>
        <w:t>Agreement, dated June 16, 2005, between the Free State of Bavaria and Emergent Product Development UK, formerly ViVacs GmbH</w:t>
      </w:r>
    </w:p>
    <w:p>
      <w:pPr>
        <w:ind w:left="168"/>
        <w:spacing w:after="0"/>
        <w:tabs>
          <w:tab w:leader="none" w:pos="907"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Subsidiaries of the Registrant</w:t>
      </w:r>
    </w:p>
    <w:p>
      <w:pPr>
        <w:spacing w:after="0" w:line="14" w:lineRule="exact"/>
        <w:rPr>
          <w:sz w:val="20"/>
          <w:szCs w:val="20"/>
          <w:color w:val="auto"/>
        </w:rPr>
      </w:pPr>
    </w:p>
    <w:p>
      <w:pPr>
        <w:ind w:left="168"/>
        <w:spacing w:after="0"/>
        <w:tabs>
          <w:tab w:leader="none" w:pos="907"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Independent Registered Public Accounting Firm of the Registrant</w:t>
      </w:r>
    </w:p>
    <w:p>
      <w:pPr>
        <w:spacing w:after="0" w:line="14" w:lineRule="exact"/>
        <w:rPr>
          <w:sz w:val="20"/>
          <w:szCs w:val="20"/>
          <w:color w:val="auto"/>
        </w:rPr>
      </w:pPr>
    </w:p>
    <w:p>
      <w:pPr>
        <w:ind w:left="168"/>
        <w:spacing w:after="0"/>
        <w:tabs>
          <w:tab w:leader="none" w:pos="907"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6"/>
          <w:szCs w:val="16"/>
          <w:color w:val="auto"/>
        </w:rPr>
        <w:t>Consent of Independent Auditors of Emergent Product Development UK Limited</w:t>
      </w:r>
    </w:p>
    <w:p>
      <w:pPr>
        <w:spacing w:after="0" w:line="14" w:lineRule="exact"/>
        <w:rPr>
          <w:sz w:val="20"/>
          <w:szCs w:val="20"/>
          <w:color w:val="auto"/>
        </w:rPr>
      </w:pPr>
    </w:p>
    <w:p>
      <w:pPr>
        <w:ind w:left="168"/>
        <w:spacing w:after="0"/>
        <w:tabs>
          <w:tab w:leader="none" w:pos="907"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6"/>
          <w:szCs w:val="16"/>
          <w:color w:val="auto"/>
        </w:rPr>
        <w:t>Consent of Wilmer Cutler Pickering Hale and Dorr LLP (included in Exhibit 5.1)</w:t>
      </w:r>
    </w:p>
    <w:p>
      <w:pPr>
        <w:spacing w:after="0" w:line="14" w:lineRule="exact"/>
        <w:rPr>
          <w:sz w:val="20"/>
          <w:szCs w:val="20"/>
          <w:color w:val="auto"/>
        </w:rPr>
      </w:pPr>
    </w:p>
    <w:p>
      <w:pPr>
        <w:ind w:left="168"/>
        <w:spacing w:after="0"/>
        <w:tabs>
          <w:tab w:leader="none" w:pos="907"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5"/>
          <w:szCs w:val="15"/>
          <w:color w:val="auto"/>
        </w:rPr>
        <w:t>Powers of Attorney (included on signature page)</w:t>
      </w:r>
    </w:p>
    <w:p>
      <w:pPr>
        <w:spacing w:after="0" w:line="28" w:lineRule="exact"/>
        <w:rPr>
          <w:sz w:val="20"/>
          <w:szCs w:val="20"/>
          <w:color w:val="auto"/>
        </w:rPr>
      </w:pPr>
    </w:p>
    <w:p>
      <w:pPr>
        <w:ind w:left="188" w:hanging="188"/>
        <w:spacing w:after="0"/>
        <w:tabs>
          <w:tab w:leader="none" w:pos="188" w:val="left"/>
        </w:tabs>
        <w:numPr>
          <w:ilvl w:val="0"/>
          <w:numId w:val="152"/>
        </w:numPr>
        <w:rPr>
          <w:rFonts w:ascii="Arial" w:cs="Arial" w:eastAsia="Arial" w:hAnsi="Arial"/>
          <w:sz w:val="17"/>
          <w:szCs w:val="17"/>
          <w:b w:val="1"/>
          <w:bCs w:val="1"/>
          <w:color w:val="auto"/>
        </w:rPr>
      </w:pPr>
      <w:r>
        <w:rPr>
          <w:rFonts w:ascii="Arial" w:cs="Arial" w:eastAsia="Arial" w:hAnsi="Arial"/>
          <w:sz w:val="17"/>
          <w:szCs w:val="17"/>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-123825</wp:posOffset>
            </wp:positionV>
            <wp:extent cx="6318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31825" cy="8255"/>
                    </a:xfrm>
                    <a:prstGeom prst="rect">
                      <a:avLst/>
                    </a:prstGeom>
                    <a:noFill/>
                  </pic:spPr>
                </pic:pic>
              </a:graphicData>
            </a:graphic>
          </wp:anchor>
        </w:drawing>
      </w:r>
    </w:p>
    <w:p>
      <w:pPr>
        <w:spacing w:after="0" w:line="60" w:lineRule="exact"/>
        <w:rPr>
          <w:sz w:val="20"/>
          <w:szCs w:val="20"/>
          <w:color w:val="auto"/>
        </w:rPr>
      </w:pPr>
    </w:p>
    <w:p>
      <w:pPr>
        <w:ind w:left="8"/>
        <w:spacing w:after="0"/>
        <w:rPr>
          <w:sz w:val="20"/>
          <w:szCs w:val="20"/>
          <w:color w:val="auto"/>
        </w:rPr>
      </w:pPr>
      <w:r>
        <w:rPr>
          <w:rFonts w:ascii="Arial" w:cs="Arial" w:eastAsia="Arial" w:hAnsi="Arial"/>
          <w:sz w:val="16"/>
          <w:szCs w:val="16"/>
          <w:color w:val="auto"/>
        </w:rPr>
        <w:t>† Confidential treatment requested. Confidential materials omitted and filed separately with the Securities and Exchange Commission.</w:t>
      </w:r>
    </w:p>
    <w:p>
      <w:pPr>
        <w:sectPr>
          <w:pgSz w:w="11900" w:h="16838" w:orient="portrait"/>
          <w:cols w:equalWidth="0" w:num="1">
            <w:col w:w="9748"/>
          </w:cols>
          <w:pgMar w:left="1052" w:top="927" w:right="1099" w:bottom="1440" w:gutter="0" w:footer="0" w:header="0"/>
          <w:type w:val="continuous"/>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t>Exhibit 1.1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EMERGENT BIOSOLUTIONS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___Shares of Common Stock, par value $0.001 per share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UNDERWRITING AGREEMENT</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6422390</wp:posOffset>
            </wp:positionH>
            <wp:positionV relativeFrom="paragraph">
              <wp:posOffset>-7620</wp:posOffset>
            </wp:positionV>
            <wp:extent cx="5543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HSBC Securities (USA) Inc.</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As Representatives of the</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several Underwriters listed</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Schedule I hereto</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 J.P. Morgan Securities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277 Park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10172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Emergent BioSolutions Inc., a Delaware corporation (the “Company”), proposes to issue and sell to the several Underwriters listed in Schedule I hereto (the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00" w:type="dxa"/>
            <w:vAlign w:val="bottom"/>
          </w:tcPr>
          <w:p>
            <w:pPr>
              <w:spacing w:after="0"/>
              <w:rPr>
                <w:sz w:val="20"/>
                <w:szCs w:val="20"/>
                <w:color w:val="auto"/>
              </w:rPr>
            </w:pPr>
            <w:r>
              <w:rPr>
                <w:rFonts w:ascii="Arial" w:cs="Arial" w:eastAsia="Arial" w:hAnsi="Arial"/>
                <w:sz w:val="17"/>
                <w:szCs w:val="17"/>
                <w:color w:val="auto"/>
                <w:w w:val="93"/>
              </w:rPr>
              <w:t>“Underwriters”), for whom you are acting as representatives (the “Representatives”), an aggregate of</w:t>
            </w:r>
          </w:p>
        </w:tc>
        <w:tc>
          <w:tcPr>
            <w:tcW w:w="880" w:type="dxa"/>
            <w:vAlign w:val="bottom"/>
            <w:tcBorders>
              <w:bottom w:val="single" w:sz="8" w:color="auto"/>
            </w:tcBorders>
            <w:gridSpan w:val="2"/>
          </w:tcPr>
          <w:p>
            <w:pPr>
              <w:spacing w:after="0"/>
              <w:rPr>
                <w:sz w:val="16"/>
                <w:szCs w:val="16"/>
                <w:color w:val="auto"/>
              </w:rPr>
            </w:pPr>
          </w:p>
        </w:tc>
        <w:tc>
          <w:tcPr>
            <w:tcW w:w="3260" w:type="dxa"/>
            <w:vAlign w:val="bottom"/>
            <w:gridSpan w:val="2"/>
          </w:tcPr>
          <w:p>
            <w:pPr>
              <w:ind w:left="40"/>
              <w:spacing w:after="0"/>
              <w:rPr>
                <w:sz w:val="20"/>
                <w:szCs w:val="20"/>
                <w:color w:val="auto"/>
              </w:rPr>
            </w:pPr>
            <w:r>
              <w:rPr>
                <w:rFonts w:ascii="Arial" w:cs="Arial" w:eastAsia="Arial" w:hAnsi="Arial"/>
                <w:sz w:val="17"/>
                <w:szCs w:val="17"/>
                <w:color w:val="auto"/>
                <w:w w:val="91"/>
              </w:rPr>
              <w:t>shares of common stock, par value $0.001 per</w:t>
            </w:r>
          </w:p>
        </w:tc>
      </w:tr>
      <w:tr>
        <w:trPr>
          <w:trHeight w:val="190"/>
        </w:trPr>
        <w:tc>
          <w:tcPr>
            <w:tcW w:w="7340" w:type="dxa"/>
            <w:vAlign w:val="bottom"/>
            <w:gridSpan w:val="2"/>
          </w:tcPr>
          <w:p>
            <w:pPr>
              <w:spacing w:after="0" w:line="189" w:lineRule="exact"/>
              <w:rPr>
                <w:sz w:val="20"/>
                <w:szCs w:val="20"/>
                <w:color w:val="auto"/>
              </w:rPr>
            </w:pPr>
            <w:r>
              <w:rPr>
                <w:rFonts w:ascii="Arial" w:cs="Arial" w:eastAsia="Arial" w:hAnsi="Arial"/>
                <w:sz w:val="17"/>
                <w:szCs w:val="17"/>
                <w:color w:val="auto"/>
                <w:w w:val="94"/>
              </w:rPr>
              <w:t>share (the “Common Stock”), of the Company and, at the option of the Underwriters, up to an additional</w:t>
            </w: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Pr>
          <w:p>
            <w:pPr>
              <w:ind w:left="40"/>
              <w:spacing w:after="0" w:line="189" w:lineRule="exact"/>
              <w:rPr>
                <w:sz w:val="20"/>
                <w:szCs w:val="20"/>
                <w:color w:val="auto"/>
              </w:rPr>
            </w:pPr>
            <w:r>
              <w:rPr>
                <w:rFonts w:ascii="Arial" w:cs="Arial" w:eastAsia="Arial" w:hAnsi="Arial"/>
                <w:sz w:val="17"/>
                <w:szCs w:val="17"/>
                <w:color w:val="auto"/>
                <w:w w:val="98"/>
              </w:rPr>
              <w:t>shares of Common Stock to cover over-</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allotments, if any, and the stockholders of the Company named in Schedule II hereto (the “Selling Stockholders”) propose to sell, at the option of the Underwriters,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Arial" w:cs="Arial" w:eastAsia="Arial" w:hAnsi="Arial"/>
                <w:sz w:val="17"/>
                <w:szCs w:val="17"/>
                <w:color w:val="auto"/>
                <w:w w:val="96"/>
              </w:rPr>
              <w:t>up to an additional</w:t>
            </w:r>
          </w:p>
        </w:tc>
        <w:tc>
          <w:tcPr>
            <w:tcW w:w="860" w:type="dxa"/>
            <w:vAlign w:val="bottom"/>
            <w:tcBorders>
              <w:bottom w:val="single" w:sz="8" w:color="auto"/>
            </w:tcBorders>
          </w:tcPr>
          <w:p>
            <w:pPr>
              <w:spacing w:after="0"/>
              <w:rPr>
                <w:sz w:val="16"/>
                <w:szCs w:val="16"/>
                <w:color w:val="auto"/>
              </w:rPr>
            </w:pPr>
          </w:p>
        </w:tc>
        <w:tc>
          <w:tcPr>
            <w:tcW w:w="5340" w:type="dxa"/>
            <w:vAlign w:val="bottom"/>
            <w:gridSpan w:val="3"/>
          </w:tcPr>
          <w:p>
            <w:pPr>
              <w:ind w:left="40"/>
              <w:spacing w:after="0"/>
              <w:rPr>
                <w:sz w:val="20"/>
                <w:szCs w:val="20"/>
                <w:color w:val="auto"/>
              </w:rPr>
            </w:pPr>
            <w:r>
              <w:rPr>
                <w:rFonts w:ascii="Arial" w:cs="Arial" w:eastAsia="Arial" w:hAnsi="Arial"/>
                <w:sz w:val="17"/>
                <w:szCs w:val="17"/>
                <w:color w:val="auto"/>
                <w:w w:val="93"/>
              </w:rPr>
              <w:t>shares of Common Stock to cover over-allotments, if any. The aggregate of</w:t>
            </w:r>
          </w:p>
        </w:tc>
        <w:tc>
          <w:tcPr>
            <w:tcW w:w="880" w:type="dxa"/>
            <w:vAlign w:val="bottom"/>
            <w:tcBorders>
              <w:bottom w:val="single" w:sz="8" w:color="auto"/>
            </w:tcBorders>
          </w:tcPr>
          <w:p>
            <w:pPr>
              <w:spacing w:after="0"/>
              <w:rPr>
                <w:sz w:val="16"/>
                <w:szCs w:val="16"/>
                <w:color w:val="auto"/>
              </w:rPr>
            </w:pPr>
          </w:p>
        </w:tc>
        <w:tc>
          <w:tcPr>
            <w:tcW w:w="2860" w:type="dxa"/>
            <w:vAlign w:val="bottom"/>
          </w:tcPr>
          <w:p>
            <w:pPr>
              <w:ind w:left="40"/>
              <w:spacing w:after="0"/>
              <w:rPr>
                <w:sz w:val="20"/>
                <w:szCs w:val="20"/>
                <w:color w:val="auto"/>
              </w:rPr>
            </w:pPr>
            <w:r>
              <w:rPr>
                <w:rFonts w:ascii="Arial" w:cs="Arial" w:eastAsia="Arial" w:hAnsi="Arial"/>
                <w:sz w:val="17"/>
                <w:szCs w:val="17"/>
                <w:color w:val="auto"/>
                <w:w w:val="97"/>
              </w:rPr>
              <w:t>shares to be sold by the Company are</w:t>
            </w:r>
          </w:p>
        </w:tc>
      </w:tr>
      <w:tr>
        <w:trPr>
          <w:trHeight w:val="190"/>
        </w:trPr>
        <w:tc>
          <w:tcPr>
            <w:tcW w:w="4800" w:type="dxa"/>
            <w:vAlign w:val="bottom"/>
            <w:gridSpan w:val="3"/>
          </w:tcPr>
          <w:p>
            <w:pPr>
              <w:spacing w:after="0" w:line="189" w:lineRule="exact"/>
              <w:rPr>
                <w:sz w:val="20"/>
                <w:szCs w:val="20"/>
                <w:color w:val="auto"/>
              </w:rPr>
            </w:pPr>
            <w:r>
              <w:rPr>
                <w:rFonts w:ascii="Arial" w:cs="Arial" w:eastAsia="Arial" w:hAnsi="Arial"/>
                <w:sz w:val="17"/>
                <w:szCs w:val="17"/>
                <w:color w:val="auto"/>
                <w:w w:val="92"/>
              </w:rPr>
              <w:t>herein referred to as the “Underwritten Shares” and the aggregate of</w:t>
            </w:r>
          </w:p>
        </w:tc>
        <w:tc>
          <w:tcPr>
            <w:tcW w:w="880" w:type="dxa"/>
            <w:vAlign w:val="bottom"/>
            <w:tcBorders>
              <w:bottom w:val="single" w:sz="8" w:color="auto"/>
            </w:tcBorders>
          </w:tcPr>
          <w:p>
            <w:pPr>
              <w:spacing w:after="0"/>
              <w:rPr>
                <w:sz w:val="16"/>
                <w:szCs w:val="16"/>
                <w:color w:val="auto"/>
              </w:rPr>
            </w:pPr>
          </w:p>
        </w:tc>
        <w:tc>
          <w:tcPr>
            <w:tcW w:w="5620" w:type="dxa"/>
            <w:vAlign w:val="bottom"/>
            <w:gridSpan w:val="3"/>
          </w:tcPr>
          <w:p>
            <w:pPr>
              <w:ind w:left="40"/>
              <w:spacing w:after="0" w:line="189" w:lineRule="exact"/>
              <w:rPr>
                <w:sz w:val="20"/>
                <w:szCs w:val="20"/>
                <w:color w:val="auto"/>
              </w:rPr>
            </w:pPr>
            <w:r>
              <w:rPr>
                <w:rFonts w:ascii="Arial" w:cs="Arial" w:eastAsia="Arial" w:hAnsi="Arial"/>
                <w:sz w:val="17"/>
                <w:szCs w:val="17"/>
                <w:color w:val="auto"/>
                <w:w w:val="92"/>
              </w:rPr>
              <w:t>additional shares to be sold by the Company and the Selling Stockholders at the</w:t>
            </w:r>
          </w:p>
        </w:tc>
      </w:tr>
    </w:tbl>
    <w:p>
      <w:pPr>
        <w:spacing w:after="0" w:line="1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option of the Underwriters are herein referred to as the “Option Shares.” The Underwritten Shares and the Option Shares are herein referred to as the “Shares.” The shares of Common Stock of the Company to be outstanding after giving effect to the sale of the Shares are herein referred to as the “Stock.” The Stock, including the Shares, will have attached thereto rights (the “Rights”) to purchase shares of Series A Junior Participating Preferred Stock of the Company. The Rights are to</w:t>
      </w:r>
    </w:p>
    <w:tbl>
      <w:tblPr>
        <w:tblLayout w:type="fixed"/>
        <w:tblInd w:w="0" w:type="dxa"/>
        <w:tblCellMar>
          <w:top w:w="0" w:type="dxa"/>
          <w:left w:w="0" w:type="dxa"/>
          <w:bottom w:w="0" w:type="dxa"/>
          <w:right w:w="0" w:type="dxa"/>
        </w:tblCellMar>
      </w:tblPr>
      <w:tr>
        <w:trPr>
          <w:trHeight w:val="171"/>
        </w:trPr>
        <w:tc>
          <w:tcPr>
            <w:tcW w:w="6100" w:type="dxa"/>
            <w:vAlign w:val="bottom"/>
            <w:gridSpan w:val="2"/>
          </w:tcPr>
          <w:p>
            <w:pPr>
              <w:spacing w:after="0" w:line="171" w:lineRule="exact"/>
              <w:rPr>
                <w:sz w:val="20"/>
                <w:szCs w:val="20"/>
                <w:color w:val="auto"/>
              </w:rPr>
            </w:pPr>
            <w:r>
              <w:rPr>
                <w:rFonts w:ascii="Arial" w:cs="Arial" w:eastAsia="Arial" w:hAnsi="Arial"/>
                <w:sz w:val="17"/>
                <w:szCs w:val="17"/>
                <w:color w:val="auto"/>
              </w:rPr>
              <w:t>be issued pursuant to a Rights Agreement (the “Rights Agreement”) dated as of [</w:t>
            </w:r>
          </w:p>
        </w:tc>
        <w:tc>
          <w:tcPr>
            <w:tcW w:w="4780" w:type="dxa"/>
            <w:vAlign w:val="bottom"/>
            <w:gridSpan w:val="2"/>
          </w:tcPr>
          <w:p>
            <w:pPr>
              <w:ind w:left="440"/>
              <w:spacing w:after="0" w:line="171" w:lineRule="exact"/>
              <w:rPr>
                <w:sz w:val="20"/>
                <w:szCs w:val="20"/>
                <w:color w:val="auto"/>
              </w:rPr>
            </w:pPr>
            <w:r>
              <w:rPr>
                <w:rFonts w:ascii="Arial" w:cs="Arial" w:eastAsia="Arial" w:hAnsi="Arial"/>
                <w:sz w:val="17"/>
                <w:szCs w:val="17"/>
                <w:color w:val="auto"/>
                <w:w w:val="93"/>
              </w:rPr>
              <w:t>] between the Company and American Stock Transfer &amp; Trust</w:t>
            </w:r>
          </w:p>
        </w:tc>
      </w:tr>
      <w:tr>
        <w:trPr>
          <w:trHeight w:val="228"/>
        </w:trPr>
        <w:tc>
          <w:tcPr>
            <w:tcW w:w="5660" w:type="dxa"/>
            <w:vAlign w:val="bottom"/>
          </w:tcPr>
          <w:p>
            <w:pPr>
              <w:spacing w:after="0"/>
              <w:rPr>
                <w:sz w:val="20"/>
                <w:szCs w:val="20"/>
                <w:color w:val="auto"/>
              </w:rPr>
            </w:pPr>
            <w:r>
              <w:rPr>
                <w:rFonts w:ascii="Arial" w:cs="Arial" w:eastAsia="Arial" w:hAnsi="Arial"/>
                <w:sz w:val="17"/>
                <w:szCs w:val="17"/>
                <w:color w:val="auto"/>
              </w:rPr>
              <w:t>Company, as Rights Agent.</w:t>
            </w:r>
          </w:p>
        </w:tc>
        <w:tc>
          <w:tcPr>
            <w:tcW w:w="4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340" w:type="dxa"/>
            <w:vAlign w:val="bottom"/>
          </w:tcPr>
          <w:p>
            <w:pPr>
              <w:spacing w:after="0"/>
              <w:rPr>
                <w:sz w:val="19"/>
                <w:szCs w:val="19"/>
                <w:color w:val="auto"/>
              </w:rPr>
            </w:pPr>
          </w:p>
        </w:tc>
      </w:tr>
    </w:tbl>
    <w:p>
      <w:pPr>
        <w:spacing w:after="0" w:line="93" w:lineRule="exact"/>
        <w:rPr>
          <w:sz w:val="20"/>
          <w:szCs w:val="20"/>
          <w:color w:val="auto"/>
        </w:rPr>
      </w:pPr>
    </w:p>
    <w:p>
      <w:pPr>
        <w:ind w:right="220" w:firstLine="259"/>
        <w:spacing w:after="0" w:line="289" w:lineRule="auto"/>
        <w:rPr>
          <w:sz w:val="20"/>
          <w:szCs w:val="20"/>
          <w:color w:val="auto"/>
        </w:rPr>
      </w:pPr>
      <w:r>
        <w:rPr>
          <w:rFonts w:ascii="Arial" w:cs="Arial" w:eastAsia="Arial" w:hAnsi="Arial"/>
          <w:sz w:val="17"/>
          <w:szCs w:val="17"/>
          <w:color w:val="auto"/>
        </w:rPr>
        <w:t>The Company and the Selling Stockholders hereby confirm their agreement with the several Underwriters concerning the purchase and sale of the Shares, as follows:</w:t>
      </w:r>
    </w:p>
    <w:p>
      <w:pPr>
        <w:spacing w:after="0" w:line="53" w:lineRule="exact"/>
        <w:rPr>
          <w:sz w:val="20"/>
          <w:szCs w:val="20"/>
          <w:color w:val="auto"/>
        </w:rPr>
      </w:pPr>
    </w:p>
    <w:p>
      <w:pPr>
        <w:ind w:right="40" w:firstLine="267"/>
        <w:spacing w:after="0" w:line="289" w:lineRule="auto"/>
        <w:tabs>
          <w:tab w:leader="none" w:pos="436"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and filed with the Securities and Exchange Commission (the “Commission”) under the Securities Act of 1933, as amended, and the rules and regulations of the Commission thereunder (collectively, the “Securities Act”),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725487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247" w:name="page248"/>
    <w:bookmarkEnd w:id="247"/>
    <w:p>
      <w:pPr>
        <w:spacing w:after="0" w:line="278" w:lineRule="auto"/>
        <w:rPr>
          <w:sz w:val="20"/>
          <w:szCs w:val="20"/>
          <w:color w:val="auto"/>
        </w:rPr>
      </w:pPr>
      <w:r>
        <w:rPr>
          <w:rFonts w:ascii="Arial" w:cs="Arial" w:eastAsia="Arial" w:hAnsi="Arial"/>
          <w:sz w:val="16"/>
          <w:szCs w:val="16"/>
          <w:color w:val="auto"/>
        </w:rPr>
        <w:t>registration statement (File No. 333-136622) including a prospectus, relating to the Shares and the Rights. Such registration statement, as amended at the time it becomes effective, including the information, if any, deemed pursuant to Rule 430A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it becomes effective,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to the Underwriters by the Company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At or prior to the time when sales of the Shares were first made (the “Time of Sale”), the Company had prepared the following information (collectively with</w:t>
      </w:r>
    </w:p>
    <w:p>
      <w:pPr>
        <w:spacing w:after="0" w:line="38"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the pricing information set forth on Annex B, the “Time of Sale Information”): a Preliminary Prospectus dated 2006, and each “free-writing prospectus” (as defined pursuant to Rule 405 under the Securities Act) listed on Annex 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4929505</wp:posOffset>
            </wp:positionH>
            <wp:positionV relativeFrom="paragraph">
              <wp:posOffset>-174625</wp:posOffset>
            </wp:positionV>
            <wp:extent cx="11080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45" w:lineRule="exact"/>
        <w:rPr>
          <w:sz w:val="20"/>
          <w:szCs w:val="20"/>
          <w:color w:val="auto"/>
        </w:rPr>
      </w:pPr>
    </w:p>
    <w:p>
      <w:pPr>
        <w:ind w:right="60" w:firstLine="267"/>
        <w:spacing w:after="0" w:line="297" w:lineRule="auto"/>
        <w:tabs>
          <w:tab w:leader="none" w:pos="436" w:val="left"/>
        </w:tabs>
        <w:numPr>
          <w:ilvl w:val="0"/>
          <w:numId w:val="154"/>
        </w:numPr>
        <w:rPr>
          <w:rFonts w:ascii="Arial" w:cs="Arial" w:eastAsia="Arial" w:hAnsi="Arial"/>
          <w:sz w:val="15"/>
          <w:szCs w:val="15"/>
          <w:color w:val="auto"/>
        </w:rPr>
      </w:pPr>
      <w:r>
        <w:rPr>
          <w:rFonts w:ascii="Arial" w:cs="Arial" w:eastAsia="Arial" w:hAnsi="Arial"/>
          <w:sz w:val="15"/>
          <w:szCs w:val="15"/>
          <w:u w:val="single" w:color="auto"/>
          <w:color w:val="auto"/>
        </w:rPr>
        <w:t>Purchase of the Shares by the Underwriters</w:t>
      </w:r>
      <w:r>
        <w:rPr>
          <w:rFonts w:ascii="Arial" w:cs="Arial" w:eastAsia="Arial" w:hAnsi="Arial"/>
          <w:sz w:val="15"/>
          <w:szCs w:val="15"/>
          <w:color w:val="auto"/>
        </w:rPr>
        <w:t>. (a) 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Underwritten Shares set forth opposite such Underwriter’s name in</w:t>
      </w:r>
    </w:p>
    <w:p>
      <w:pPr>
        <w:spacing w:after="0"/>
        <w:tabs>
          <w:tab w:leader="none" w:pos="5360" w:val="left"/>
        </w:tabs>
        <w:rPr>
          <w:sz w:val="20"/>
          <w:szCs w:val="20"/>
          <w:color w:val="auto"/>
        </w:rPr>
      </w:pPr>
      <w:r>
        <w:rPr>
          <w:rFonts w:ascii="Arial" w:cs="Arial" w:eastAsia="Arial" w:hAnsi="Arial"/>
          <w:sz w:val="17"/>
          <w:szCs w:val="17"/>
          <w:color w:val="auto"/>
        </w:rPr>
        <w:t>Schedule I hereto at a price per share (the “Purchase Price”) of $</w:t>
      </w:r>
      <w:r>
        <w:rPr>
          <w:sz w:val="20"/>
          <w:szCs w:val="20"/>
          <w:color w:val="auto"/>
        </w:rPr>
        <w:tab/>
      </w:r>
      <w:r>
        <w:rPr>
          <w:rFonts w:ascii="Arial" w:cs="Arial" w:eastAsia="Arial" w:hAnsi="Arial"/>
          <w:sz w:val="15"/>
          <w:szCs w:val="15"/>
          <w:color w:val="auto"/>
        </w:rPr>
        <w:t>. The public offering price of the Shares is not in excess of the price recommended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-15240</wp:posOffset>
            </wp:positionV>
            <wp:extent cx="5543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ind w:right="80"/>
        <w:spacing w:after="0" w:line="274" w:lineRule="auto"/>
        <w:rPr>
          <w:sz w:val="20"/>
          <w:szCs w:val="20"/>
          <w:color w:val="auto"/>
        </w:rPr>
      </w:pPr>
      <w:r>
        <w:rPr>
          <w:rFonts w:ascii="Arial" w:cs="Arial" w:eastAsia="Arial" w:hAnsi="Arial"/>
          <w:sz w:val="17"/>
          <w:szCs w:val="17"/>
          <w:color w:val="auto"/>
        </w:rPr>
        <w:t>Cowen and Company, LLC, acting as a “qualified independent underwriter” within the meaning of Rule 2720 of the Rules of Conduct of the National Association of Securities Dealers, Inc.</w:t>
      </w:r>
    </w:p>
    <w:p>
      <w:pPr>
        <w:spacing w:after="0" w:line="65" w:lineRule="exact"/>
        <w:rPr>
          <w:sz w:val="20"/>
          <w:szCs w:val="20"/>
          <w:color w:val="auto"/>
        </w:rPr>
      </w:pPr>
    </w:p>
    <w:p>
      <w:pPr>
        <w:ind w:left="260"/>
        <w:spacing w:after="0"/>
        <w:tabs>
          <w:tab w:leader="none" w:pos="3360" w:val="left"/>
        </w:tabs>
        <w:rPr>
          <w:sz w:val="20"/>
          <w:szCs w:val="20"/>
          <w:color w:val="auto"/>
        </w:rPr>
      </w:pPr>
      <w:r>
        <w:rPr>
          <w:rFonts w:ascii="Arial" w:cs="Arial" w:eastAsia="Arial" w:hAnsi="Arial"/>
          <w:sz w:val="17"/>
          <w:szCs w:val="17"/>
          <w:color w:val="auto"/>
        </w:rPr>
        <w:t>In addition, the Company as to</w:t>
      </w:r>
      <w:r>
        <w:rPr>
          <w:sz w:val="20"/>
          <w:szCs w:val="20"/>
          <w:color w:val="auto"/>
        </w:rPr>
        <w:tab/>
      </w:r>
      <w:r>
        <w:rPr>
          <w:rFonts w:ascii="Arial" w:cs="Arial" w:eastAsia="Arial" w:hAnsi="Arial"/>
          <w:sz w:val="15"/>
          <w:szCs w:val="15"/>
          <w:color w:val="auto"/>
        </w:rPr>
        <w:t>of the Option Shares and each of the Selling Stockholders as and to the extent indicated in Schedule II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-7620</wp:posOffset>
            </wp:positionV>
            <wp:extent cx="5543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6"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agree, severally and not jointly, to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and each of the Selling Stockholders the Option Shares at the Purchase Price.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I hereto bears to the aggregate number of Underwritten Shares being purchased from the Company by the several Underwriters, subject, however, to such adjustments to eliminate any fractional Shares as the Representative in its sole discretion shall make. Any such election to purchase Option Shares shall be made 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48" w:name="page249"/>
    <w:bookmarkEnd w:id="248"/>
    <w:p>
      <w:pPr>
        <w:spacing w:after="0"/>
        <w:rPr>
          <w:sz w:val="20"/>
          <w:szCs w:val="20"/>
          <w:color w:val="auto"/>
        </w:rPr>
      </w:pPr>
      <w:r>
        <w:rPr>
          <w:rFonts w:ascii="Arial" w:cs="Arial" w:eastAsia="Arial" w:hAnsi="Arial"/>
          <w:sz w:val="17"/>
          <w:szCs w:val="17"/>
          <w:color w:val="auto"/>
        </w:rPr>
        <w:t>proportion to the maximum number of Option Shares to be sold by the Company and each Selling Stockholder as set forth in Schedule II hereto.</w:t>
      </w:r>
    </w:p>
    <w:p>
      <w:pPr>
        <w:spacing w:after="0" w:line="119" w:lineRule="exact"/>
        <w:rPr>
          <w:sz w:val="20"/>
          <w:szCs w:val="20"/>
          <w:color w:val="auto"/>
        </w:rPr>
      </w:pPr>
    </w:p>
    <w:p>
      <w:pPr>
        <w:ind w:firstLine="259"/>
        <w:spacing w:after="0" w:line="280" w:lineRule="auto"/>
        <w:rPr>
          <w:sz w:val="20"/>
          <w:szCs w:val="20"/>
          <w:color w:val="auto"/>
        </w:rPr>
      </w:pPr>
      <w:r>
        <w:rPr>
          <w:rFonts w:ascii="Arial" w:cs="Arial" w:eastAsia="Arial" w:hAnsi="Arial"/>
          <w:sz w:val="16"/>
          <w:szCs w:val="16"/>
          <w:color w:val="auto"/>
        </w:rPr>
        <w:t>The Underwriters may exercise the option to purchase the Option Shares at any time in whole, or from time to time in part, on or before the thirtieth day following the date of this Agreement, by written notice from the Representatives to the Company and the Attorneys-in-Fact (as defined below).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 In the event of a partial exercise of the option to purchase the Option Shares, the Underwriters shall first purchase Option Shares from the Selling Shareholders on a pro rata basis until all Option Shares to be sold by the Selling Shareholders have been purchased before purchasing Option Shares to be sold by the Company.</w:t>
      </w:r>
    </w:p>
    <w:p>
      <w:pPr>
        <w:spacing w:after="0" w:line="64" w:lineRule="exact"/>
        <w:rPr>
          <w:sz w:val="20"/>
          <w:szCs w:val="20"/>
          <w:color w:val="auto"/>
        </w:rPr>
      </w:pPr>
    </w:p>
    <w:p>
      <w:pPr>
        <w:ind w:right="140" w:firstLine="259"/>
        <w:spacing w:after="0" w:line="267" w:lineRule="auto"/>
        <w:rPr>
          <w:sz w:val="20"/>
          <w:szCs w:val="20"/>
          <w:color w:val="auto"/>
        </w:rPr>
      </w:pPr>
      <w:r>
        <w:rPr>
          <w:rFonts w:ascii="Arial" w:cs="Arial" w:eastAsia="Arial" w:hAnsi="Arial"/>
          <w:sz w:val="17"/>
          <w:szCs w:val="17"/>
          <w:color w:val="auto"/>
        </w:rPr>
        <w:t>The Company and the Selling Stockholders understand that the Underwriters intend to make a public offering of the Shares as soon after the effectiveness of this Agreement as in the judgment of the Representatives is advisable, and initially to offer the Shares on the terms set forth in the Prospectus. The Company and the Selling Stockholders acknowledge and agree that the Underwriters may offer and sell Shares to or through any affiliate of an Underwriter and that any such affiliate may offer and sell Shares purchased by it to or through any Underwriter.</w:t>
      </w:r>
    </w:p>
    <w:p>
      <w:pPr>
        <w:spacing w:after="0" w:line="73" w:lineRule="exact"/>
        <w:rPr>
          <w:sz w:val="20"/>
          <w:szCs w:val="20"/>
          <w:color w:val="auto"/>
        </w:rPr>
      </w:pPr>
    </w:p>
    <w:p>
      <w:pPr>
        <w:ind w:right="20" w:firstLine="267"/>
        <w:spacing w:after="0" w:line="299" w:lineRule="auto"/>
        <w:tabs>
          <w:tab w:leader="none" w:pos="509" w:val="left"/>
        </w:tabs>
        <w:numPr>
          <w:ilvl w:val="0"/>
          <w:numId w:val="155"/>
        </w:numPr>
        <w:rPr>
          <w:rFonts w:ascii="Arial" w:cs="Arial" w:eastAsia="Arial" w:hAnsi="Arial"/>
          <w:sz w:val="15"/>
          <w:szCs w:val="15"/>
          <w:color w:val="auto"/>
        </w:rPr>
      </w:pPr>
      <w:r>
        <w:rPr>
          <w:rFonts w:ascii="Arial" w:cs="Arial" w:eastAsia="Arial" w:hAnsi="Arial"/>
          <w:sz w:val="15"/>
          <w:szCs w:val="15"/>
          <w:color w:val="auto"/>
        </w:rPr>
        <w:t>Payment for the Shares shall be made by wire transfer in immediately available funds to the respective accounts specified to the Representatives by the Company and, in the case of the Option Shares, the Attorneys-in-Fact at the offices of Dechert LLP, 30 Rockefeller Plaza, New York, NY at 10:00 A.M. New York</w:t>
      </w:r>
    </w:p>
    <w:p>
      <w:pPr>
        <w:spacing w:after="0" w:line="1"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color w:val="auto"/>
        </w:rPr>
        <w:t>City time on</w:t>
      </w:r>
      <w:r>
        <w:rPr>
          <w:sz w:val="20"/>
          <w:szCs w:val="20"/>
          <w:color w:val="auto"/>
        </w:rPr>
        <w:tab/>
      </w:r>
      <w:r>
        <w:rPr>
          <w:rFonts w:ascii="Arial" w:cs="Arial" w:eastAsia="Arial" w:hAnsi="Arial"/>
          <w:sz w:val="15"/>
          <w:szCs w:val="15"/>
          <w:color w:val="auto"/>
        </w:rPr>
        <w:t>, 200  , or at such other time or place on the same or such other date, not later than the fifth business day thereafter,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-15240</wp:posOffset>
            </wp:positionV>
            <wp:extent cx="8585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ind w:right="20"/>
        <w:spacing w:after="0" w:line="262" w:lineRule="auto"/>
        <w:rPr>
          <w:sz w:val="20"/>
          <w:szCs w:val="20"/>
          <w:color w:val="auto"/>
        </w:rPr>
      </w:pPr>
      <w:r>
        <w:rPr>
          <w:rFonts w:ascii="Arial" w:cs="Arial" w:eastAsia="Arial" w:hAnsi="Arial"/>
          <w:sz w:val="17"/>
          <w:szCs w:val="17"/>
          <w:color w:val="auto"/>
        </w:rPr>
        <w:t>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77" w:lineRule="exact"/>
        <w:rPr>
          <w:sz w:val="20"/>
          <w:szCs w:val="20"/>
          <w:color w:val="auto"/>
        </w:rPr>
      </w:pPr>
    </w:p>
    <w:p>
      <w:pPr>
        <w:ind w:firstLine="262"/>
        <w:spacing w:after="0" w:line="263" w:lineRule="auto"/>
        <w:rPr>
          <w:sz w:val="20"/>
          <w:szCs w:val="20"/>
          <w:color w:val="auto"/>
        </w:rPr>
      </w:pPr>
      <w:r>
        <w:rPr>
          <w:rFonts w:ascii="Arial" w:cs="Arial" w:eastAsia="Arial" w:hAnsi="Arial"/>
          <w:sz w:val="17"/>
          <w:szCs w:val="17"/>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in definitive form registered in such names and in such denominations as the Representatives shall request in writing not later than two full business days prior to the Closing Date or the Additional Closing Date, as the case may be, with any transfer taxes payable in connection with the sale of the Shares duly paid by the Company or the Selling Stockholders as the case may be. The certificates for the Shares will be made available for inspection and packaging by the Representatives at the office of J.P. Morgan Securities Inc. set forth above not later than 1:00</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249" w:name="page250"/>
    <w:bookmarkEnd w:id="249"/>
    <w:p>
      <w:pPr>
        <w:spacing w:after="0"/>
        <w:rPr>
          <w:sz w:val="20"/>
          <w:szCs w:val="20"/>
          <w:color w:val="auto"/>
        </w:rPr>
      </w:pPr>
      <w:r>
        <w:rPr>
          <w:rFonts w:ascii="Arial" w:cs="Arial" w:eastAsia="Arial" w:hAnsi="Arial"/>
          <w:sz w:val="17"/>
          <w:szCs w:val="17"/>
          <w:color w:val="auto"/>
        </w:rPr>
        <w:t>P.M., New York City time, on the business day prior to the Closing Date or the Additional Closing Date, as the case may be.</w:t>
      </w:r>
    </w:p>
    <w:p>
      <w:pPr>
        <w:spacing w:after="0" w:line="119" w:lineRule="exact"/>
        <w:rPr>
          <w:sz w:val="20"/>
          <w:szCs w:val="20"/>
          <w:color w:val="auto"/>
        </w:rPr>
      </w:pPr>
    </w:p>
    <w:p>
      <w:pPr>
        <w:ind w:right="60" w:firstLine="267"/>
        <w:spacing w:after="0" w:line="261" w:lineRule="auto"/>
        <w:tabs>
          <w:tab w:leader="none" w:pos="49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Each of the Company and the Selling Stockholders acknowledges and agrees that the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shall be responsible for making their own independent investigation and appraisal of the transactions contemplated hereby, and the Underwriters shall have no responsibility or liability to the Company or the Selling Stockholders with respect thereto. Any review by the Underwriters of the Company, the transactions contemplated hereby or other matters relating to such transactions will be performed solely for the benefit of the Underwriters and shall not be on behalf of the Company or the Selling Stockholders.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each Underwriter and the Selling Stockholders that:</w:t>
      </w:r>
    </w:p>
    <w:p>
      <w:pPr>
        <w:spacing w:after="0" w:line="119" w:lineRule="exact"/>
        <w:rPr>
          <w:sz w:val="20"/>
          <w:szCs w:val="20"/>
          <w:color w:val="auto"/>
        </w:rPr>
      </w:pPr>
    </w:p>
    <w:p>
      <w:pPr>
        <w:ind w:right="20" w:firstLine="267"/>
        <w:spacing w:after="0" w:line="263" w:lineRule="auto"/>
        <w:tabs>
          <w:tab w:leader="none" w:pos="499"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Preliminary Prospectus. </w:t>
      </w:r>
      <w:r>
        <w:rPr>
          <w:rFonts w:ascii="Arial" w:cs="Arial" w:eastAsia="Arial" w:hAnsi="Arial"/>
          <w:sz w:val="17"/>
          <w:szCs w:val="17"/>
          <w:color w:val="auto"/>
        </w:rPr>
        <w:t>No order preventing or suspending the use of any Preliminary Prospectus has been issued by the Commission, and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or on behalf of any Underwriter expressly for use in any Preliminary Prospectus.</w:t>
      </w:r>
    </w:p>
    <w:p>
      <w:pPr>
        <w:spacing w:after="0" w:line="76" w:lineRule="exact"/>
        <w:rPr>
          <w:rFonts w:ascii="Arial" w:cs="Arial" w:eastAsia="Arial" w:hAnsi="Arial"/>
          <w:sz w:val="17"/>
          <w:szCs w:val="17"/>
          <w:color w:val="auto"/>
        </w:rPr>
      </w:pPr>
    </w:p>
    <w:p>
      <w:pPr>
        <w:ind w:firstLine="267"/>
        <w:spacing w:after="0" w:line="262" w:lineRule="auto"/>
        <w:tabs>
          <w:tab w:leader="none" w:pos="509"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Time of Sale Information</w:t>
      </w:r>
      <w:r>
        <w:rPr>
          <w:rFonts w:ascii="Arial" w:cs="Arial" w:eastAsia="Arial" w:hAnsi="Arial"/>
          <w:sz w:val="17"/>
          <w:szCs w:val="17"/>
          <w:color w:val="auto"/>
        </w:rPr>
        <w:t>. The Time of Sale Information, at the Time of Sale did not, and at the Closing Date and as of the Additional Closing Date,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or on behalf of any Underwriter expressly for use in such Time of Sale Information.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77" w:lineRule="exact"/>
        <w:rPr>
          <w:rFonts w:ascii="Arial" w:cs="Arial" w:eastAsia="Arial" w:hAnsi="Arial"/>
          <w:sz w:val="17"/>
          <w:szCs w:val="17"/>
          <w:color w:val="auto"/>
        </w:rPr>
      </w:pPr>
    </w:p>
    <w:p>
      <w:pPr>
        <w:ind w:right="320" w:firstLine="267"/>
        <w:spacing w:after="0" w:line="289" w:lineRule="auto"/>
        <w:tabs>
          <w:tab w:leader="none" w:pos="499"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Other than the Preliminary Prospectus and the Prospectus, the Company (including its agents and representatives,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the Underwriters in their capacity as such) has not made, used, prepared, authorized, approved or referred to 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50" w:name="page251"/>
    <w:bookmarkEnd w:id="250"/>
    <w:p>
      <w:pPr>
        <w:spacing w:after="0" w:line="278" w:lineRule="auto"/>
        <w:rPr>
          <w:sz w:val="20"/>
          <w:szCs w:val="20"/>
          <w:color w:val="auto"/>
        </w:rPr>
      </w:pPr>
      <w:r>
        <w:rPr>
          <w:rFonts w:ascii="Arial" w:cs="Arial" w:eastAsia="Arial" w:hAnsi="Arial"/>
          <w:sz w:val="16"/>
          <w:szCs w:val="16"/>
          <w:color w:val="auto"/>
        </w:rPr>
        <w:t xml:space="preserve">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B hereto and other written communications approved in writing in advance by the Representatives. Each such Issuer Free Writing Prospectus complied in all material respects with the Securities Act, has been filed in accordance with the Securities Act (to the extent required thereby) and, when taken together with the Preliminary Prospectus accompanying, or delivered prior to delivery of, such Issuer Free Writing Prospectus, did not, and at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each such Issuer Free Writing Prospectus in reliance upon and in conformity with information relating to any Underwriter furnished to the Company in writing by or on behalf of any Underwriter expressly for use in any Issuer Free Writing Prospectus.</w:t>
      </w:r>
    </w:p>
    <w:p>
      <w:pPr>
        <w:spacing w:after="0" w:line="65" w:lineRule="exact"/>
        <w:rPr>
          <w:sz w:val="20"/>
          <w:szCs w:val="20"/>
          <w:color w:val="auto"/>
        </w:rPr>
      </w:pPr>
    </w:p>
    <w:p>
      <w:pPr>
        <w:ind w:right="40" w:firstLine="267"/>
        <w:spacing w:after="0" w:line="278" w:lineRule="auto"/>
        <w:tabs>
          <w:tab w:leader="none" w:pos="509"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has been declared effective by the Commission. No order suspending the effectiveness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Registration Statement has been issued by the Commission and, to the knowledge of the Company, no proceeding for that purpose or pursuant to Section 8A of the Securities Act against the Company or related to the offering has been initiated or threatened by the Commission; as of the applicable effective date of the Registration Statement and any amendment thereto, the Registration Statement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or on behalf of any Underwriter expressly for use in the Registration Statement and the Prospectus and any amendment or supplement thereto.</w:t>
      </w:r>
    </w:p>
    <w:p>
      <w:pPr>
        <w:spacing w:after="0" w:line="65" w:lineRule="exact"/>
        <w:rPr>
          <w:rFonts w:ascii="Arial" w:cs="Arial" w:eastAsia="Arial" w:hAnsi="Arial"/>
          <w:sz w:val="16"/>
          <w:szCs w:val="16"/>
          <w:color w:val="auto"/>
        </w:rPr>
      </w:pPr>
    </w:p>
    <w:p>
      <w:pPr>
        <w:ind w:right="180" w:firstLine="267"/>
        <w:spacing w:after="0" w:line="285" w:lineRule="auto"/>
        <w:tabs>
          <w:tab w:leader="none" w:pos="499" w:val="left"/>
        </w:tabs>
        <w:numPr>
          <w:ilvl w:val="0"/>
          <w:numId w:val="15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The financial statements and the related notes thereto of the Company and its consolidated subsidiaries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Time of Sale Information and the Prospectus comply in all material respects with the applicable requirements of the Securities Act and the Securities Exchange Act of 1934, as amended, and the rules and regulations of the Commission thereunder (collectively, the “Exchange Act”), as applicable, and present fairly the financial position of the Company and its subsidiaries as of the dates indicated and the results of their operations and the changes in their cash flows for the periods specified; such financial statements have been prepared in conformity with generally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51" w:name="page252"/>
    <w:bookmarkEnd w:id="251"/>
    <w:p>
      <w:pPr>
        <w:spacing w:after="0" w:line="267" w:lineRule="auto"/>
        <w:rPr>
          <w:sz w:val="20"/>
          <w:szCs w:val="20"/>
          <w:color w:val="auto"/>
        </w:rPr>
      </w:pPr>
      <w:r>
        <w:rPr>
          <w:rFonts w:ascii="Arial" w:cs="Arial" w:eastAsia="Arial" w:hAnsi="Arial"/>
          <w:sz w:val="17"/>
          <w:szCs w:val="17"/>
          <w:color w:val="auto"/>
        </w:rPr>
        <w:t>accepted accounting principles applied on a consistent basis throughout the periods covered thereby, except in the case of unaudited financial statements, which are subject to normal year-end adjustments and do not contain certain footnotes as permitted by the applicable rules of the Commission; and the other historical financial information included in the Registration Statement, the Time of Sale Information and the Prospectus has been derived from the accounting records of the Company and its subsidiaries and presents fairly the information shown thereby.</w:t>
      </w:r>
    </w:p>
    <w:p>
      <w:pPr>
        <w:spacing w:after="0" w:line="73" w:lineRule="exact"/>
        <w:rPr>
          <w:sz w:val="20"/>
          <w:szCs w:val="20"/>
          <w:color w:val="auto"/>
        </w:rPr>
      </w:pPr>
    </w:p>
    <w:p>
      <w:pPr>
        <w:ind w:firstLine="267"/>
        <w:spacing w:after="0" w:line="277" w:lineRule="auto"/>
        <w:tabs>
          <w:tab w:leader="none" w:pos="480" w:val="left"/>
        </w:tabs>
        <w:numPr>
          <w:ilvl w:val="0"/>
          <w:numId w:val="159"/>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Since the date of the most recent financial statements of the Company included in the Registration Statement,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Sale Information and the Prospectus, except as disclosed therein or contemplated thereby, (i) except for the issuance of shares of Stock upon the exercise of outstanding options or under existing employee or director compensation or stock option plans and the grant of options or rights to purchase Stock under existing employee or director compensation or stock option plans, there has not been any change in the capital stock or increase in long-term debt of the Company or any of its subsidiaries, or any dividend or distribution of any kind declared, set aside for payment, paid or made by the Company on any class of capital stock, or any material adverse change or any development that would result in a material adverse change in the business, properties, management, financial position, stockholders’ equity or results of operations of the Company and its subsidiaries taken as a whole; (ii)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that is material to the Company and its subsidiaries taken as a whole, except in each case as otherwise disclosed in the Registration Statement, the Time of Sale Information and the Prospectus.</w:t>
      </w:r>
    </w:p>
    <w:p>
      <w:pPr>
        <w:spacing w:after="0" w:line="70" w:lineRule="exact"/>
        <w:rPr>
          <w:rFonts w:ascii="Arial" w:cs="Arial" w:eastAsia="Arial" w:hAnsi="Arial"/>
          <w:sz w:val="16"/>
          <w:szCs w:val="16"/>
          <w:color w:val="auto"/>
        </w:rPr>
      </w:pPr>
    </w:p>
    <w:p>
      <w:pPr>
        <w:ind w:right="80" w:firstLine="267"/>
        <w:spacing w:after="0" w:line="261" w:lineRule="auto"/>
        <w:tabs>
          <w:tab w:leader="none" w:pos="509"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subsidiaries have been duly organized and are validly existing and in good standing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corporate, or such other comparable, power and authority necessary to own or hold their respective properties and to conduct the businesses in which they are engaged, except where the failure to be so qualified or have such power or authority would not, individually or in the aggregate, have a material adverse effect on the business, properties, management, financial position, stockholders’ equity, results of operations or prospects of the Company and its subsidiaries taken as a whole (a “Material Adverse Effect”). The Company does not own or control, directly or indirectly, any corporation, association or other entity other than the subsidiaries listed in Exhibit 21.1 to the Registration Statement.</w:t>
      </w:r>
    </w:p>
    <w:p>
      <w:pPr>
        <w:spacing w:after="0" w:line="80" w:lineRule="exact"/>
        <w:rPr>
          <w:rFonts w:ascii="Arial" w:cs="Arial" w:eastAsia="Arial" w:hAnsi="Arial"/>
          <w:sz w:val="17"/>
          <w:szCs w:val="17"/>
          <w:color w:val="auto"/>
        </w:rPr>
      </w:pPr>
    </w:p>
    <w:p>
      <w:pPr>
        <w:ind w:right="40" w:firstLine="267"/>
        <w:spacing w:after="0" w:line="273" w:lineRule="auto"/>
        <w:tabs>
          <w:tab w:leader="none" w:pos="509" w:val="left"/>
        </w:tabs>
        <w:numPr>
          <w:ilvl w:val="0"/>
          <w:numId w:val="159"/>
        </w:numPr>
        <w:rPr>
          <w:rFonts w:ascii="Arial" w:cs="Arial" w:eastAsia="Arial" w:hAnsi="Arial"/>
          <w:sz w:val="17"/>
          <w:szCs w:val="17"/>
          <w:color w:val="auto"/>
        </w:rPr>
      </w:pPr>
      <w:r>
        <w:rPr>
          <w:rFonts w:ascii="Arial" w:cs="Arial" w:eastAsia="Arial" w:hAnsi="Arial"/>
          <w:sz w:val="17"/>
          <w:szCs w:val="17"/>
          <w:i w:val="1"/>
          <w:iCs w:val="1"/>
          <w:color w:val="auto"/>
        </w:rPr>
        <w:t xml:space="preserve">Capitalization. </w:t>
      </w:r>
      <w:r>
        <w:rPr>
          <w:rFonts w:ascii="Arial" w:cs="Arial" w:eastAsia="Arial" w:hAnsi="Arial"/>
          <w:sz w:val="17"/>
          <w:szCs w:val="17"/>
          <w:color w:val="auto"/>
        </w:rPr>
        <w:t>The Company has an authorized capitalization as set forth in the Registration Statement, the Time of Sale Information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heading “Capitalization;” all the outstanding shares of capital stock of the Company (including the Option Shares to be sold by the Selling Stockholders) have been duly and validly authorized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52" w:name="page253"/>
    <w:bookmarkEnd w:id="252"/>
    <w:p>
      <w:pPr>
        <w:ind w:right="20"/>
        <w:spacing w:after="0" w:line="279" w:lineRule="auto"/>
        <w:rPr>
          <w:sz w:val="20"/>
          <w:szCs w:val="20"/>
          <w:color w:val="auto"/>
        </w:rPr>
      </w:pPr>
      <w:r>
        <w:rPr>
          <w:rFonts w:ascii="Arial" w:cs="Arial" w:eastAsia="Arial" w:hAnsi="Arial"/>
          <w:sz w:val="16"/>
          <w:szCs w:val="16"/>
          <w:color w:val="auto"/>
        </w:rPr>
        <w:t>issued and are fully paid and non-assessable and are not subject to any pre-emptive or similar rights; except as described in or expressly contemplated by the Time of Sale Information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Time of Sale Information and the Prospectus; and all the outstanding shares of capital stock or other equity interests of each subsidiary of the Company have been duly and validly authorized and issued, are fully paid and non-assessable and except as otherwise described in the Registration Statement, the Time of Sale Information and the Prospectus are owned directly or indirectly by the Company, free and clear of any lien, charge, encumbrance, security interest, restriction on voting or transfer or any other claim of any third party.</w:t>
      </w:r>
    </w:p>
    <w:p>
      <w:pPr>
        <w:spacing w:after="0" w:line="65" w:lineRule="exact"/>
        <w:rPr>
          <w:sz w:val="20"/>
          <w:szCs w:val="20"/>
          <w:color w:val="auto"/>
        </w:rPr>
      </w:pPr>
    </w:p>
    <w:p>
      <w:pPr>
        <w:ind w:firstLine="267"/>
        <w:spacing w:after="0" w:line="273" w:lineRule="auto"/>
        <w:tabs>
          <w:tab w:leader="none" w:pos="470" w:val="left"/>
        </w:tabs>
        <w:numPr>
          <w:ilvl w:val="1"/>
          <w:numId w:val="160"/>
        </w:numPr>
        <w:rPr>
          <w:rFonts w:ascii="Arial" w:cs="Arial" w:eastAsia="Arial" w:hAnsi="Arial"/>
          <w:sz w:val="17"/>
          <w:szCs w:val="17"/>
          <w:color w:val="auto"/>
        </w:rPr>
      </w:pPr>
      <w:r>
        <w:rPr>
          <w:rFonts w:ascii="Arial" w:cs="Arial" w:eastAsia="Arial" w:hAnsi="Arial"/>
          <w:sz w:val="17"/>
          <w:szCs w:val="17"/>
          <w:i w:val="1"/>
          <w:iCs w:val="1"/>
          <w:color w:val="auto"/>
        </w:rPr>
        <w:t xml:space="preserve">Due Authorization. </w:t>
      </w:r>
      <w:r>
        <w:rPr>
          <w:rFonts w:ascii="Arial" w:cs="Arial" w:eastAsia="Arial" w:hAnsi="Arial"/>
          <w:sz w:val="17"/>
          <w:szCs w:val="17"/>
          <w:color w:val="auto"/>
        </w:rPr>
        <w:t>The Company has full right, power and authority to execute and deliver this Agreement and to perform its obligations hereunder;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action required to be taken for the due and proper authorization, execution and delivery by it of this Agreement and the consummation by it of the transactions contemplated hereby has been duly and validly taken.</w:t>
      </w:r>
    </w:p>
    <w:p>
      <w:pPr>
        <w:spacing w:after="0" w:line="66" w:lineRule="exact"/>
        <w:rPr>
          <w:rFonts w:ascii="Arial" w:cs="Arial" w:eastAsia="Arial" w:hAnsi="Arial"/>
          <w:sz w:val="17"/>
          <w:szCs w:val="17"/>
          <w:color w:val="auto"/>
        </w:rPr>
      </w:pPr>
    </w:p>
    <w:p>
      <w:pPr>
        <w:ind w:left="480" w:hanging="213"/>
        <w:spacing w:after="0"/>
        <w:tabs>
          <w:tab w:leader="none" w:pos="480" w:val="left"/>
        </w:tabs>
        <w:numPr>
          <w:ilvl w:val="1"/>
          <w:numId w:val="160"/>
        </w:numPr>
        <w:rPr>
          <w:rFonts w:ascii="Arial" w:cs="Arial" w:eastAsia="Arial" w:hAnsi="Arial"/>
          <w:sz w:val="17"/>
          <w:szCs w:val="17"/>
          <w:color w:val="auto"/>
        </w:rPr>
      </w:pPr>
      <w:r>
        <w:rPr>
          <w:rFonts w:ascii="Arial" w:cs="Arial" w:eastAsia="Arial" w:hAnsi="Arial"/>
          <w:sz w:val="17"/>
          <w:szCs w:val="17"/>
          <w:i w:val="1"/>
          <w:iCs w:val="1"/>
          <w:color w:val="auto"/>
        </w:rPr>
        <w:t xml:space="preserve">Underwriting Agreement. </w:t>
      </w:r>
      <w:r>
        <w:rPr>
          <w:rFonts w:ascii="Arial" w:cs="Arial" w:eastAsia="Arial" w:hAnsi="Arial"/>
          <w:sz w:val="17"/>
          <w:szCs w:val="17"/>
          <w:color w:val="auto"/>
        </w:rPr>
        <w:t>This Agreement has been duly authorized, executed and delivered by the Company.</w:t>
      </w:r>
    </w:p>
    <w:p>
      <w:pPr>
        <w:spacing w:after="0" w:line="118" w:lineRule="exact"/>
        <w:rPr>
          <w:rFonts w:ascii="Arial" w:cs="Arial" w:eastAsia="Arial" w:hAnsi="Arial"/>
          <w:sz w:val="17"/>
          <w:szCs w:val="17"/>
          <w:color w:val="auto"/>
        </w:rPr>
      </w:pPr>
    </w:p>
    <w:p>
      <w:pPr>
        <w:ind w:firstLine="267"/>
        <w:spacing w:after="0" w:line="278" w:lineRule="auto"/>
        <w:tabs>
          <w:tab w:leader="none" w:pos="509" w:val="left"/>
        </w:tabs>
        <w:numPr>
          <w:ilvl w:val="1"/>
          <w:numId w:val="160"/>
        </w:numPr>
        <w:rPr>
          <w:rFonts w:ascii="Arial" w:cs="Arial" w:eastAsia="Arial" w:hAnsi="Arial"/>
          <w:sz w:val="16"/>
          <w:szCs w:val="16"/>
          <w:color w:val="auto"/>
        </w:rPr>
      </w:pPr>
      <w:r>
        <w:rPr>
          <w:rFonts w:ascii="Arial" w:cs="Arial" w:eastAsia="Arial" w:hAnsi="Arial"/>
          <w:sz w:val="16"/>
          <w:szCs w:val="16"/>
          <w:i w:val="1"/>
          <w:iCs w:val="1"/>
          <w:color w:val="auto"/>
        </w:rPr>
        <w:t xml:space="preserve">The Shares. </w:t>
      </w:r>
      <w:r>
        <w:rPr>
          <w:rFonts w:ascii="Arial" w:cs="Arial" w:eastAsia="Arial" w:hAnsi="Arial"/>
          <w:sz w:val="16"/>
          <w:szCs w:val="16"/>
          <w:color w:val="auto"/>
        </w:rPr>
        <w:t>The Shares to be issued and sold by the Company hereunder have been duly authorized by the Company and, when issued and delivered and</w:t>
      </w:r>
      <w:r>
        <w:rPr>
          <w:rFonts w:ascii="Arial" w:cs="Arial" w:eastAsia="Arial" w:hAnsi="Arial"/>
          <w:sz w:val="16"/>
          <w:szCs w:val="16"/>
          <w:i w:val="1"/>
          <w:iCs w:val="1"/>
          <w:color w:val="auto"/>
        </w:rPr>
        <w:t xml:space="preserve"> </w:t>
      </w:r>
      <w:r>
        <w:rPr>
          <w:rFonts w:ascii="Arial" w:cs="Arial" w:eastAsia="Arial" w:hAnsi="Arial"/>
          <w:sz w:val="16"/>
          <w:szCs w:val="16"/>
          <w:color w:val="auto"/>
        </w:rPr>
        <w:t>paid for as provided herein, will be duly and validly issued and will be fully paid and nonassessable and will conform in all material respects to the descriptions thereof in the Time of Sale Information and the Prospectus; the issuance of the Shares is not subject to any pre-emptive or similar rights; the Rights Agreement has been duly authorized, executed and delivered by the Company and constitutes a valid and legally binding agreement of the Company enforceable against the Company in accordance with its terms, subject to applicable bankruptcy, insolvency, fraudulent conveyance, reorganization, moratorium or similar laws affecting the enforcement of creditors’ rights or remedies generally and by equitable principles relating to enforceability, including principles of commercial reasonableness, good faith and fair dealing (regardless of whether enforcement is sought in a proceeding at law or in equity) (collectively, the “Enforceability Exceptions”); the Rights have been duly authorized by the Company and, when issued upon issuance of the Shares, will be validly issued; and the shares of Series A Junior Participating Preferred Stock issuable upon exercise of the Rights have been duly authorized by the Company and validly reserved for issuance and, upon the exercise of the Rights in accordance with the terms of the Rights Agreement and when issued and delivered and paid for as provided in the Rights Agreement, will be validly issued, fully paid and non-assessable.</w:t>
      </w:r>
    </w:p>
    <w:p>
      <w:pPr>
        <w:spacing w:after="0" w:line="65" w:lineRule="exact"/>
        <w:rPr>
          <w:rFonts w:ascii="Arial" w:cs="Arial" w:eastAsia="Arial" w:hAnsi="Arial"/>
          <w:sz w:val="16"/>
          <w:szCs w:val="16"/>
          <w:color w:val="auto"/>
        </w:rPr>
      </w:pPr>
    </w:p>
    <w:p>
      <w:pPr>
        <w:ind w:left="480" w:hanging="213"/>
        <w:spacing w:after="0"/>
        <w:tabs>
          <w:tab w:leader="none" w:pos="480" w:val="left"/>
        </w:tabs>
        <w:numPr>
          <w:ilvl w:val="1"/>
          <w:numId w:val="160"/>
        </w:numPr>
        <w:rPr>
          <w:rFonts w:ascii="Arial" w:cs="Arial" w:eastAsia="Arial" w:hAnsi="Arial"/>
          <w:sz w:val="16"/>
          <w:szCs w:val="16"/>
          <w:color w:val="auto"/>
        </w:rPr>
      </w:pPr>
      <w:r>
        <w:rPr>
          <w:rFonts w:ascii="Arial" w:cs="Arial" w:eastAsia="Arial" w:hAnsi="Arial"/>
          <w:sz w:val="16"/>
          <w:szCs w:val="16"/>
          <w:i w:val="1"/>
          <w:iCs w:val="1"/>
          <w:color w:val="auto"/>
        </w:rPr>
        <w:t xml:space="preserve">No Violation or Default. </w:t>
      </w:r>
      <w:r>
        <w:rPr>
          <w:rFonts w:ascii="Arial" w:cs="Arial" w:eastAsia="Arial" w:hAnsi="Arial"/>
          <w:sz w:val="16"/>
          <w:szCs w:val="16"/>
          <w:color w:val="auto"/>
        </w:rPr>
        <w:t>Neither the Company nor any of its subsidiaries is (i) in violation of its charter or by-laws or similar organizational documents;</w:t>
      </w:r>
    </w:p>
    <w:p>
      <w:pPr>
        <w:spacing w:after="0" w:line="37" w:lineRule="exact"/>
        <w:rPr>
          <w:rFonts w:ascii="Arial" w:cs="Arial" w:eastAsia="Arial" w:hAnsi="Arial"/>
          <w:sz w:val="16"/>
          <w:szCs w:val="16"/>
          <w:color w:val="auto"/>
        </w:rPr>
      </w:pPr>
    </w:p>
    <w:p>
      <w:pPr>
        <w:ind w:right="240" w:firstLine="5"/>
        <w:spacing w:after="0" w:line="274" w:lineRule="auto"/>
        <w:tabs>
          <w:tab w:leader="none" w:pos="257"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in default, and no event has occurred that, with notice or lapse of time or both, would constitute such a default, in the due performance or observance of any term, covenant or condition contained in any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253" w:name="page254"/>
    <w:bookmarkEnd w:id="253"/>
    <w:p>
      <w:pPr>
        <w:spacing w:after="0" w:line="265" w:lineRule="auto"/>
        <w:rPr>
          <w:sz w:val="20"/>
          <w:szCs w:val="20"/>
          <w:color w:val="auto"/>
        </w:rPr>
      </w:pPr>
      <w:r>
        <w:rPr>
          <w:rFonts w:ascii="Arial" w:cs="Arial" w:eastAsia="Arial" w:hAnsi="Arial"/>
          <w:sz w:val="17"/>
          <w:szCs w:val="17"/>
          <w:color w:val="auto"/>
        </w:rPr>
        <w:t>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having jurisdiction over the Company or any of its subsidiaries, except, in the case of clauses (ii) and (iii) above, for any such default or violation that would not, individually or in the aggregate, have a Material Adverse Effect.</w:t>
      </w:r>
    </w:p>
    <w:p>
      <w:pPr>
        <w:spacing w:after="0" w:line="73" w:lineRule="exact"/>
        <w:rPr>
          <w:sz w:val="20"/>
          <w:szCs w:val="20"/>
          <w:color w:val="auto"/>
        </w:rPr>
      </w:pPr>
    </w:p>
    <w:p>
      <w:pPr>
        <w:ind w:right="20" w:firstLine="267"/>
        <w:spacing w:after="0" w:line="279" w:lineRule="auto"/>
        <w:tabs>
          <w:tab w:leader="none" w:pos="557"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each of this Agreement, the issuance by the Company of the Underwritten</w:t>
      </w:r>
      <w:r>
        <w:rPr>
          <w:rFonts w:ascii="Arial" w:cs="Arial" w:eastAsia="Arial" w:hAnsi="Arial"/>
          <w:sz w:val="16"/>
          <w:szCs w:val="16"/>
          <w:i w:val="1"/>
          <w:iCs w:val="1"/>
          <w:color w:val="auto"/>
        </w:rPr>
        <w:t xml:space="preserve"> </w:t>
      </w:r>
      <w:r>
        <w:rPr>
          <w:rFonts w:ascii="Arial" w:cs="Arial" w:eastAsia="Arial" w:hAnsi="Arial"/>
          <w:sz w:val="16"/>
          <w:szCs w:val="16"/>
          <w:color w:val="auto"/>
        </w:rPr>
        <w:t>Shares and the Rights and the consummation by the Company of the transactions contemplated by this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or any of its subsidiaries, except, in the case of clauses (i) and (iii) above, for any such conflict, breach or violation that would not, individually or in the aggregate, have a Material Adverse Effect.</w:t>
      </w:r>
    </w:p>
    <w:p>
      <w:pPr>
        <w:spacing w:after="0" w:line="65" w:lineRule="exact"/>
        <w:rPr>
          <w:rFonts w:ascii="Arial" w:cs="Arial" w:eastAsia="Arial" w:hAnsi="Arial"/>
          <w:sz w:val="16"/>
          <w:szCs w:val="16"/>
          <w:color w:val="auto"/>
        </w:rPr>
      </w:pPr>
    </w:p>
    <w:p>
      <w:pPr>
        <w:ind w:left="520" w:hanging="253"/>
        <w:spacing w:after="0"/>
        <w:tabs>
          <w:tab w:leader="none" w:pos="520" w:val="left"/>
        </w:tabs>
        <w:numPr>
          <w:ilvl w:val="0"/>
          <w:numId w:val="162"/>
        </w:numPr>
        <w:rPr>
          <w:rFonts w:ascii="Arial" w:cs="Arial" w:eastAsia="Arial" w:hAnsi="Arial"/>
          <w:sz w:val="16"/>
          <w:szCs w:val="16"/>
          <w:color w:val="auto"/>
        </w:rPr>
      </w:pPr>
      <w:r>
        <w:rPr>
          <w:rFonts w:ascii="Arial" w:cs="Arial" w:eastAsia="Arial" w:hAnsi="Arial"/>
          <w:sz w:val="16"/>
          <w:szCs w:val="16"/>
          <w:i w:val="1"/>
          <w:iCs w:val="1"/>
          <w:color w:val="auto"/>
        </w:rPr>
        <w:t xml:space="preserve">No Consents Required. </w:t>
      </w:r>
      <w:r>
        <w:rPr>
          <w:rFonts w:ascii="Arial" w:cs="Arial" w:eastAsia="Arial" w:hAnsi="Arial"/>
          <w:sz w:val="16"/>
          <w:szCs w:val="16"/>
          <w:color w:val="auto"/>
        </w:rPr>
        <w:t>No consent, approval, authorization, order, registration or qualification of or with any court or arbitrator or governmental or</w:t>
      </w:r>
    </w:p>
    <w:p>
      <w:pPr>
        <w:spacing w:after="0" w:line="37"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7"/>
          <w:szCs w:val="17"/>
          <w:color w:val="auto"/>
        </w:rPr>
        <w:t>regulatory authority is required for the execution, delivery and performance by the Company of this Agreement, the issuance by the Company of the Shares or the Rights and the consummation of the transactions contemplated by this Agreement, except for the registration of the Shares under the Securities Act and such consents, approvals, authorizations, orders and registrations or qualifications as have already been obtained or made or as may be required by the rules and regulations of the National Association of Securities Dealers, Inc. or the New York Stock Exchange or under applicable state securities laws in connection with the purchase and distribution of the Shares by the Underwriters.</w:t>
      </w:r>
    </w:p>
    <w:p>
      <w:pPr>
        <w:spacing w:after="0" w:line="77" w:lineRule="exact"/>
        <w:rPr>
          <w:rFonts w:ascii="Arial" w:cs="Arial" w:eastAsia="Arial" w:hAnsi="Arial"/>
          <w:sz w:val="16"/>
          <w:szCs w:val="16"/>
          <w:color w:val="auto"/>
        </w:rPr>
      </w:pPr>
    </w:p>
    <w:p>
      <w:pPr>
        <w:ind w:right="20" w:firstLine="267"/>
        <w:spacing w:after="0" w:line="302" w:lineRule="auto"/>
        <w:tabs>
          <w:tab w:leader="none" w:pos="509" w:val="left"/>
        </w:tabs>
        <w:numPr>
          <w:ilvl w:val="0"/>
          <w:numId w:val="162"/>
        </w:numPr>
        <w:rPr>
          <w:rFonts w:ascii="Arial" w:cs="Arial" w:eastAsia="Arial" w:hAnsi="Arial"/>
          <w:sz w:val="15"/>
          <w:szCs w:val="15"/>
          <w:color w:val="auto"/>
        </w:rPr>
      </w:pPr>
      <w:r>
        <w:rPr>
          <w:rFonts w:ascii="Arial" w:cs="Arial" w:eastAsia="Arial" w:hAnsi="Arial"/>
          <w:sz w:val="15"/>
          <w:szCs w:val="15"/>
          <w:i w:val="1"/>
          <w:iCs w:val="1"/>
          <w:color w:val="auto"/>
        </w:rPr>
        <w:t xml:space="preserve">Legal Proceedings. </w:t>
      </w:r>
      <w:r>
        <w:rPr>
          <w:rFonts w:ascii="Arial" w:cs="Arial" w:eastAsia="Arial" w:hAnsi="Arial"/>
          <w:sz w:val="15"/>
          <w:szCs w:val="15"/>
          <w:color w:val="auto"/>
        </w:rPr>
        <w:t>Except as described in the Registration Statement, the Time of Sale Information and the Prospectus, there are no legal, governmental or</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investigations, actions, suits or proceedings pending to which the Company or any of its subsidiaries is a party or to which any property of the Company or any of its subsidiaries is the subject that, individually or in the aggregate, if determined adversely to the Company or any of its subsidiaries could reasonably be expected to have a Material Adverse Effect or materially and adversely affect the ability of the Company to perform its obligations under this Agreement; to the knowledge of the Company, no such investigations, actions, suits or proceedings are threatened or contemplated by any governmental or regulatory authority or threatened by others; and (i) there are no current or pending legal, governmental or regulatory actions, suits or proceedings that are required under the Securities Act to be described in the Registration Statement that are not so described in the Registration Statement, the Time of Sale Information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54" w:name="page255"/>
    <w:bookmarkEnd w:id="254"/>
    <w:p>
      <w:pPr>
        <w:ind w:right="20"/>
        <w:spacing w:after="0" w:line="273" w:lineRule="auto"/>
        <w:rPr>
          <w:sz w:val="20"/>
          <w:szCs w:val="20"/>
          <w:color w:val="auto"/>
        </w:rPr>
      </w:pPr>
      <w:r>
        <w:rPr>
          <w:rFonts w:ascii="Arial" w:cs="Arial" w:eastAsia="Arial" w:hAnsi="Arial"/>
          <w:sz w:val="17"/>
          <w:szCs w:val="17"/>
          <w:color w:val="auto"/>
        </w:rPr>
        <w:t>and the Prospectus and (ii) there are no statutes, regulations or contracts or other documents that are required under the Securities Act to be filed as exhibits to the Registration Statement or described in the Registration Statement or the Prospectus that are not so filed as exhibits to the Registration Statement or described in the Registration Statement, the Time of Sale Information and the Prospectus.</w:t>
      </w:r>
    </w:p>
    <w:p>
      <w:pPr>
        <w:spacing w:after="0" w:line="66" w:lineRule="exact"/>
        <w:rPr>
          <w:sz w:val="20"/>
          <w:szCs w:val="20"/>
          <w:color w:val="auto"/>
        </w:rPr>
      </w:pPr>
    </w:p>
    <w:p>
      <w:pPr>
        <w:ind w:right="120" w:firstLine="267"/>
        <w:spacing w:after="0" w:line="273" w:lineRule="auto"/>
        <w:tabs>
          <w:tab w:leader="none" w:pos="509" w:val="left"/>
        </w:tabs>
        <w:numPr>
          <w:ilvl w:val="0"/>
          <w:numId w:val="163"/>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Ernst &amp; Young LLP, who have certified certain financial statements of the Company and its subsidiaries, are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with respect to the Company and its subsidiaries within the applicable rules and regulations adopted by the Commission and the Public Accounting Oversight Board (United States) and as required by the Securities Act.</w:t>
      </w:r>
    </w:p>
    <w:p>
      <w:pPr>
        <w:spacing w:after="0" w:line="66" w:lineRule="exact"/>
        <w:rPr>
          <w:rFonts w:ascii="Arial" w:cs="Arial" w:eastAsia="Arial" w:hAnsi="Arial"/>
          <w:sz w:val="17"/>
          <w:szCs w:val="17"/>
          <w:color w:val="auto"/>
        </w:rPr>
      </w:pPr>
    </w:p>
    <w:p>
      <w:pPr>
        <w:ind w:firstLine="267"/>
        <w:spacing w:after="0" w:line="285" w:lineRule="auto"/>
        <w:tabs>
          <w:tab w:leader="none" w:pos="509"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 xml:space="preserve">Title to Real and Personal Property. </w:t>
      </w:r>
      <w:r>
        <w:rPr>
          <w:rFonts w:ascii="Arial" w:cs="Arial" w:eastAsia="Arial" w:hAnsi="Arial"/>
          <w:sz w:val="16"/>
          <w:szCs w:val="16"/>
          <w:color w:val="auto"/>
        </w:rPr>
        <w:t>Except as described in or expressly contemplated by the Registration Statement, the Time of Sale Information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Company and its subsidiaries have good and marketable title in fee simple to, or have valid rights to lease or otherwise use, all items of real and personal property that are material to each of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would not reasonably be expected, individually or in the aggregate, to have a Material Adverse Effect.</w:t>
      </w:r>
    </w:p>
    <w:p>
      <w:pPr>
        <w:spacing w:after="0" w:line="59" w:lineRule="exact"/>
        <w:rPr>
          <w:rFonts w:ascii="Arial" w:cs="Arial" w:eastAsia="Arial" w:hAnsi="Arial"/>
          <w:sz w:val="16"/>
          <w:szCs w:val="16"/>
          <w:color w:val="auto"/>
        </w:rPr>
      </w:pPr>
    </w:p>
    <w:p>
      <w:pPr>
        <w:ind w:right="80" w:firstLine="267"/>
        <w:spacing w:after="0" w:line="277" w:lineRule="auto"/>
        <w:tabs>
          <w:tab w:leader="none" w:pos="480"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Possession of Intellectual Property</w:t>
      </w:r>
      <w:r>
        <w:rPr>
          <w:rFonts w:ascii="Arial" w:cs="Arial" w:eastAsia="Arial" w:hAnsi="Arial"/>
          <w:sz w:val="16"/>
          <w:szCs w:val="16"/>
          <w:color w:val="auto"/>
        </w:rPr>
        <w:t>. Except as described in or expressly contemplated by the Registration Statement, the Time of Sale Information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 Company owns or has valid, binding and enforceable licenses or other rights to use the Company Intellectual Property (as defined below), subject to the Enforceability Exceptions, and neither the Company nor any of its subsidiaries is obligated to pay a material royalty, grant a material license, or provide other material consideration to any third party in connection with the Company Intellectual Property. Except as described in the Registration Statement, the Time of Sale Information and the Prospectus or as would not reasonably be expected to have a Material Adverse Effect, (i) the Company has not received any written notice of any infringement with respect to the Company Intellectual Property or with respect to the Company’s products or processes described in the Registration Statement, the Time of Sale Information and the Prospectus, (ii) the discoveries, inventions, products or processes of the Company and its subsidiaries referred to in the Prospectus do not, to the knowledge of the Company, infringe or interfere with any patent claim of any third party and (iii) no third party has any ownership right in or to any Company Intellectual Property that is owned by the Company, other than any co-owner of any patent or patent application constituting Company Intellectual Property who is listed on the records of the U.S. Patent and Trademark Office (the “PTO”), and, to the knowledge of the Company, no third party has any ownership right in or to any Company Intellectual Property that is exclusively licensed to the Company, other than any licensor of the Company of such Company Intellectual Property. For purposes of this Agreement, “Intellectual Property” means patents, patent applications, copyrights, trade secrets, trademarks, service marks and trade names, and “Company Intellectual Property” means Intellectual Property reasonably necessary to conduct the business of the Company as described in the Prospectus.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55" w:name="page256"/>
    <w:bookmarkEnd w:id="255"/>
    <w:p>
      <w:pPr>
        <w:ind w:firstLine="267"/>
        <w:spacing w:after="0" w:line="261" w:lineRule="auto"/>
        <w:tabs>
          <w:tab w:leader="none" w:pos="489" w:val="left"/>
        </w:tabs>
        <w:numPr>
          <w:ilvl w:val="1"/>
          <w:numId w:val="164"/>
        </w:numPr>
        <w:rPr>
          <w:rFonts w:ascii="Arial" w:cs="Arial" w:eastAsia="Arial" w:hAnsi="Arial"/>
          <w:sz w:val="17"/>
          <w:szCs w:val="17"/>
          <w:color w:val="auto"/>
        </w:rPr>
      </w:pPr>
      <w:r>
        <w:rPr>
          <w:rFonts w:ascii="Arial" w:cs="Arial" w:eastAsia="Arial" w:hAnsi="Arial"/>
          <w:sz w:val="17"/>
          <w:szCs w:val="17"/>
          <w:i w:val="1"/>
          <w:iCs w:val="1"/>
          <w:color w:val="auto"/>
        </w:rPr>
        <w:t xml:space="preserve">PTO Matters. </w:t>
      </w:r>
      <w:r>
        <w:rPr>
          <w:rFonts w:ascii="Arial" w:cs="Arial" w:eastAsia="Arial" w:hAnsi="Arial"/>
          <w:sz w:val="17"/>
          <w:szCs w:val="17"/>
          <w:color w:val="auto"/>
        </w:rPr>
        <w:t>The Company has duly and properly filed or caused to be filed with the PTO and applicable foreign and international patent authorities all</w:t>
      </w:r>
      <w:r>
        <w:rPr>
          <w:rFonts w:ascii="Arial" w:cs="Arial" w:eastAsia="Arial" w:hAnsi="Arial"/>
          <w:sz w:val="17"/>
          <w:szCs w:val="17"/>
          <w:i w:val="1"/>
          <w:iCs w:val="1"/>
          <w:color w:val="auto"/>
        </w:rPr>
        <w:t xml:space="preserve"> </w:t>
      </w:r>
      <w:r>
        <w:rPr>
          <w:rFonts w:ascii="Arial" w:cs="Arial" w:eastAsia="Arial" w:hAnsi="Arial"/>
          <w:sz w:val="17"/>
          <w:szCs w:val="17"/>
          <w:color w:val="auto"/>
        </w:rPr>
        <w:t>patent applications owned by the Company (the “Company Patent Applications”). To the knowledge of the Company, the Company has complied with the PTO’s duty of candor and disclosure and best mode requirement for the Company Patent Applications and has made no material misrepresentation in the Company Patent Applications. To the knowledge of the Company, the Company has complied with the relevant foreign filing requirements underlying patentability and enforceability of any resultant patents for the Company Patent Applications pending in countries outside the United States. The Company is not aware of any information material to a determination of patentability regarding the Company Patent Applications not called to the attention of the PTO or similar foreign authority. The Company is not aware of any information not called to the attention of the PTO or similar foreign authority which would preclude the grant of a patent for the Company Patent Applications. The Company has no knowledge of any information which would preclude the Company from having clear title to the Company Patent Applications.</w:t>
      </w:r>
    </w:p>
    <w:p>
      <w:pPr>
        <w:spacing w:after="0" w:line="77" w:lineRule="exact"/>
        <w:rPr>
          <w:rFonts w:ascii="Arial" w:cs="Arial" w:eastAsia="Arial" w:hAnsi="Arial"/>
          <w:sz w:val="17"/>
          <w:szCs w:val="17"/>
          <w:color w:val="auto"/>
        </w:rPr>
      </w:pPr>
    </w:p>
    <w:p>
      <w:pPr>
        <w:ind w:firstLine="267"/>
        <w:spacing w:after="0" w:line="293" w:lineRule="auto"/>
        <w:tabs>
          <w:tab w:leader="none" w:pos="470" w:val="left"/>
        </w:tabs>
        <w:numPr>
          <w:ilvl w:val="1"/>
          <w:numId w:val="164"/>
        </w:numPr>
        <w:rPr>
          <w:rFonts w:ascii="Arial" w:cs="Arial" w:eastAsia="Arial" w:hAnsi="Arial"/>
          <w:sz w:val="15"/>
          <w:szCs w:val="15"/>
          <w:color w:val="auto"/>
        </w:rPr>
      </w:pPr>
      <w:r>
        <w:rPr>
          <w:rFonts w:ascii="Arial" w:cs="Arial" w:eastAsia="Arial" w:hAnsi="Arial"/>
          <w:sz w:val="15"/>
          <w:szCs w:val="15"/>
          <w:i w:val="1"/>
          <w:iCs w:val="1"/>
          <w:color w:val="auto"/>
        </w:rPr>
        <w:t>Government Contracts and Government Bids</w:t>
      </w:r>
      <w:r>
        <w:rPr>
          <w:rFonts w:ascii="Arial" w:cs="Arial" w:eastAsia="Arial" w:hAnsi="Arial"/>
          <w:sz w:val="15"/>
          <w:szCs w:val="15"/>
          <w:color w:val="auto"/>
        </w:rPr>
        <w:t>. With respect to any Government Bid or Government Contract (in each case, as defined below) to which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or any of its Subsidiaries are a party, except as described in the Registration Statement, the Time of Sale Information and the Prospectus or as would not have a Material Adverse Effect, the Company and its subsidiaries have: (i) with full authority, duly and properly entered into such Government Contracts, and fully and completely complied in all material respects with the terms and conditions of such Government Contracts; (ii) in soliciting, submitting or entering into such Government Bid or Government Contract, and in all documentation associated with entering into such Government Bid or Government Contract, not knowingly made any false, incomplete or misleading statements, certifications or representations; (iii) in soliciting, submitting or entering into such Government Bid or Government Contract, and in all activities associated with entering into or performing under such Government Bid or Government Contract, to the knowledge of the Company, complied in all material respects with all applicable laws, regulations or agreements pertaining to such Government Bid or Government Contract;</w:t>
      </w:r>
    </w:p>
    <w:p>
      <w:pPr>
        <w:spacing w:after="0" w:line="3" w:lineRule="exact"/>
        <w:rPr>
          <w:rFonts w:ascii="Arial" w:cs="Arial" w:eastAsia="Arial" w:hAnsi="Arial"/>
          <w:sz w:val="15"/>
          <w:szCs w:val="15"/>
          <w:color w:val="auto"/>
        </w:rPr>
      </w:pPr>
    </w:p>
    <w:p>
      <w:pPr>
        <w:ind w:right="20" w:firstLine="5"/>
        <w:spacing w:after="0" w:line="291" w:lineRule="auto"/>
        <w:tabs>
          <w:tab w:leader="none" w:pos="296" w:val="left"/>
        </w:tabs>
        <w:numPr>
          <w:ilvl w:val="0"/>
          <w:numId w:val="165"/>
        </w:numPr>
        <w:rPr>
          <w:rFonts w:ascii="Arial" w:cs="Arial" w:eastAsia="Arial" w:hAnsi="Arial"/>
          <w:sz w:val="15"/>
          <w:szCs w:val="15"/>
          <w:color w:val="auto"/>
        </w:rPr>
      </w:pPr>
      <w:r>
        <w:rPr>
          <w:rFonts w:ascii="Arial" w:cs="Arial" w:eastAsia="Arial" w:hAnsi="Arial"/>
          <w:sz w:val="15"/>
          <w:szCs w:val="15"/>
          <w:color w:val="auto"/>
        </w:rPr>
        <w:t>not been notified in writing by any governmental entity, prime contractor, subcontractor or other person that the Company or any of its subsidiaries is in material breach or default of any material obligation, agreement, certification, covenant or condition contained in any Government Contract, or breached or violated in any material respect any applicable law or regulation pertaining to such Government Contract; (v) not been notified in writing that it is the subject of a governmental investigation or audit, which remains ongoing or pending; (vi) not been notified in writing of any material cost, billing, schedule, technical or quality problems that would reasonably be expected to result in claims against the Company or any of its subsidiaries as a result of any violation or breach of any Government Contract (vii) not conducted or initiated any internal investigation, inspection or audit, or, to the Company’s or any of its subsidiaries’ knowledge, had reason to conduct, initiate or report any internal investigation, inspection or audit or made a voluntary disclosure to a government or regulatory agency, with respect to any alleged irregularity, misstatement, or acts committed or acts of omission in violation or breach of a Government Bid or Government Contract, nor, to the knowledge of the Company, are there any facts or circumstances that would reasonably be expected to give rise to such an investigation, inspection or audit;</w:t>
      </w:r>
    </w:p>
    <w:p>
      <w:pPr>
        <w:spacing w:after="0" w:line="3" w:lineRule="exact"/>
        <w:rPr>
          <w:rFonts w:ascii="Arial" w:cs="Arial" w:eastAsia="Arial" w:hAnsi="Arial"/>
          <w:sz w:val="15"/>
          <w:szCs w:val="15"/>
          <w:color w:val="auto"/>
        </w:rPr>
      </w:pPr>
    </w:p>
    <w:p>
      <w:pPr>
        <w:ind w:right="160" w:firstLine="5"/>
        <w:spacing w:after="0" w:line="274" w:lineRule="auto"/>
        <w:tabs>
          <w:tab w:leader="none" w:pos="39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 been notified in writing of any intent to terminate, or any termination for convenience or termination for default with respect to a Government Contract, or received any written notifications to show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56" w:name="page257"/>
    <w:bookmarkEnd w:id="256"/>
    <w:p>
      <w:pPr>
        <w:spacing w:after="0" w:line="277" w:lineRule="auto"/>
        <w:rPr>
          <w:sz w:val="20"/>
          <w:szCs w:val="20"/>
          <w:color w:val="auto"/>
        </w:rPr>
      </w:pPr>
      <w:r>
        <w:rPr>
          <w:rFonts w:ascii="Arial" w:cs="Arial" w:eastAsia="Arial" w:hAnsi="Arial"/>
          <w:sz w:val="16"/>
          <w:szCs w:val="16"/>
          <w:color w:val="auto"/>
        </w:rPr>
        <w:t>cause, cure, deficiency, default or similar notices relating to such Government Contract; (ix) not been notified in writing of any bid or award protest proceedings arising under or related to a Government Bid or Government Contract; (x) not been notified in writing that any money due to the Company pertaining to a Government Contract has been withheld or set off; (xi) not been notified in writing that the Company or any of its subsidiaries is being suspended or debarred from Government Bids or Government Contracts; and (xii) not been notified in writing of any material claims against the Company or any of its subsidiaries, which remain outstanding or pending, brought against the Company as a result of any violation or breach of any Government Bid or Government Contract. As used herein, “Government Bid” means, with respect to the Company or any subsidiary of the Company, any firm quotation, bid or proposal made by the Company, which if accepted or awarded, would lead to a Government Contract. “Government Contract” means, with respect to the Company or any subsidiary, any contract, including any prime contract, subcontract, facility contract, services contract, teaming agreement or arrangement, joint venture, basic ordering agreement, letter contract, purchase order, delivery order, change order or other contractual arrangement of any kind, between the Company or any subsidiary and (1) the United States federal government or the national government of any foreign country (acting on its own behalf or on behalf of another country or international organization), (2) any prime contractor of the United States federal government or the national government of any foreign country, but only with respect to a contract between such prime contractor and the United States federal government or the national government of any foreign country, or (3) any subcontractor with respect to any contract of a type described in clauses (1) or (2) above.</w:t>
      </w:r>
    </w:p>
    <w:p>
      <w:pPr>
        <w:spacing w:after="0" w:line="68" w:lineRule="exact"/>
        <w:rPr>
          <w:sz w:val="20"/>
          <w:szCs w:val="20"/>
          <w:color w:val="auto"/>
        </w:rPr>
      </w:pPr>
    </w:p>
    <w:p>
      <w:pPr>
        <w:ind w:right="40" w:firstLine="267"/>
        <w:spacing w:after="0" w:line="297" w:lineRule="auto"/>
        <w:tabs>
          <w:tab w:leader="none" w:pos="509" w:val="left"/>
        </w:tabs>
        <w:numPr>
          <w:ilvl w:val="0"/>
          <w:numId w:val="167"/>
        </w:numPr>
        <w:rPr>
          <w:rFonts w:ascii="Arial" w:cs="Arial" w:eastAsia="Arial" w:hAnsi="Arial"/>
          <w:sz w:val="16"/>
          <w:szCs w:val="16"/>
          <w:color w:val="auto"/>
        </w:rPr>
      </w:pPr>
      <w:r>
        <w:rPr>
          <w:rFonts w:ascii="Arial" w:cs="Arial" w:eastAsia="Arial" w:hAnsi="Arial"/>
          <w:sz w:val="16"/>
          <w:szCs w:val="16"/>
          <w:i w:val="1"/>
          <w:iCs w:val="1"/>
          <w:color w:val="auto"/>
        </w:rPr>
        <w:t xml:space="preserve">No Undisclosed Relationships. </w:t>
      </w:r>
      <w:r>
        <w:rPr>
          <w:rFonts w:ascii="Arial" w:cs="Arial" w:eastAsia="Arial" w:hAnsi="Arial"/>
          <w:sz w:val="16"/>
          <w:szCs w:val="16"/>
          <w:color w:val="auto"/>
        </w:rPr>
        <w:t>No relationship, direct or indirect, exists between or among the Company or any of its subsidiaries, on the one hand,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stockholders, customers or suppliers of the Company or any of its subsidiaries, on the other, that is required by the Securities Act to be described in the Registration Statement and the Prospectus and that is not so described in such documents and in the Time of Sale Information.</w:t>
      </w:r>
    </w:p>
    <w:p>
      <w:pPr>
        <w:spacing w:after="0" w:line="50" w:lineRule="exact"/>
        <w:rPr>
          <w:rFonts w:ascii="Arial" w:cs="Arial" w:eastAsia="Arial" w:hAnsi="Arial"/>
          <w:sz w:val="16"/>
          <w:szCs w:val="16"/>
          <w:color w:val="auto"/>
        </w:rPr>
      </w:pPr>
    </w:p>
    <w:p>
      <w:pPr>
        <w:ind w:right="120" w:firstLine="267"/>
        <w:spacing w:after="0" w:line="267" w:lineRule="auto"/>
        <w:tabs>
          <w:tab w:leader="none" w:pos="509"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Investment Company Act. </w:t>
      </w:r>
      <w:r>
        <w:rPr>
          <w:rFonts w:ascii="Arial" w:cs="Arial" w:eastAsia="Arial" w:hAnsi="Arial"/>
          <w:sz w:val="17"/>
          <w:szCs w:val="17"/>
          <w:color w:val="auto"/>
        </w:rPr>
        <w:t>The Company is not and, after giving effect to the offering and sale of the Shares and the application of the proceeds thereof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the Registration Statement, the Time of Sale Information and the Prospectus, will not be required to register as an “investment company” or an entity “controlled” by an “investment company” within the meaning of the Investment Company Act of 1940, as amended, and the rules and regulations of the Commission thereunder (collectively, “Investment Company Act”).</w:t>
      </w:r>
    </w:p>
    <w:p>
      <w:pPr>
        <w:spacing w:after="0" w:line="72" w:lineRule="exact"/>
        <w:rPr>
          <w:rFonts w:ascii="Arial" w:cs="Arial" w:eastAsia="Arial" w:hAnsi="Arial"/>
          <w:sz w:val="17"/>
          <w:szCs w:val="17"/>
          <w:color w:val="auto"/>
        </w:rPr>
      </w:pPr>
    </w:p>
    <w:p>
      <w:pPr>
        <w:ind w:right="180" w:firstLine="267"/>
        <w:spacing w:after="0" w:line="265" w:lineRule="auto"/>
        <w:tabs>
          <w:tab w:leader="none" w:pos="547"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Taxes. </w:t>
      </w:r>
      <w:r>
        <w:rPr>
          <w:rFonts w:ascii="Arial" w:cs="Arial" w:eastAsia="Arial" w:hAnsi="Arial"/>
          <w:sz w:val="17"/>
          <w:szCs w:val="17"/>
          <w:color w:val="auto"/>
        </w:rPr>
        <w:t>The Company and its subsidiaries have filed all federal, state, local and foreign tax returns required to be filed through the date hereof and paid all</w:t>
      </w:r>
      <w:r>
        <w:rPr>
          <w:rFonts w:ascii="Arial" w:cs="Arial" w:eastAsia="Arial" w:hAnsi="Arial"/>
          <w:sz w:val="17"/>
          <w:szCs w:val="17"/>
          <w:i w:val="1"/>
          <w:iCs w:val="1"/>
          <w:color w:val="auto"/>
        </w:rPr>
        <w:t xml:space="preserve"> </w:t>
      </w:r>
      <w:r>
        <w:rPr>
          <w:rFonts w:ascii="Arial" w:cs="Arial" w:eastAsia="Arial" w:hAnsi="Arial"/>
          <w:sz w:val="17"/>
          <w:szCs w:val="17"/>
          <w:color w:val="auto"/>
        </w:rPr>
        <w:t>taxes shown as due thereon, except for taxes being contested in good faith, in each case, except as would not have a Material Adverse Effect; and, except as otherwise disclosed in the Registration Statement, the Time of Sale Information and the Prospectus, there is no tax deficiency that has been, or would reasonably be expected to be, asserted against the Company or any of its subsidiaries or any of their respective properties or assets, in each case, except as would not have a Material Adverse Effect.</w:t>
      </w:r>
    </w:p>
    <w:p>
      <w:pPr>
        <w:spacing w:after="0" w:line="73" w:lineRule="exact"/>
        <w:rPr>
          <w:rFonts w:ascii="Arial" w:cs="Arial" w:eastAsia="Arial" w:hAnsi="Arial"/>
          <w:sz w:val="17"/>
          <w:szCs w:val="17"/>
          <w:color w:val="auto"/>
        </w:rPr>
      </w:pPr>
    </w:p>
    <w:p>
      <w:pPr>
        <w:ind w:right="700" w:firstLine="267"/>
        <w:spacing w:after="0" w:line="289" w:lineRule="auto"/>
        <w:tabs>
          <w:tab w:leader="none" w:pos="509" w:val="left"/>
        </w:tabs>
        <w:numPr>
          <w:ilvl w:val="0"/>
          <w:numId w:val="167"/>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such permits, licenses, approvals, consents and other authorizations (collectively,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Licenses”)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57" w:name="page258"/>
    <w:bookmarkEnd w:id="257"/>
    <w:p>
      <w:pPr>
        <w:spacing w:after="0" w:line="294" w:lineRule="auto"/>
        <w:rPr>
          <w:sz w:val="20"/>
          <w:szCs w:val="20"/>
          <w:color w:val="auto"/>
        </w:rPr>
      </w:pPr>
      <w:r>
        <w:rPr>
          <w:rFonts w:ascii="Arial" w:cs="Arial" w:eastAsia="Arial" w:hAnsi="Arial"/>
          <w:sz w:val="15"/>
          <w:szCs w:val="15"/>
          <w:color w:val="auto"/>
        </w:rPr>
        <w:t>issued by the appropriate federal, state, local or foreign regulatory agencies or bodies necessary to conduct the business of the Company as described in the Prospectus, including without limitation, all such registrations, approvals, certificates, authorizations and permits required by the United States Food and Drug Administration (the “FDA”) or any other federal, state, local or foreign agencies or bodies engaged in the regulation of clinical trials, pharmaceuticals, biologics or biohazardous substances or materials (“Governmental Regulatory Authority”), except where the failure so to possess would not, singly or in the aggregate, have a Material Adverse Effect. Neither the Company nor any Subsidiaries have received any notice of proceedings relating to the revocation or modification of any such Governmental Licenses, which, singly or in the aggregate, would have a Material Adverse Effect. The Company has not failed to submit to the FDA an Investigational New Drug Application that is required for a clinical trial it is conducting or sponsoring, except where such failure would not, singly or in the aggregate, have a Material Adverse Effect; all such submissions were in material compliance with applicable laws when submitted and no material deficiencies have been asserted by the FDA with respect to any such submissions, except any deficiencies which would not, singly or in the aggregate, have a Material Adverse Effect. Except as described in the Registration Statement, the Time of Sale Information and the Prospectus, the Company has not received from the FDA or any other Governmental Regulatory Authority any notice of adverse findings, notice of violations, Warning Letter, criminal proceeding notice under Section 305 of the Federal Food, Drug, and Cosmetic Act, or other similar communication from the FDA or other Governmental Authority alleging or asserting material noncompliance with applicable law or any Governmental Licenses, which remain outstanding or pending, and there are no seizures, recalls, market withdrawals, field notifications, notifications of misbranding or adulteration, safety alerts or similar actions relating to the safety or efficacy of the Company’s products being conducted, requested in writing or, to the knowledge of the Company, threatened by the FDA or other Governmental Authority relating to the products sold by the Company. Except as described in the Registration Statement, the Time of Sale Information and the Prospectus, since the FDA approval of a supplement to the Company’s manufacturing facility license for BioThrax in December 2001, the Company has not, either voluntarily or involuntarily, initiated, conducted, or issued or caused to be initiated, conducted or issued, any recall, market withdrawal, safety alert or other similar notice or action relating to the alleged lack of safety or efficacy of any of the Company’s products or any alleged product defect or violation, and the Company has no knowledge that any Governmental Authority has initiated, conducted or intends to initiate any such notice or action. Since the FDA approval of a supplement to the Company’s manufacturing facility license for BioThrax in December 2001, except as described in the Registration Statement, the Time of Sale Information and the Prospectus, the Company has not received notice of any proceeding seeking recall, suspension or seizure of any products being sold or intended to be sold by the Company.</w:t>
      </w:r>
    </w:p>
    <w:p>
      <w:pPr>
        <w:spacing w:after="0" w:line="277" w:lineRule="exact"/>
        <w:rPr>
          <w:sz w:val="20"/>
          <w:szCs w:val="20"/>
          <w:color w:val="auto"/>
        </w:rPr>
      </w:pPr>
    </w:p>
    <w:p>
      <w:pPr>
        <w:ind w:right="120" w:firstLine="267"/>
        <w:spacing w:after="0" w:line="263" w:lineRule="auto"/>
        <w:tabs>
          <w:tab w:leader="none" w:pos="509" w:val="left"/>
        </w:tabs>
        <w:numPr>
          <w:ilvl w:val="0"/>
          <w:numId w:val="168"/>
        </w:numPr>
        <w:rPr>
          <w:rFonts w:ascii="Arial" w:cs="Arial" w:eastAsia="Arial" w:hAnsi="Arial"/>
          <w:sz w:val="17"/>
          <w:szCs w:val="17"/>
          <w:color w:val="auto"/>
        </w:rPr>
      </w:pPr>
      <w:r>
        <w:rPr>
          <w:rFonts w:ascii="Arial" w:cs="Arial" w:eastAsia="Arial" w:hAnsi="Arial"/>
          <w:sz w:val="17"/>
          <w:szCs w:val="17"/>
          <w:i w:val="1"/>
          <w:iCs w:val="1"/>
          <w:color w:val="auto"/>
        </w:rPr>
        <w:t>Tests and Preclinical and Clinical Studies</w:t>
      </w:r>
      <w:r>
        <w:rPr>
          <w:rFonts w:ascii="Arial" w:cs="Arial" w:eastAsia="Arial" w:hAnsi="Arial"/>
          <w:sz w:val="17"/>
          <w:szCs w:val="17"/>
          <w:color w:val="auto"/>
        </w:rPr>
        <w:t>. The tests and preclinical and clinical studies conducted by or, to the Company’s knowledge, on behalf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that are described in the Registration Statement and the Prospectus were and, if still pending, are being, conducted, where applicable, in all material respects in accordance with the protocols submitted to the FDA or any foreign government exercising comparable authority, procedures and controls pursuant to, where applicable, accepted professional and scientific standards for products or product candidates comparable to those being developed by the Company; the descriptions of the tests and preclinical and clinical studies, and results thereof, conducted by or, to the Company’s knowledge, on behalf of the Company contained in the Registration Statement and the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258" w:name="page259"/>
    <w:bookmarkEnd w:id="258"/>
    <w:p>
      <w:pPr>
        <w:ind w:right="160"/>
        <w:spacing w:after="0" w:line="281" w:lineRule="auto"/>
        <w:rPr>
          <w:sz w:val="20"/>
          <w:szCs w:val="20"/>
          <w:color w:val="auto"/>
        </w:rPr>
      </w:pPr>
      <w:r>
        <w:rPr>
          <w:rFonts w:ascii="Arial" w:cs="Arial" w:eastAsia="Arial" w:hAnsi="Arial"/>
          <w:sz w:val="16"/>
          <w:szCs w:val="16"/>
          <w:color w:val="auto"/>
        </w:rPr>
        <w:t>Prospectus do not contain any misstatement of a material fact or omit to state a material fact necessary to make such statements, in the light of the circumstances under which they were made, not misleading; the Company is not aware of any other trials, studies or tests not described in the Registration Statement and the Prospectus, the results of which reasonably call into question the results described in the Registration Statement and the Prospectus; and the Company has not received any written notice or correspondence from the FDA or any foreign, state or local governmental body exercising comparable authority requiring the termination, suspension, or clinical hold of any tests or preclinical or clinical studies, or such written notice or, where applicable, correspondence from any Institutional Review Board or comparable authority requiring the termination or suspension of a clinical study, conducted by or on behalf of the Company, which termination, suspension, or clinical hold would reasonably be expected to have a Material Adverse Effect.</w:t>
      </w:r>
    </w:p>
    <w:p>
      <w:pPr>
        <w:spacing w:after="0" w:line="63" w:lineRule="exact"/>
        <w:rPr>
          <w:sz w:val="20"/>
          <w:szCs w:val="20"/>
          <w:color w:val="auto"/>
        </w:rPr>
      </w:pPr>
    </w:p>
    <w:p>
      <w:pPr>
        <w:ind w:right="100" w:firstLine="267"/>
        <w:spacing w:after="0" w:line="273" w:lineRule="auto"/>
        <w:tabs>
          <w:tab w:leader="none" w:pos="499" w:val="left"/>
        </w:tabs>
        <w:numPr>
          <w:ilvl w:val="0"/>
          <w:numId w:val="169"/>
        </w:numPr>
        <w:rPr>
          <w:rFonts w:ascii="Arial" w:cs="Arial" w:eastAsia="Arial" w:hAnsi="Arial"/>
          <w:sz w:val="17"/>
          <w:szCs w:val="17"/>
          <w:color w:val="auto"/>
        </w:rPr>
      </w:pPr>
      <w:r>
        <w:rPr>
          <w:rFonts w:ascii="Arial" w:cs="Arial" w:eastAsia="Arial" w:hAnsi="Arial"/>
          <w:sz w:val="17"/>
          <w:szCs w:val="17"/>
          <w:i w:val="1"/>
          <w:iCs w:val="1"/>
          <w:color w:val="auto"/>
        </w:rPr>
        <w:t xml:space="preserve">No Labor Disputes. </w:t>
      </w:r>
      <w:r>
        <w:rPr>
          <w:rFonts w:ascii="Arial" w:cs="Arial" w:eastAsia="Arial" w:hAnsi="Arial"/>
          <w:sz w:val="17"/>
          <w:szCs w:val="17"/>
          <w:color w:val="auto"/>
        </w:rPr>
        <w:t>No labor disturbance by or dispute with employees of the Company or any of its subsidiaries exists or, to the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is contemplated or threatened and the Company is not aware of any existing or imminent labor disturbance by, or dispute with, the employees of any of its or its subsidiaries’ principal suppliers, contractors or customers, except in each case as would have a Material Adverse Effect.</w:t>
      </w:r>
    </w:p>
    <w:p>
      <w:pPr>
        <w:spacing w:after="0" w:line="66" w:lineRule="exact"/>
        <w:rPr>
          <w:sz w:val="20"/>
          <w:szCs w:val="20"/>
          <w:color w:val="auto"/>
        </w:rPr>
      </w:pPr>
    </w:p>
    <w:p>
      <w:pPr>
        <w:ind w:left="580" w:hanging="313"/>
        <w:spacing w:after="0"/>
        <w:tabs>
          <w:tab w:leader="none" w:pos="580" w:val="left"/>
        </w:tabs>
        <w:numPr>
          <w:ilvl w:val="0"/>
          <w:numId w:val="170"/>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Environmental Laws. </w:t>
      </w:r>
      <w:r>
        <w:rPr>
          <w:rFonts w:ascii="Arial" w:cs="Arial" w:eastAsia="Arial" w:hAnsi="Arial"/>
          <w:sz w:val="16"/>
          <w:szCs w:val="16"/>
          <w:color w:val="auto"/>
        </w:rPr>
        <w:t>Except as described in the Registration Statement, the Time of Sale Information and the Prospectus, (i) the</w:t>
      </w:r>
    </w:p>
    <w:p>
      <w:pPr>
        <w:spacing w:after="0" w:line="37" w:lineRule="exact"/>
        <w:rPr>
          <w:rFonts w:ascii="Arial" w:cs="Arial" w:eastAsia="Arial" w:hAnsi="Arial"/>
          <w:sz w:val="16"/>
          <w:szCs w:val="16"/>
          <w:color w:val="auto"/>
        </w:rPr>
      </w:pPr>
    </w:p>
    <w:p>
      <w:pPr>
        <w:ind w:right="20"/>
        <w:spacing w:after="0" w:line="278" w:lineRule="auto"/>
        <w:rPr>
          <w:rFonts w:ascii="Arial" w:cs="Arial" w:eastAsia="Arial" w:hAnsi="Arial"/>
          <w:sz w:val="16"/>
          <w:szCs w:val="16"/>
          <w:color w:val="auto"/>
        </w:rPr>
      </w:pPr>
      <w:r>
        <w:rPr>
          <w:rFonts w:ascii="Arial" w:cs="Arial" w:eastAsia="Arial" w:hAnsi="Arial"/>
          <w:sz w:val="16"/>
          <w:szCs w:val="16"/>
          <w:color w:val="auto"/>
        </w:rPr>
        <w:t>Company and its subsidiaries (x) are in compliance with any and all applicable federal, state, local and foreign laws, rules, regulations, requirements, decisions and orders relating to the protection of human health and safety, the environment or hazardous or toxic substances or wastes, pollutants or contaminants (collectively, “Environmental Laws”); (y) have received and are in compliance with all permits, licenses, certificates or other authorizations or approvals required of them under applicable Environmental Laws to conduct their respective businesses; and (z) have not received notice of any actual or potential liability for the investigation or remediation of any disposal or release of hazardous or toxic substances or wastes, pollutants or contaminants, and (ii) there are no costs or liabilities associated with Environmental Laws of or relating to the Company or its subsidiaries, except in each case for any such failure to comply, or failure to receive required permits, licenses or approvals, or cost or liability, that would not, individually or in the aggregate, have a Material Adverse Effect.</w:t>
      </w:r>
    </w:p>
    <w:p>
      <w:pPr>
        <w:spacing w:after="0" w:line="67" w:lineRule="exact"/>
        <w:rPr>
          <w:rFonts w:ascii="Arial" w:cs="Arial" w:eastAsia="Arial" w:hAnsi="Arial"/>
          <w:sz w:val="16"/>
          <w:szCs w:val="16"/>
          <w:color w:val="auto"/>
        </w:rPr>
      </w:pPr>
    </w:p>
    <w:p>
      <w:pPr>
        <w:ind w:firstLine="267"/>
        <w:spacing w:after="0" w:line="261" w:lineRule="auto"/>
        <w:tabs>
          <w:tab w:leader="none" w:pos="596" w:val="left"/>
        </w:tabs>
        <w:numPr>
          <w:ilvl w:val="0"/>
          <w:numId w:val="170"/>
        </w:numPr>
        <w:rPr>
          <w:rFonts w:ascii="Arial" w:cs="Arial" w:eastAsia="Arial" w:hAnsi="Arial"/>
          <w:sz w:val="17"/>
          <w:szCs w:val="17"/>
          <w:color w:val="auto"/>
        </w:rPr>
      </w:pPr>
      <w:r>
        <w:rPr>
          <w:rFonts w:ascii="Arial" w:cs="Arial" w:eastAsia="Arial" w:hAnsi="Arial"/>
          <w:sz w:val="17"/>
          <w:szCs w:val="17"/>
          <w:i w:val="1"/>
          <w:iCs w:val="1"/>
          <w:color w:val="auto"/>
        </w:rPr>
        <w:t xml:space="preserve">Compliance With ERISA. </w:t>
      </w:r>
      <w:r>
        <w:rPr>
          <w:rFonts w:ascii="Arial" w:cs="Arial" w:eastAsia="Arial" w:hAnsi="Arial"/>
          <w:sz w:val="17"/>
          <w:szCs w:val="17"/>
          <w:color w:val="auto"/>
        </w:rPr>
        <w:t>Each employee benefit plan, within the meaning of Section 3(3) of the Employee Retirement Income Security Act of 1974, as</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(“ERISA”), that is maintained, administered or contributed to by the Company or any of its affiliates for employees or former employees of the Company and its affiliates has been maintained in compliance in all material respects with its terms and the requirements of any applicable statutes, orders, rules and regulations, including but not limited to ERISA and the Internal Revenue Code of 1986, as amended (the “Code”); and no prohibited transaction, within the meaning of Section 406 of ERISA or Section 4975 of the Code, has occurred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59" w:name="page260"/>
    <w:bookmarkEnd w:id="259"/>
    <w:p>
      <w:pPr>
        <w:ind w:right="760"/>
        <w:spacing w:after="0" w:line="289" w:lineRule="auto"/>
        <w:rPr>
          <w:sz w:val="20"/>
          <w:szCs w:val="20"/>
          <w:color w:val="auto"/>
        </w:rPr>
      </w:pPr>
      <w:r>
        <w:rPr>
          <w:rFonts w:ascii="Arial" w:cs="Arial" w:eastAsia="Arial" w:hAnsi="Arial"/>
          <w:sz w:val="17"/>
          <w:szCs w:val="17"/>
          <w:color w:val="auto"/>
        </w:rPr>
        <w:t>these purposes accrued but unpaid contributions) exceeds the present value of all benefits accrued under such plan determined using reasonable actuarial assumptions.</w:t>
      </w:r>
    </w:p>
    <w:p>
      <w:pPr>
        <w:spacing w:after="0" w:line="53" w:lineRule="exact"/>
        <w:rPr>
          <w:sz w:val="20"/>
          <w:szCs w:val="20"/>
          <w:color w:val="auto"/>
        </w:rPr>
      </w:pPr>
    </w:p>
    <w:p>
      <w:pPr>
        <w:ind w:right="40" w:firstLine="267"/>
        <w:spacing w:after="0" w:line="265" w:lineRule="auto"/>
        <w:tabs>
          <w:tab w:leader="none" w:pos="577"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Company and its subsidiaries maintain an effective system of “disclosure controls and procedures” (as defined in Rule 13a-15(e)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73" w:lineRule="exact"/>
        <w:rPr>
          <w:rFonts w:ascii="Arial" w:cs="Arial" w:eastAsia="Arial" w:hAnsi="Arial"/>
          <w:sz w:val="17"/>
          <w:szCs w:val="17"/>
          <w:color w:val="auto"/>
        </w:rPr>
      </w:pPr>
    </w:p>
    <w:p>
      <w:pPr>
        <w:ind w:firstLine="267"/>
        <w:spacing w:after="0" w:line="260" w:lineRule="auto"/>
        <w:tabs>
          <w:tab w:leader="none" w:pos="596"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Accounting Controls. </w:t>
      </w:r>
      <w:r>
        <w:rPr>
          <w:rFonts w:ascii="Arial" w:cs="Arial" w:eastAsia="Arial" w:hAnsi="Arial"/>
          <w:sz w:val="17"/>
          <w:szCs w:val="17"/>
          <w:color w:val="auto"/>
        </w:rPr>
        <w:t>The Company and its subsidiaries maintain systems of “internal control over financial reporting” (as defined in Rule 13a-15(f)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Time of Sale Information and the Prospectus, there are no material weaknesses in the Company’s internal controls.</w:t>
      </w:r>
    </w:p>
    <w:p>
      <w:pPr>
        <w:spacing w:after="0" w:line="82" w:lineRule="exact"/>
        <w:rPr>
          <w:rFonts w:ascii="Arial" w:cs="Arial" w:eastAsia="Arial" w:hAnsi="Arial"/>
          <w:sz w:val="17"/>
          <w:szCs w:val="17"/>
          <w:color w:val="auto"/>
        </w:rPr>
      </w:pPr>
    </w:p>
    <w:p>
      <w:pPr>
        <w:ind w:firstLine="267"/>
        <w:spacing w:after="0" w:line="305" w:lineRule="auto"/>
        <w:tabs>
          <w:tab w:leader="none" w:pos="577" w:val="left"/>
        </w:tabs>
        <w:numPr>
          <w:ilvl w:val="0"/>
          <w:numId w:val="171"/>
        </w:numPr>
        <w:rPr>
          <w:rFonts w:ascii="Arial" w:cs="Arial" w:eastAsia="Arial" w:hAnsi="Arial"/>
          <w:sz w:val="15"/>
          <w:szCs w:val="15"/>
          <w:color w:val="auto"/>
        </w:rPr>
      </w:pPr>
      <w:r>
        <w:rPr>
          <w:rFonts w:ascii="Arial" w:cs="Arial" w:eastAsia="Arial" w:hAnsi="Arial"/>
          <w:sz w:val="15"/>
          <w:szCs w:val="15"/>
          <w:i w:val="1"/>
          <w:iCs w:val="1"/>
          <w:color w:val="auto"/>
        </w:rPr>
        <w:t xml:space="preserve">Insurance. </w:t>
      </w:r>
      <w:r>
        <w:rPr>
          <w:rFonts w:ascii="Arial" w:cs="Arial" w:eastAsia="Arial" w:hAnsi="Arial"/>
          <w:sz w:val="15"/>
          <w:szCs w:val="15"/>
          <w:color w:val="auto"/>
        </w:rPr>
        <w:t>Except as described in or expressly contemplated by the Registration Statement, the Time of Sale Information and the Prospectus,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and its subsidiaries have insurance covering their respective properties, operations, personnel and businesses, which insurance is in amounts and insures against such losses and risks as the Company reasonably believes are adequate to protect the Company and its subsidiaries and their respective businesses; and neither the Company nor any of its subsidiaries has (i) received notice from any insurer or agent of such insurer that material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46" w:lineRule="exact"/>
        <w:rPr>
          <w:rFonts w:ascii="Arial" w:cs="Arial" w:eastAsia="Arial" w:hAnsi="Arial"/>
          <w:sz w:val="15"/>
          <w:szCs w:val="15"/>
          <w:color w:val="auto"/>
        </w:rPr>
      </w:pPr>
    </w:p>
    <w:p>
      <w:pPr>
        <w:ind w:right="240" w:firstLine="267"/>
        <w:spacing w:after="0" w:line="267" w:lineRule="auto"/>
        <w:tabs>
          <w:tab w:leader="none" w:pos="535"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 xml:space="preserve">No Unlawful Payments. </w:t>
      </w:r>
      <w:r>
        <w:rPr>
          <w:rFonts w:ascii="Arial" w:cs="Arial" w:eastAsia="Arial" w:hAnsi="Arial"/>
          <w:sz w:val="17"/>
          <w:szCs w:val="17"/>
          <w:color w:val="auto"/>
        </w:rPr>
        <w:t>Neither the Company nor any of its subsidiaries nor, to the knowledge of the Company, any director, officer, agent, employee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person associated with or acting on behalf of the Company or any of its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60" w:name="page261"/>
    <w:bookmarkEnd w:id="260"/>
    <w:p>
      <w:pPr>
        <w:ind w:right="620"/>
        <w:spacing w:after="0" w:line="289" w:lineRule="auto"/>
        <w:rPr>
          <w:sz w:val="20"/>
          <w:szCs w:val="20"/>
          <w:color w:val="auto"/>
        </w:rPr>
      </w:pPr>
      <w:r>
        <w:rPr>
          <w:rFonts w:ascii="Arial" w:cs="Arial" w:eastAsia="Arial" w:hAnsi="Arial"/>
          <w:sz w:val="17"/>
          <w:szCs w:val="17"/>
          <w:color w:val="auto"/>
        </w:rPr>
        <w:t>provision of the Foreign Corrupt Practices Act of 1977, as amended; or (iv) made any unlawful bribe, rebate, payoff, influence payment, kickback or other unlawful payment.</w:t>
      </w:r>
    </w:p>
    <w:p>
      <w:pPr>
        <w:spacing w:after="0" w:line="53" w:lineRule="exact"/>
        <w:rPr>
          <w:sz w:val="20"/>
          <w:szCs w:val="20"/>
          <w:color w:val="auto"/>
        </w:rPr>
      </w:pPr>
    </w:p>
    <w:p>
      <w:pPr>
        <w:ind w:right="100" w:firstLine="267"/>
        <w:spacing w:after="0" w:line="263" w:lineRule="auto"/>
        <w:tabs>
          <w:tab w:leader="none" w:pos="596"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Company and its subsidiaries are and have been conducted at all times in compliance in</w:t>
      </w:r>
      <w:r>
        <w:rPr>
          <w:rFonts w:ascii="Arial" w:cs="Arial" w:eastAsia="Arial" w:hAnsi="Arial"/>
          <w:sz w:val="17"/>
          <w:szCs w:val="17"/>
          <w:i w:val="1"/>
          <w:iCs w:val="1"/>
          <w:color w:val="auto"/>
        </w:rPr>
        <w:t xml:space="preserve"> </w:t>
      </w:r>
      <w:r>
        <w:rPr>
          <w:rFonts w:ascii="Arial" w:cs="Arial" w:eastAsia="Arial" w:hAnsi="Arial"/>
          <w:sz w:val="17"/>
          <w:szCs w:val="17"/>
          <w:color w:val="auto"/>
        </w:rPr>
        <w:t>all material respects with applicable financial recordkeeping and reporting requirements of the Currency and Foreign Transactions Reporting Act of 1970, as amended, and any applicable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76" w:lineRule="exact"/>
        <w:rPr>
          <w:rFonts w:ascii="Arial" w:cs="Arial" w:eastAsia="Arial" w:hAnsi="Arial"/>
          <w:sz w:val="17"/>
          <w:szCs w:val="17"/>
          <w:color w:val="auto"/>
        </w:rPr>
      </w:pPr>
    </w:p>
    <w:p>
      <w:pPr>
        <w:ind w:right="20" w:firstLine="267"/>
        <w:spacing w:after="0" w:line="285" w:lineRule="auto"/>
        <w:tabs>
          <w:tab w:leader="none" w:pos="596"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OFAC. </w:t>
      </w:r>
      <w:r>
        <w:rPr>
          <w:rFonts w:ascii="Arial" w:cs="Arial" w:eastAsia="Arial" w:hAnsi="Arial"/>
          <w:sz w:val="16"/>
          <w:szCs w:val="16"/>
          <w:color w:val="auto"/>
        </w:rPr>
        <w:t>None of the Company, any of its subsidiaries or, to the knowledge of the Company, any director, officer, agent, employee or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of the Company or any of its subsidiaries is currently identified on the lists of sanctioned persons as being subject to any U.S. sanctions administered by the Office of Foreign Assets Control of the U.S. Department of the Treasury (“OFAC”); and the Company will not directly or indirectly use the proceeds of the offering of the Shares hereunder, or lend, contribute or otherwise make available such proceeds to any subsidiary, joint venture partner or other person or entity, for the purpose of financing the activities of any person currently in violation of any U.S. sanctions administered by OFAC.</w:t>
      </w:r>
    </w:p>
    <w:p>
      <w:pPr>
        <w:spacing w:after="0" w:line="59" w:lineRule="exact"/>
        <w:rPr>
          <w:rFonts w:ascii="Arial" w:cs="Arial" w:eastAsia="Arial" w:hAnsi="Arial"/>
          <w:sz w:val="16"/>
          <w:szCs w:val="16"/>
          <w:color w:val="auto"/>
        </w:rPr>
      </w:pPr>
    </w:p>
    <w:p>
      <w:pPr>
        <w:ind w:right="20" w:firstLine="267"/>
        <w:spacing w:after="0" w:line="265" w:lineRule="auto"/>
        <w:tabs>
          <w:tab w:leader="none" w:pos="518"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No Restrictions on Subsidiaries</w:t>
      </w:r>
      <w:r>
        <w:rPr>
          <w:rFonts w:ascii="Arial" w:cs="Arial" w:eastAsia="Arial" w:hAnsi="Arial"/>
          <w:sz w:val="17"/>
          <w:szCs w:val="17"/>
          <w:color w:val="auto"/>
        </w:rPr>
        <w:t>. Except as described in or expressly contemplated by the Registration Statement, the Time of Sale Information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73" w:lineRule="exact"/>
        <w:rPr>
          <w:rFonts w:ascii="Arial" w:cs="Arial" w:eastAsia="Arial" w:hAnsi="Arial"/>
          <w:sz w:val="17"/>
          <w:szCs w:val="17"/>
          <w:color w:val="auto"/>
        </w:rPr>
      </w:pPr>
    </w:p>
    <w:p>
      <w:pPr>
        <w:ind w:firstLine="267"/>
        <w:spacing w:after="0" w:line="273" w:lineRule="auto"/>
        <w:tabs>
          <w:tab w:leader="none" w:pos="518"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 xml:space="preserve">No Broker’s Fees. </w:t>
      </w:r>
      <w:r>
        <w:rPr>
          <w:rFonts w:ascii="Arial" w:cs="Arial" w:eastAsia="Arial" w:hAnsi="Arial"/>
          <w:sz w:val="17"/>
          <w:szCs w:val="17"/>
          <w:color w:val="auto"/>
        </w:rPr>
        <w:t>Neither the Company nor any of its subsidiaries is a party to any contract, agreement or understanding with any person (other than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that would give rise to a valid claim against the Company or any of its subsidiaries or any Underwriter for a brokerage commission, finder’s fee or like payment in connection with the offering and sale of the Shares.</w:t>
      </w:r>
    </w:p>
    <w:p>
      <w:pPr>
        <w:spacing w:after="0" w:line="66" w:lineRule="exact"/>
        <w:rPr>
          <w:rFonts w:ascii="Arial" w:cs="Arial" w:eastAsia="Arial" w:hAnsi="Arial"/>
          <w:sz w:val="17"/>
          <w:szCs w:val="17"/>
          <w:color w:val="auto"/>
        </w:rPr>
      </w:pPr>
    </w:p>
    <w:p>
      <w:pPr>
        <w:ind w:right="60" w:firstLine="267"/>
        <w:spacing w:after="0" w:line="273" w:lineRule="auto"/>
        <w:tabs>
          <w:tab w:leader="none" w:pos="596"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Except as described in or expressly contemplated by the Registration Statement, the Time of Sale Information and the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no person has the right to require the Company or any of its subsidiaries to register any securities for sale under the Securities Act by reason of the filing of the Registration Statement with the Commission or the issuance and sale of the Shares.</w:t>
      </w:r>
    </w:p>
    <w:p>
      <w:pPr>
        <w:spacing w:after="0" w:line="66" w:lineRule="exact"/>
        <w:rPr>
          <w:rFonts w:ascii="Arial" w:cs="Arial" w:eastAsia="Arial" w:hAnsi="Arial"/>
          <w:sz w:val="17"/>
          <w:szCs w:val="17"/>
          <w:color w:val="auto"/>
        </w:rPr>
      </w:pPr>
    </w:p>
    <w:p>
      <w:pPr>
        <w:ind w:right="220" w:firstLine="267"/>
        <w:spacing w:after="0" w:line="289" w:lineRule="auto"/>
        <w:tabs>
          <w:tab w:leader="none" w:pos="518" w:val="left"/>
        </w:tabs>
        <w:numPr>
          <w:ilvl w:val="0"/>
          <w:numId w:val="172"/>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Company has not taken, directly or indirectly, without giving effect to activities by the Underwriters, any action designed to or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reasonably be expected to cause or result in any stabilization or manipulation of the price of the Shares.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61" w:name="page262"/>
    <w:bookmarkEnd w:id="261"/>
    <w:p>
      <w:pPr>
        <w:ind w:left="680" w:hanging="433"/>
        <w:spacing w:after="0"/>
        <w:tabs>
          <w:tab w:leader="none" w:pos="680"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Business With Cuba. </w:t>
      </w:r>
      <w:r>
        <w:rPr>
          <w:rFonts w:ascii="Arial" w:cs="Arial" w:eastAsia="Arial" w:hAnsi="Arial"/>
          <w:sz w:val="17"/>
          <w:szCs w:val="17"/>
          <w:color w:val="auto"/>
        </w:rPr>
        <w:t>The Company has not done business in Cuba or with the Government of Cuba.</w:t>
      </w:r>
    </w:p>
    <w:p>
      <w:pPr>
        <w:spacing w:after="0" w:line="118" w:lineRule="exact"/>
        <w:rPr>
          <w:rFonts w:ascii="Arial" w:cs="Arial" w:eastAsia="Arial" w:hAnsi="Arial"/>
          <w:sz w:val="17"/>
          <w:szCs w:val="17"/>
          <w:color w:val="auto"/>
        </w:rPr>
      </w:pPr>
    </w:p>
    <w:p>
      <w:pPr>
        <w:ind w:left="-20" w:right="480" w:firstLine="267"/>
        <w:spacing w:after="0" w:line="273" w:lineRule="auto"/>
        <w:tabs>
          <w:tab w:leader="none" w:pos="576"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Margin Rules</w:t>
      </w:r>
      <w:r>
        <w:rPr>
          <w:rFonts w:ascii="Arial" w:cs="Arial" w:eastAsia="Arial" w:hAnsi="Arial"/>
          <w:sz w:val="17"/>
          <w:szCs w:val="17"/>
          <w:color w:val="auto"/>
        </w:rPr>
        <w:t>. Neither the issuance, sale and delivery of the Shares nor the application of the proceeds thereof by the Company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Time of Sale Information and the Prospectus will violate Regulation T, U or X of the Board of Governors of the Federal Reserve System or any other regulation of such Board of Governors.</w:t>
      </w:r>
    </w:p>
    <w:p>
      <w:pPr>
        <w:spacing w:after="0" w:line="66" w:lineRule="exact"/>
        <w:rPr>
          <w:rFonts w:ascii="Arial" w:cs="Arial" w:eastAsia="Arial" w:hAnsi="Arial"/>
          <w:sz w:val="17"/>
          <w:szCs w:val="17"/>
          <w:color w:val="auto"/>
        </w:rPr>
      </w:pPr>
    </w:p>
    <w:p>
      <w:pPr>
        <w:ind w:left="-20" w:right="60" w:firstLine="267"/>
        <w:spacing w:after="0" w:line="273" w:lineRule="auto"/>
        <w:tabs>
          <w:tab w:leader="none" w:pos="576"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Forward Looking Statements</w:t>
      </w:r>
      <w:r>
        <w:rPr>
          <w:rFonts w:ascii="Arial" w:cs="Arial" w:eastAsia="Arial" w:hAnsi="Arial"/>
          <w:sz w:val="17"/>
          <w:szCs w:val="17"/>
          <w:color w:val="auto"/>
        </w:rPr>
        <w:t>. No forward looking statement (within the meaning of Section 27A of the Securities Act and Section 21E of the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Act) contained in the Registration Statement, the Time of Sale Information and the Prospectus has been made or reaffirmed without a reasonable basis or has been disclosed other than in good faith.</w:t>
      </w:r>
    </w:p>
    <w:p>
      <w:pPr>
        <w:spacing w:after="0" w:line="66" w:lineRule="exact"/>
        <w:rPr>
          <w:rFonts w:ascii="Arial" w:cs="Arial" w:eastAsia="Arial" w:hAnsi="Arial"/>
          <w:sz w:val="17"/>
          <w:szCs w:val="17"/>
          <w:color w:val="auto"/>
        </w:rPr>
      </w:pPr>
    </w:p>
    <w:p>
      <w:pPr>
        <w:ind w:left="-20" w:right="180" w:firstLine="267"/>
        <w:spacing w:after="0" w:line="273" w:lineRule="auto"/>
        <w:tabs>
          <w:tab w:leader="none" w:pos="576"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Statistical and Market Data. </w:t>
      </w:r>
      <w:r>
        <w:rPr>
          <w:rFonts w:ascii="Arial" w:cs="Arial" w:eastAsia="Arial" w:hAnsi="Arial"/>
          <w:sz w:val="17"/>
          <w:szCs w:val="17"/>
          <w:color w:val="auto"/>
        </w:rPr>
        <w:t>Nothing has come to the attention of the Company that has caused the Company to believe that the statistical and market-related data included in the Registration Statement, the Time of Sale Information and the Prospectus is not based on or derived from sources that are reliable and accurate in all material respects.</w:t>
      </w:r>
    </w:p>
    <w:p>
      <w:pPr>
        <w:spacing w:after="0" w:line="66" w:lineRule="exact"/>
        <w:rPr>
          <w:rFonts w:ascii="Arial" w:cs="Arial" w:eastAsia="Arial" w:hAnsi="Arial"/>
          <w:sz w:val="17"/>
          <w:szCs w:val="17"/>
          <w:color w:val="auto"/>
        </w:rPr>
      </w:pPr>
    </w:p>
    <w:p>
      <w:pPr>
        <w:ind w:left="-20" w:right="40" w:firstLine="267"/>
        <w:spacing w:after="0" w:line="273" w:lineRule="auto"/>
        <w:tabs>
          <w:tab w:leader="none" w:pos="576"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Sarbanes-Oxley Act</w:t>
      </w:r>
      <w:r>
        <w:rPr>
          <w:rFonts w:ascii="Arial" w:cs="Arial" w:eastAsia="Arial" w:hAnsi="Arial"/>
          <w:sz w:val="17"/>
          <w:szCs w:val="17"/>
          <w:color w:val="auto"/>
        </w:rPr>
        <w:t>. There is and has been no failure on the part of the Company or any of the Company’s directors or officers, in their capacities as such,</w:t>
      </w:r>
      <w:r>
        <w:rPr>
          <w:rFonts w:ascii="Arial" w:cs="Arial" w:eastAsia="Arial" w:hAnsi="Arial"/>
          <w:sz w:val="17"/>
          <w:szCs w:val="17"/>
          <w:i w:val="1"/>
          <w:iCs w:val="1"/>
          <w:color w:val="auto"/>
        </w:rPr>
        <w:t xml:space="preserve"> </w:t>
      </w:r>
      <w:r>
        <w:rPr>
          <w:rFonts w:ascii="Arial" w:cs="Arial" w:eastAsia="Arial" w:hAnsi="Arial"/>
          <w:sz w:val="17"/>
          <w:szCs w:val="17"/>
          <w:color w:val="auto"/>
        </w:rPr>
        <w:t>to comply with any applicable provision of the Sarbanes-Oxley Act of 2002 and the rules and regulations promulgated in connection therewith (the “Sarbanes-Oxley Act”), including Section 402 related to loans.</w:t>
      </w:r>
    </w:p>
    <w:p>
      <w:pPr>
        <w:spacing w:after="0" w:line="66" w:lineRule="exact"/>
        <w:rPr>
          <w:rFonts w:ascii="Arial" w:cs="Arial" w:eastAsia="Arial" w:hAnsi="Arial"/>
          <w:sz w:val="17"/>
          <w:szCs w:val="17"/>
          <w:color w:val="auto"/>
        </w:rPr>
      </w:pPr>
    </w:p>
    <w:p>
      <w:pPr>
        <w:ind w:left="-20" w:firstLine="267"/>
        <w:spacing w:after="0" w:line="267" w:lineRule="auto"/>
        <w:tabs>
          <w:tab w:leader="none" w:pos="518"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are no transactions, arrangements or other relationships between or among the Company, its subsidiaries,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and any unconsolidated entity, including, but not limited to, any structured finance, special purpose or limited purpose entity that would reasonably be expected to materially affect the Company’s liquidity or the availability of or requirements for its capital resources that are required to be described in the Prospectus and that have not been described as required.</w:t>
      </w:r>
    </w:p>
    <w:p>
      <w:pPr>
        <w:spacing w:after="0" w:line="72" w:lineRule="exact"/>
        <w:rPr>
          <w:rFonts w:ascii="Arial" w:cs="Arial" w:eastAsia="Arial" w:hAnsi="Arial"/>
          <w:sz w:val="17"/>
          <w:szCs w:val="17"/>
          <w:color w:val="auto"/>
        </w:rPr>
      </w:pPr>
    </w:p>
    <w:p>
      <w:pPr>
        <w:ind w:left="-20" w:right="460" w:firstLine="267"/>
        <w:spacing w:after="0" w:line="289" w:lineRule="auto"/>
        <w:tabs>
          <w:tab w:leader="none" w:pos="537" w:val="left"/>
        </w:tabs>
        <w:numPr>
          <w:ilvl w:val="0"/>
          <w:numId w:val="173"/>
        </w:numPr>
        <w:rPr>
          <w:rFonts w:ascii="Arial" w:cs="Arial" w:eastAsia="Arial" w:hAnsi="Arial"/>
          <w:sz w:val="17"/>
          <w:szCs w:val="17"/>
          <w:color w:val="auto"/>
        </w:rPr>
      </w:pPr>
      <w:r>
        <w:rPr>
          <w:rFonts w:ascii="Arial" w:cs="Arial" w:eastAsia="Arial" w:hAnsi="Arial"/>
          <w:sz w:val="17"/>
          <w:szCs w:val="17"/>
          <w:i w:val="1"/>
          <w:iCs w:val="1"/>
          <w:color w:val="auto"/>
        </w:rPr>
        <w:t>Status under the Securities Act</w:t>
      </w:r>
      <w:r>
        <w:rPr>
          <w:rFonts w:ascii="Arial" w:cs="Arial" w:eastAsia="Arial" w:hAnsi="Arial"/>
          <w:sz w:val="17"/>
          <w:szCs w:val="17"/>
          <w:color w:val="auto"/>
        </w:rPr>
        <w:t>. The Company is not an ineligible issuer as defined under the Securities Act, in each case at the times specified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in connection with the offering of the Shares.</w:t>
      </w:r>
    </w:p>
    <w:p>
      <w:pPr>
        <w:spacing w:after="0" w:line="53" w:lineRule="exact"/>
        <w:rPr>
          <w:sz w:val="20"/>
          <w:szCs w:val="20"/>
          <w:color w:val="auto"/>
        </w:rPr>
      </w:pPr>
    </w:p>
    <w:p>
      <w:pPr>
        <w:ind w:left="-20" w:right="400" w:firstLine="267"/>
        <w:spacing w:after="0" w:line="289" w:lineRule="auto"/>
        <w:tabs>
          <w:tab w:leader="none" w:pos="416"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Selling Stockholders</w:t>
      </w:r>
      <w:r>
        <w:rPr>
          <w:rFonts w:ascii="Arial" w:cs="Arial" w:eastAsia="Arial" w:hAnsi="Arial"/>
          <w:sz w:val="17"/>
          <w:szCs w:val="17"/>
          <w:color w:val="auto"/>
        </w:rPr>
        <w:t>. Each of the Selling Stockholders, severally and not jointly, represents and warrants to each Underwriter and the Company that:</w:t>
      </w:r>
    </w:p>
    <w:p>
      <w:pPr>
        <w:spacing w:after="0" w:line="53" w:lineRule="exact"/>
        <w:rPr>
          <w:sz w:val="20"/>
          <w:szCs w:val="20"/>
          <w:color w:val="auto"/>
        </w:rPr>
      </w:pPr>
    </w:p>
    <w:p>
      <w:pPr>
        <w:ind w:left="-20" w:right="180" w:firstLine="267"/>
        <w:spacing w:after="0" w:line="263" w:lineRule="auto"/>
        <w:tabs>
          <w:tab w:leader="none" w:pos="479"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Required Consents; Authority</w:t>
      </w:r>
      <w:r>
        <w:rPr>
          <w:rFonts w:ascii="Arial" w:cs="Arial" w:eastAsia="Arial" w:hAnsi="Arial"/>
          <w:sz w:val="17"/>
          <w:szCs w:val="17"/>
          <w:color w:val="auto"/>
        </w:rPr>
        <w:t>. All consents, approvals, authorizations and orders necessary for the execution and delivery by such Selling Stockholder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and the Power of Attorney (the “Power of Attorney”) and the Custody Agreement (the “Custody Agreement”) hereinafter referred to, and for the sale and delivery of the Shares to be sold by such Selling Stockholder hereunder, have been obtained; and such Selling Stockholder has full right, power and authority to enter into this Agreement, the Power of Attorney and the Custody Agreement and to sell, assign, transfer and deliver the Shares to be sold by such Selling Stockholder hereunder; this Agreement, the Power of Attorney and the Custody Agreement have each been duly authorized, executed and delivered by such Selling Stockholder.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7254875"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60" w:top="913" w:right="259" w:bottom="1440" w:gutter="0" w:footer="0" w:header="0"/>
        </w:sectPr>
      </w:pPr>
    </w:p>
    <w:bookmarkStart w:id="262" w:name="page263"/>
    <w:bookmarkEnd w:id="262"/>
    <w:p>
      <w:pPr>
        <w:ind w:left="-40" w:firstLine="267"/>
        <w:spacing w:after="0" w:line="261" w:lineRule="auto"/>
        <w:tabs>
          <w:tab w:leader="none" w:pos="469"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No Conflicts</w:t>
      </w:r>
      <w:r>
        <w:rPr>
          <w:rFonts w:ascii="Arial" w:cs="Arial" w:eastAsia="Arial" w:hAnsi="Arial"/>
          <w:sz w:val="17"/>
          <w:szCs w:val="17"/>
          <w:color w:val="auto"/>
        </w:rPr>
        <w:t>. The execution, delivery and performance by such Selling Stockholder of this Agreement, the Power of Attorney and the Custody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sale of the Shares to be sold by such Selling Stockholder and the consummation by such Selling Stockholder of the transactions herein and therein contemplated will not (i) conflict with or result in a breach or violation of any of the terms or provisions of, or constitute a default under, or result in the creation or imposition of any lien, charge or encumbrance upon any property or assets of such Selling Stockholder pursuant to, any indenture, mortgage, deed of trust, loan agreement or other agreement or instrument to which such Selling Stockholder is a party or by which such Selling Stockholder is bound or to which any of the property or assets of such Selling Stockholder is subject, (ii)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having jurisdiction over such Selling Stockholder.</w:t>
      </w:r>
    </w:p>
    <w:p>
      <w:pPr>
        <w:spacing w:after="0" w:line="80" w:lineRule="exact"/>
        <w:rPr>
          <w:rFonts w:ascii="Arial" w:cs="Arial" w:eastAsia="Arial" w:hAnsi="Arial"/>
          <w:sz w:val="17"/>
          <w:szCs w:val="17"/>
          <w:color w:val="auto"/>
        </w:rPr>
      </w:pPr>
    </w:p>
    <w:p>
      <w:pPr>
        <w:ind w:left="-40" w:right="80" w:firstLine="267"/>
        <w:spacing w:after="0" w:line="263" w:lineRule="auto"/>
        <w:tabs>
          <w:tab w:leader="none" w:pos="459"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Title to Shares. </w:t>
      </w:r>
      <w:r>
        <w:rPr>
          <w:rFonts w:ascii="Arial" w:cs="Arial" w:eastAsia="Arial" w:hAnsi="Arial"/>
          <w:sz w:val="17"/>
          <w:szCs w:val="17"/>
          <w:color w:val="auto"/>
        </w:rPr>
        <w:t>Such Selling Stockholder has good and valid title to the Shares to be sold at the Additional Closing Date by such Selling Stockholder</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free and clear of all liens, encumbrances, equities or adverse claims; such Selling Stockholder will have, immediately prior to the Additional Closing Date, good and valid title to the Shares to be sold at the Additional Closing Date by such Selling Stockholder, free and clear of all liens, encumbrances, equities or adverse claims; and, upon delivery of the certificates representing such Shares and payment therefor pursuant hereto, good and valid title to such Shares, free and clear of all liens, encumbrances, equities or adverse claims, other than any such lien, encumbrance, equity or adverse claim created by or resulting from an action taken by any Underwriter, will pass to the several Underwriters.</w:t>
      </w:r>
    </w:p>
    <w:p>
      <w:pPr>
        <w:spacing w:after="0" w:line="76" w:lineRule="exact"/>
        <w:rPr>
          <w:rFonts w:ascii="Arial" w:cs="Arial" w:eastAsia="Arial" w:hAnsi="Arial"/>
          <w:sz w:val="17"/>
          <w:szCs w:val="17"/>
          <w:color w:val="auto"/>
        </w:rPr>
      </w:pPr>
    </w:p>
    <w:p>
      <w:pPr>
        <w:ind w:left="-40" w:right="20" w:firstLine="267"/>
        <w:spacing w:after="0" w:line="322" w:lineRule="auto"/>
        <w:tabs>
          <w:tab w:leader="none" w:pos="469"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 xml:space="preserve">No Stabilization. </w:t>
      </w:r>
      <w:r>
        <w:rPr>
          <w:rFonts w:ascii="Arial" w:cs="Arial" w:eastAsia="Arial" w:hAnsi="Arial"/>
          <w:sz w:val="16"/>
          <w:szCs w:val="16"/>
          <w:color w:val="auto"/>
        </w:rPr>
        <w:t>Such Selling Stockholder has not taken and will not take, directly or indirectly, without giving effect to activities by the Underwriters, any</w:t>
      </w:r>
      <w:r>
        <w:rPr>
          <w:rFonts w:ascii="Arial" w:cs="Arial" w:eastAsia="Arial" w:hAnsi="Arial"/>
          <w:sz w:val="16"/>
          <w:szCs w:val="16"/>
          <w:i w:val="1"/>
          <w:iCs w:val="1"/>
          <w:color w:val="auto"/>
        </w:rPr>
        <w:t xml:space="preserve"> </w:t>
      </w:r>
      <w:r>
        <w:rPr>
          <w:rFonts w:ascii="Arial" w:cs="Arial" w:eastAsia="Arial" w:hAnsi="Arial"/>
          <w:sz w:val="16"/>
          <w:szCs w:val="16"/>
          <w:color w:val="auto"/>
        </w:rPr>
        <w:t>action designed to or that would reasonably be expected to cause or result in any stabilization or manipulation of the price of the Shares.</w:t>
      </w:r>
    </w:p>
    <w:p>
      <w:pPr>
        <w:spacing w:after="0" w:line="30" w:lineRule="exact"/>
        <w:rPr>
          <w:rFonts w:ascii="Arial" w:cs="Arial" w:eastAsia="Arial" w:hAnsi="Arial"/>
          <w:sz w:val="16"/>
          <w:szCs w:val="16"/>
          <w:color w:val="auto"/>
        </w:rPr>
      </w:pPr>
    </w:p>
    <w:p>
      <w:pPr>
        <w:ind w:left="-40" w:right="80" w:firstLine="267"/>
        <w:spacing w:after="0" w:line="280" w:lineRule="auto"/>
        <w:tabs>
          <w:tab w:leader="none" w:pos="459" w:val="left"/>
        </w:tabs>
        <w:numPr>
          <w:ilvl w:val="0"/>
          <w:numId w:val="176"/>
        </w:numPr>
        <w:rPr>
          <w:rFonts w:ascii="Arial" w:cs="Arial" w:eastAsia="Arial" w:hAnsi="Arial"/>
          <w:sz w:val="16"/>
          <w:szCs w:val="16"/>
          <w:color w:val="auto"/>
        </w:rPr>
      </w:pPr>
      <w:r>
        <w:rPr>
          <w:rFonts w:ascii="Arial" w:cs="Arial" w:eastAsia="Arial" w:hAnsi="Arial"/>
          <w:sz w:val="16"/>
          <w:szCs w:val="16"/>
          <w:i w:val="1"/>
          <w:iCs w:val="1"/>
          <w:color w:val="auto"/>
        </w:rPr>
        <w:t>Time of Sale Information</w:t>
      </w:r>
      <w:r>
        <w:rPr>
          <w:rFonts w:ascii="Arial" w:cs="Arial" w:eastAsia="Arial" w:hAnsi="Arial"/>
          <w:sz w:val="16"/>
          <w:szCs w:val="16"/>
          <w:color w:val="auto"/>
        </w:rPr>
        <w:t>. The Time of Sale Information, at the Time of Sale did not, and at the Closing Date and as of the Additional Closing Date,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Selling Stockholder makes no representation and warranty with respect to any statements or omissions made in reliance upon and in conformity with information relating to any Underwriter furnished to the Company in writing by or on behalf of any Underwriter expressly for use in such Time of Sale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representations and warranties given in this paragraph by each Selling Stockholder only apply to statements or omissions in the Registration Statement, the Time of Sale Information or the Prospectus and any amendment or supplement thereto made in reliance upon and in conformity with information relating to such Selling Stockholder furnished to the Company or the Underwriters in writing by or on behalf of such Selling Stockholder expressly for use therein.</w:t>
      </w:r>
    </w:p>
    <w:p>
      <w:pPr>
        <w:spacing w:after="0" w:line="63" w:lineRule="exact"/>
        <w:rPr>
          <w:rFonts w:ascii="Arial" w:cs="Arial" w:eastAsia="Arial" w:hAnsi="Arial"/>
          <w:sz w:val="16"/>
          <w:szCs w:val="16"/>
          <w:color w:val="auto"/>
        </w:rPr>
      </w:pPr>
    </w:p>
    <w:p>
      <w:pPr>
        <w:ind w:left="-40" w:right="1040" w:firstLine="267"/>
        <w:spacing w:after="0" w:line="289" w:lineRule="auto"/>
        <w:tabs>
          <w:tab w:leader="none" w:pos="440"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Issuer Free Writing Prospectus. </w:t>
      </w:r>
      <w:r>
        <w:rPr>
          <w:rFonts w:ascii="Arial" w:cs="Arial" w:eastAsia="Arial" w:hAnsi="Arial"/>
          <w:sz w:val="17"/>
          <w:szCs w:val="17"/>
          <w:color w:val="auto"/>
        </w:rPr>
        <w:t>Other than the Preliminary Prospectus and the Prospectus, such Selling Stockholder (including its agents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other than the Underwriters in their capacity as such) has not made, used, prepared, authorized, approved 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147320</wp:posOffset>
            </wp:positionV>
            <wp:extent cx="725487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80" w:top="913" w:right="259" w:bottom="1440" w:gutter="0" w:footer="0" w:header="0"/>
        </w:sectPr>
      </w:pPr>
    </w:p>
    <w:bookmarkStart w:id="263" w:name="page264"/>
    <w:bookmarkEnd w:id="263"/>
    <w:p>
      <w:pPr>
        <w:ind w:right="400"/>
        <w:spacing w:after="0" w:line="273" w:lineRule="auto"/>
        <w:rPr>
          <w:sz w:val="20"/>
          <w:szCs w:val="20"/>
          <w:color w:val="auto"/>
        </w:rPr>
      </w:pPr>
      <w:r>
        <w:rPr>
          <w:rFonts w:ascii="Arial" w:cs="Arial" w:eastAsia="Arial" w:hAnsi="Arial"/>
          <w:sz w:val="17"/>
          <w:szCs w:val="17"/>
          <w:color w:val="auto"/>
        </w:rPr>
        <w:t>referred to and will not prepare, make, use, authorize, approve or refer to any Issuer Free Writing Prospectus, other than (i) any document not constituting a prospectus pursuant to Section 2(a)(10)(a) of the Securities Act or Rule 134 under the Securities Act or (ii) the documents listed on Annex B hereto and other written communications approved in writing in advance by the Company and the Representatives.</w:t>
      </w:r>
    </w:p>
    <w:p>
      <w:pPr>
        <w:spacing w:after="0" w:line="66" w:lineRule="exact"/>
        <w:rPr>
          <w:sz w:val="20"/>
          <w:szCs w:val="20"/>
          <w:color w:val="auto"/>
        </w:rPr>
      </w:pPr>
    </w:p>
    <w:p>
      <w:pPr>
        <w:ind w:right="20" w:firstLine="267"/>
        <w:spacing w:after="0" w:line="278" w:lineRule="auto"/>
        <w:tabs>
          <w:tab w:leader="none" w:pos="509"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As of the applicable effective date of the Registration Statement and any amendment thereto, the statements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 Statement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Selling Stockholder makes no representation and warranty with respect to any statements or omissions made in reliance upon and in conformity with information relating to any Underwriter furnished to the Company in writing by or on behalf of any Underwriter expressly for use in the Registration Statement, the Time of Sale Information and the Prospectus and any amendment or supplement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representations and warranties given in this paragraph by each Selling Stockholder only apply to statements or omissions in the Registration Statement, the Time of Sale Information or the Prospectus and any amendment or supplement thereto made in reliance upon and in conformity with information relating to such Selling Stockholder furnished to the Company or the Underwriters in writing by or on behalf of such Selling Stockholder expressly for use therein.</w:t>
      </w:r>
    </w:p>
    <w:p>
      <w:pPr>
        <w:spacing w:after="0" w:line="65" w:lineRule="exact"/>
        <w:rPr>
          <w:rFonts w:ascii="Arial" w:cs="Arial" w:eastAsia="Arial" w:hAnsi="Arial"/>
          <w:sz w:val="16"/>
          <w:szCs w:val="16"/>
          <w:color w:val="auto"/>
        </w:rPr>
      </w:pPr>
    </w:p>
    <w:p>
      <w:pPr>
        <w:ind w:firstLine="267"/>
        <w:spacing w:after="0" w:line="278" w:lineRule="auto"/>
        <w:tabs>
          <w:tab w:leader="none" w:pos="509" w:val="left"/>
        </w:tabs>
        <w:numPr>
          <w:ilvl w:val="0"/>
          <w:numId w:val="177"/>
        </w:numPr>
        <w:rPr>
          <w:rFonts w:ascii="Arial" w:cs="Arial" w:eastAsia="Arial" w:hAnsi="Arial"/>
          <w:sz w:val="16"/>
          <w:szCs w:val="16"/>
          <w:color w:val="auto"/>
        </w:rPr>
      </w:pPr>
      <w:r>
        <w:rPr>
          <w:rFonts w:ascii="Arial" w:cs="Arial" w:eastAsia="Arial" w:hAnsi="Arial"/>
          <w:sz w:val="16"/>
          <w:szCs w:val="16"/>
          <w:i w:val="1"/>
          <w:iCs w:val="1"/>
          <w:color w:val="auto"/>
        </w:rPr>
        <w:t>Material Information</w:t>
      </w:r>
      <w:r>
        <w:rPr>
          <w:rFonts w:ascii="Arial" w:cs="Arial" w:eastAsia="Arial" w:hAnsi="Arial"/>
          <w:sz w:val="16"/>
          <w:szCs w:val="16"/>
          <w:color w:val="auto"/>
        </w:rPr>
        <w:t>. As of the date hereof, as of the Closing Date and as of the Additional Closing Date, as the case may be, that the sale of the Shares by</w:t>
      </w:r>
      <w:r>
        <w:rPr>
          <w:rFonts w:ascii="Arial" w:cs="Arial" w:eastAsia="Arial" w:hAnsi="Arial"/>
          <w:sz w:val="16"/>
          <w:szCs w:val="16"/>
          <w:i w:val="1"/>
          <w:iCs w:val="1"/>
          <w:color w:val="auto"/>
        </w:rPr>
        <w:t xml:space="preserve"> </w:t>
      </w:r>
      <w:r>
        <w:rPr>
          <w:rFonts w:ascii="Arial" w:cs="Arial" w:eastAsia="Arial" w:hAnsi="Arial"/>
          <w:sz w:val="16"/>
          <w:szCs w:val="16"/>
          <w:color w:val="auto"/>
        </w:rPr>
        <w:t>such Selling Stockholder is not and will not be prompted by any material information concerning the Company which is not set forth in the Registration Statement, the Time of Sale Information or the Prospectus. Each of the Selling Stockholders represents and warrants that certificates in negotiable form representing all of the Shares to be sold by such Selling Stockholders hereunder have been placed in custody under a Custody Agreement relating to such Shares, in the form heretofore furnished to you, duly executed and delivered by such Selling Stockholder to [ ], as custodian (the “Custodian”), and that such Selling Stockholder has duly executed and delivered Powers of Attorney, in the form heretofore furnished to you, appointing the person or persons indicated in Schedule II hereto, and each of them, as such Selling Stockholder’s Attorneys-in-fact (the “Attorneys-in-Fact” or any one of them the “Attorney-in Fact”) with authority to execute and deliver this Agreement on behalf of such Selling Stockholder, to determine the purchase price to be paid by the Underwriters to the Selling Stockholders as provided herein, to authorize the delivery of the Shares to be sold by such Selling Stockholder hereunder and otherwise to act on behalf of such Selling Stockholder in connection with the transactions contemplated by this Agreement and the Custody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-704215</wp:posOffset>
            </wp:positionV>
            <wp:extent cx="279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49" w:lineRule="exact"/>
        <w:rPr>
          <w:sz w:val="20"/>
          <w:szCs w:val="20"/>
          <w:color w:val="auto"/>
        </w:rPr>
      </w:pPr>
    </w:p>
    <w:p>
      <w:pPr>
        <w:ind w:right="240" w:firstLine="262"/>
        <w:spacing w:after="0" w:line="289" w:lineRule="auto"/>
        <w:rPr>
          <w:sz w:val="20"/>
          <w:szCs w:val="20"/>
          <w:color w:val="auto"/>
        </w:rPr>
      </w:pPr>
      <w:r>
        <w:rPr>
          <w:rFonts w:ascii="Arial" w:cs="Arial" w:eastAsia="Arial" w:hAnsi="Arial"/>
          <w:sz w:val="17"/>
          <w:szCs w:val="17"/>
          <w:color w:val="auto"/>
        </w:rPr>
        <w:t>Each of the Selling Stockholders, severally and not jointly, specifically agrees that the Shares represented by the certificates held in custody for such Selling Stockholder under the Custody Agreement, are subject to the interests of the Underwriters hereunder, and that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264" w:name="page265"/>
    <w:bookmarkEnd w:id="264"/>
    <w:p>
      <w:pPr>
        <w:ind w:right="20"/>
        <w:spacing w:after="0" w:line="299" w:lineRule="auto"/>
        <w:rPr>
          <w:sz w:val="20"/>
          <w:szCs w:val="20"/>
          <w:color w:val="auto"/>
        </w:rPr>
      </w:pPr>
      <w:r>
        <w:rPr>
          <w:rFonts w:ascii="Arial" w:cs="Arial" w:eastAsia="Arial" w:hAnsi="Arial"/>
          <w:sz w:val="15"/>
          <w:szCs w:val="15"/>
          <w:color w:val="auto"/>
        </w:rPr>
        <w:t>arrangements made by such Selling Stockholder for such custody, and the appointment by such Selling Stockholder of the Attorneys-in-Fact by the Power of Attorney, are to that extent irrevocable. Each of the Selling Stockholders specifically agrees that the obligations of such Selling Stockholder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If any individual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Shares hereunder, certificates representing such Shares shall be delivered by or on behalf of such Selling Stockholder in accordance with the terms and conditions of this Agreement and the Custody Agreement,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auto"/>
        </w:rPr>
        <w:t>Further Agreements of the Company</w:t>
      </w:r>
      <w:r>
        <w:rPr>
          <w:rFonts w:ascii="Arial" w:cs="Arial" w:eastAsia="Arial" w:hAnsi="Arial"/>
          <w:sz w:val="17"/>
          <w:szCs w:val="17"/>
          <w:color w:val="auto"/>
        </w:rPr>
        <w:t>. The Company covenants and agrees with each Underwriter that:</w:t>
      </w:r>
    </w:p>
    <w:p>
      <w:pPr>
        <w:spacing w:after="0" w:line="119" w:lineRule="exact"/>
        <w:rPr>
          <w:sz w:val="20"/>
          <w:szCs w:val="20"/>
          <w:color w:val="auto"/>
        </w:rPr>
      </w:pPr>
    </w:p>
    <w:p>
      <w:pPr>
        <w:ind w:right="20" w:firstLine="267"/>
        <w:spacing w:after="0" w:line="265" w:lineRule="auto"/>
        <w:tabs>
          <w:tab w:leader="none" w:pos="499"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Prospectus with the Commission within the time periods specified by Rule 424(b) and Rule 430A or 430C</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and will file any Issuer Free Writing Prospectus to the extent required by Rule 433 under the Securities Act; and the Company will furnish copies of the Prospectus and each Issuer Free Writing Prospectus (to the extent not previously delivered) to the Underwriters in New York City as soon as practicable but in no event later than 10:00 A.M., New York City time on the second business day succeeding the date of this Agreement in such quantities as the Representatives may reasonably request.</w:t>
      </w:r>
    </w:p>
    <w:p>
      <w:pPr>
        <w:spacing w:after="0" w:line="73" w:lineRule="exact"/>
        <w:rPr>
          <w:rFonts w:ascii="Arial" w:cs="Arial" w:eastAsia="Arial" w:hAnsi="Arial"/>
          <w:sz w:val="17"/>
          <w:szCs w:val="17"/>
          <w:color w:val="auto"/>
        </w:rPr>
      </w:pPr>
    </w:p>
    <w:p>
      <w:pPr>
        <w:ind w:firstLine="267"/>
        <w:spacing w:after="0" w:line="262" w:lineRule="auto"/>
        <w:tabs>
          <w:tab w:leader="none" w:pos="509"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 xml:space="preserve">Delivery of Copies. </w:t>
      </w:r>
      <w:r>
        <w:rPr>
          <w:rFonts w:ascii="Arial" w:cs="Arial" w:eastAsia="Arial" w:hAnsi="Arial"/>
          <w:sz w:val="17"/>
          <w:szCs w:val="17"/>
          <w:color w:val="auto"/>
        </w:rPr>
        <w:t>The Company will deliver, without charge, (i) to the Representatives, four signed copies of the Registration Statement as originally</w:t>
      </w:r>
      <w:r>
        <w:rPr>
          <w:rFonts w:ascii="Arial" w:cs="Arial" w:eastAsia="Arial" w:hAnsi="Arial"/>
          <w:sz w:val="17"/>
          <w:szCs w:val="17"/>
          <w:i w:val="1"/>
          <w:iCs w:val="1"/>
          <w:color w:val="auto"/>
        </w:rPr>
        <w:t xml:space="preserve"> </w:t>
      </w:r>
      <w:r>
        <w:rPr>
          <w:rFonts w:ascii="Arial" w:cs="Arial" w:eastAsia="Arial" w:hAnsi="Arial"/>
          <w:sz w:val="17"/>
          <w:szCs w:val="17"/>
          <w:color w:val="auto"/>
        </w:rPr>
        <w:t>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77" w:lineRule="exact"/>
        <w:rPr>
          <w:rFonts w:ascii="Arial" w:cs="Arial" w:eastAsia="Arial" w:hAnsi="Arial"/>
          <w:sz w:val="17"/>
          <w:szCs w:val="17"/>
          <w:color w:val="auto"/>
        </w:rPr>
      </w:pPr>
    </w:p>
    <w:p>
      <w:pPr>
        <w:ind w:right="480" w:firstLine="267"/>
        <w:spacing w:after="0" w:line="273" w:lineRule="auto"/>
        <w:tabs>
          <w:tab w:leader="none" w:pos="499"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 xml:space="preserve">Amendments or Supplements, Issuer Free Writing Prospectuses. </w:t>
      </w:r>
      <w:r>
        <w:rPr>
          <w:rFonts w:ascii="Arial" w:cs="Arial" w:eastAsia="Arial" w:hAnsi="Arial"/>
          <w:sz w:val="17"/>
          <w:szCs w:val="17"/>
          <w:color w:val="auto"/>
        </w:rPr>
        <w:t>Before preparing, using, authorizing, approving, referring to or filing any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and before filing any amendment or supplement to the Registration Statement or the Prospectus, the Company will furnish to the Representatives and counsel for the Underwriters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65" w:name="page266"/>
    <w:bookmarkEnd w:id="265"/>
    <w:p>
      <w:pPr>
        <w:ind w:right="180"/>
        <w:spacing w:after="0" w:line="289" w:lineRule="auto"/>
        <w:rPr>
          <w:sz w:val="20"/>
          <w:szCs w:val="20"/>
          <w:color w:val="auto"/>
        </w:rPr>
      </w:pPr>
      <w:r>
        <w:rPr>
          <w:rFonts w:ascii="Arial" w:cs="Arial" w:eastAsia="Arial" w:hAnsi="Arial"/>
          <w:sz w:val="17"/>
          <w:szCs w:val="17"/>
          <w:color w:val="auto"/>
        </w:rPr>
        <w:t>copy of the proposed Issuer Free Writing Prospectus, amendment or supplement for review and will not prepare, use, authorize, approve, refer to or file any such Issuer Free Writing Prospectus or file any such proposed amendment or supplement to which the Representatives reasonably object.</w:t>
      </w:r>
    </w:p>
    <w:p>
      <w:pPr>
        <w:spacing w:after="0" w:line="53" w:lineRule="exact"/>
        <w:rPr>
          <w:sz w:val="20"/>
          <w:szCs w:val="20"/>
          <w:color w:val="auto"/>
        </w:rPr>
      </w:pPr>
    </w:p>
    <w:p>
      <w:pPr>
        <w:ind w:firstLine="267"/>
        <w:spacing w:after="0" w:line="277" w:lineRule="auto"/>
        <w:tabs>
          <w:tab w:leader="none" w:pos="509" w:val="left"/>
        </w:tabs>
        <w:numPr>
          <w:ilvl w:val="0"/>
          <w:numId w:val="179"/>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has become effective; (ii) when any amendment to the Registration Statement has been filed or becomes effective; (iii) when any supplement to the Prospectus or any Issuer Free Writing Prospectus or any amendment to the Prospectus has been filed;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(vi)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its best efforts to prevent the issuance of any such order suspending the effectiveness of the Registration Statement, preventing or suspending the use of any Preliminary Prospectus or the Prospectus or suspending any such qualification of the Shares and, if any such order is issued, will use its best efforts to obtain as soon as possible the withdrawal thereof.</w:t>
      </w:r>
    </w:p>
    <w:p>
      <w:pPr>
        <w:spacing w:after="0" w:line="65" w:lineRule="exact"/>
        <w:rPr>
          <w:rFonts w:ascii="Arial" w:cs="Arial" w:eastAsia="Arial" w:hAnsi="Arial"/>
          <w:sz w:val="16"/>
          <w:szCs w:val="16"/>
          <w:color w:val="auto"/>
        </w:rPr>
      </w:pPr>
    </w:p>
    <w:p>
      <w:pPr>
        <w:ind w:right="20" w:firstLine="267"/>
        <w:spacing w:after="0" w:line="299" w:lineRule="auto"/>
        <w:tabs>
          <w:tab w:leader="none" w:pos="499" w:val="left"/>
        </w:tabs>
        <w:numPr>
          <w:ilvl w:val="0"/>
          <w:numId w:val="179"/>
        </w:numPr>
        <w:rPr>
          <w:rFonts w:ascii="Arial" w:cs="Arial" w:eastAsia="Arial" w:hAnsi="Arial"/>
          <w:sz w:val="15"/>
          <w:szCs w:val="15"/>
          <w:color w:val="auto"/>
        </w:rPr>
      </w:pPr>
      <w:r>
        <w:rPr>
          <w:rFonts w:ascii="Arial" w:cs="Arial" w:eastAsia="Arial" w:hAnsi="Arial"/>
          <w:sz w:val="15"/>
          <w:szCs w:val="15"/>
          <w:i w:val="1"/>
          <w:iCs w:val="1"/>
          <w:color w:val="auto"/>
        </w:rPr>
        <w:t xml:space="preserve">Ongoing Compliance. </w:t>
      </w:r>
      <w:r>
        <w:rPr>
          <w:rFonts w:ascii="Arial" w:cs="Arial" w:eastAsia="Arial" w:hAnsi="Arial"/>
          <w:sz w:val="15"/>
          <w:szCs w:val="15"/>
          <w:color w:val="auto"/>
        </w:rPr>
        <w:t>(1) If during the Prospectus Delivery Period (i) any event shall occur or condition shall exist as a result of which the Prospectus as</w:t>
      </w:r>
      <w:r>
        <w:rPr>
          <w:rFonts w:ascii="Arial" w:cs="Arial" w:eastAsia="Arial" w:hAnsi="Arial"/>
          <w:sz w:val="15"/>
          <w:szCs w:val="15"/>
          <w:i w:val="1"/>
          <w:iCs w:val="1"/>
          <w:color w:val="auto"/>
        </w:rPr>
        <w:t xml:space="preserve"> </w:t>
      </w:r>
      <w:r>
        <w:rPr>
          <w:rFonts w:ascii="Arial" w:cs="Arial" w:eastAsia="Arial" w:hAnsi="Arial"/>
          <w:sz w:val="15"/>
          <w:szCs w:val="15"/>
          <w:color w:val="auto"/>
        </w:rPr>
        <w:t>then amended or supplemented would include any untrue statement of a material fact or omit to state any material fact required to be stated therein or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not misleading or (ii) it is necessary to amend or supplement the Time of Sale Information to comply with law, the Company will immediately notify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66" w:name="page267"/>
    <w:bookmarkEnd w:id="266"/>
    <w:p>
      <w:pPr>
        <w:ind w:right="140"/>
        <w:spacing w:after="0" w:line="267" w:lineRule="auto"/>
        <w:rPr>
          <w:sz w:val="20"/>
          <w:szCs w:val="20"/>
          <w:color w:val="auto"/>
        </w:rPr>
      </w:pPr>
      <w:r>
        <w:rPr>
          <w:rFonts w:ascii="Arial" w:cs="Arial" w:eastAsia="Arial" w:hAnsi="Arial"/>
          <w:sz w:val="17"/>
          <w:szCs w:val="17"/>
          <w:color w:val="auto"/>
        </w:rPr>
        <w:t>Underwriters thereof and forthwith prepare and, subject to paragraph (c) above,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be misleading or so that the Time of Sale Information will comply with law.</w:t>
      </w:r>
    </w:p>
    <w:p>
      <w:pPr>
        <w:spacing w:after="0" w:line="73" w:lineRule="exact"/>
        <w:rPr>
          <w:sz w:val="20"/>
          <w:szCs w:val="20"/>
          <w:color w:val="auto"/>
        </w:rPr>
      </w:pPr>
    </w:p>
    <w:p>
      <w:pPr>
        <w:ind w:right="40" w:firstLine="267"/>
        <w:spacing w:after="0" w:line="265" w:lineRule="auto"/>
        <w:tabs>
          <w:tab w:leader="none" w:pos="480"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 xml:space="preserve">Blue Sky Compliance. </w:t>
      </w:r>
      <w:r>
        <w:rPr>
          <w:rFonts w:ascii="Arial" w:cs="Arial" w:eastAsia="Arial" w:hAnsi="Arial"/>
          <w:sz w:val="17"/>
          <w:szCs w:val="17"/>
          <w:color w:val="auto"/>
        </w:rPr>
        <w:t>The Company will qualify the Shares for offer and sale under the securities or Blue Sky laws of such jurisdictions as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Representatives shall reasonably request and will continue such qualifications in effect so long as required for distribution of the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 jurisdiction where it would not otherwise be required to qualify, (ii) file any general consent to service of process in any such jurisdiction or (iii) subject itself to taxation in any jurisdiction if it is not otherwise so subject.</w:t>
      </w:r>
    </w:p>
    <w:p>
      <w:pPr>
        <w:spacing w:after="0" w:line="73" w:lineRule="exact"/>
        <w:rPr>
          <w:rFonts w:ascii="Arial" w:cs="Arial" w:eastAsia="Arial" w:hAnsi="Arial"/>
          <w:sz w:val="17"/>
          <w:szCs w:val="17"/>
          <w:color w:val="auto"/>
        </w:rPr>
      </w:pPr>
    </w:p>
    <w:p>
      <w:pPr>
        <w:ind w:right="100" w:firstLine="267"/>
        <w:spacing w:after="0" w:line="325" w:lineRule="auto"/>
        <w:tabs>
          <w:tab w:leader="none" w:pos="509" w:val="left"/>
        </w:tabs>
        <w:numPr>
          <w:ilvl w:val="0"/>
          <w:numId w:val="180"/>
        </w:numPr>
        <w:rPr>
          <w:rFonts w:ascii="Arial" w:cs="Arial" w:eastAsia="Arial" w:hAnsi="Arial"/>
          <w:sz w:val="15"/>
          <w:szCs w:val="15"/>
          <w:color w:val="auto"/>
        </w:rPr>
      </w:pPr>
      <w:r>
        <w:rPr>
          <w:rFonts w:ascii="Arial" w:cs="Arial" w:eastAsia="Arial" w:hAnsi="Arial"/>
          <w:sz w:val="15"/>
          <w:szCs w:val="15"/>
          <w:i w:val="1"/>
          <w:iCs w:val="1"/>
          <w:color w:val="auto"/>
        </w:rPr>
        <w:t xml:space="preserve">Earning Statement. </w:t>
      </w:r>
      <w:r>
        <w:rPr>
          <w:rFonts w:ascii="Arial" w:cs="Arial" w:eastAsia="Arial" w:hAnsi="Arial"/>
          <w:sz w:val="15"/>
          <w:szCs w:val="15"/>
          <w:color w:val="auto"/>
        </w:rPr>
        <w:t>The Company will make generally available to its security holders and the Representatives as soon as practicable an earning statement</w:t>
      </w:r>
      <w:r>
        <w:rPr>
          <w:rFonts w:ascii="Arial" w:cs="Arial" w:eastAsia="Arial" w:hAnsi="Arial"/>
          <w:sz w:val="15"/>
          <w:szCs w:val="15"/>
          <w:i w:val="1"/>
          <w:iCs w:val="1"/>
          <w:color w:val="auto"/>
        </w:rPr>
        <w:t xml:space="preserve"> </w:t>
      </w:r>
      <w:r>
        <w:rPr>
          <w:rFonts w:ascii="Arial" w:cs="Arial" w:eastAsia="Arial" w:hAnsi="Arial"/>
          <w:sz w:val="15"/>
          <w:szCs w:val="15"/>
          <w:color w:val="auto"/>
        </w:rPr>
        <w:t>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32" w:lineRule="exact"/>
        <w:rPr>
          <w:rFonts w:ascii="Arial" w:cs="Arial" w:eastAsia="Arial" w:hAnsi="Arial"/>
          <w:sz w:val="15"/>
          <w:szCs w:val="15"/>
          <w:color w:val="auto"/>
        </w:rPr>
      </w:pPr>
    </w:p>
    <w:p>
      <w:pPr>
        <w:ind w:firstLine="267"/>
        <w:spacing w:after="0" w:line="276" w:lineRule="auto"/>
        <w:tabs>
          <w:tab w:leader="none" w:pos="509"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 xml:space="preserve">Clear Market. </w:t>
      </w:r>
      <w:r>
        <w:rPr>
          <w:rFonts w:ascii="Arial" w:cs="Arial" w:eastAsia="Arial" w:hAnsi="Arial"/>
          <w:sz w:val="16"/>
          <w:szCs w:val="16"/>
          <w:color w:val="auto"/>
        </w:rPr>
        <w:t>For a period of 180 days after the date of the Prospectus, the Company will not (i) offer, pledge, announce the intention to sell, sell,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 (ii) enter into any swap or other agreement that transfers, in whole or in part, any of the economic consequences of ownership of the Common Stock, whether any such transaction described in clause (i) or (ii) above is to be settled by delivery of Common Stock or such other securities, in cash or otherwise, without the prior written consent of J.P. Morgan Securities Inc. on behalf of the Representatives, other than (w) the Shares to be sold hereunder, (x) any shares of Common Stock issued upon the exercise of outstanding options or under existing employee or director compensation or stock option plans, (y) options or rights to purchase Common Stock granted under existing employee or director compensation or stock option plans and (z) up to an aggregate of 1,370,000 shares of Common Stock or securities convertible into or exercisable or exchangeable for Common Stock issued in connection with any transaction with an unaffiliated third party that includes a commercial relationship (including joint ventures, marketing or distributing arrangements, collaboration agreements or intellectual property license agreements) or any acquisition of assets or acquisition of a majority or controlling portion of the equity of another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recipient of Common Stock or securities convertible into or exercisable or exchangeable for Common Stock pursuant to clause (z) above executes and delivers to the Representatives a “lock-up” agreement covering such Common Stock or securities for the remainder of the 180-day restricted period, or any extension thereof as described below, substantially in the form of Exhibit A hereto. Notwithstanding the foregoing, if (1) during the last 17 days of the 180-day restricted period, the Company issues an earnings release or material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267" w:name="page268"/>
    <w:bookmarkEnd w:id="267"/>
    <w:p>
      <w:pPr>
        <w:jc w:val="both"/>
        <w:ind w:right="80"/>
        <w:spacing w:after="0" w:line="297" w:lineRule="auto"/>
        <w:rPr>
          <w:sz w:val="20"/>
          <w:szCs w:val="20"/>
          <w:color w:val="auto"/>
        </w:rPr>
      </w:pPr>
      <w:r>
        <w:rPr>
          <w:rFonts w:ascii="Arial" w:cs="Arial" w:eastAsia="Arial" w:hAnsi="Arial"/>
          <w:sz w:val="16"/>
          <w:szCs w:val="16"/>
          <w:color w:val="auto"/>
        </w:rPr>
        <w:t>news or a material event relating to the Company occurs; or (2) prior to the expiration of the 180-day restricted period, the Company announces that it will release earnings results during the 16-day period beginning on the last day of the 180-day period, the restrictions imposed by this Agreement shall continue to apply until the expiration of the 18-day period beginning on the issuance of the earnings release or the occurrence of the material news or material event.</w:t>
      </w:r>
    </w:p>
    <w:p>
      <w:pPr>
        <w:spacing w:after="0" w:line="50" w:lineRule="exact"/>
        <w:rPr>
          <w:sz w:val="20"/>
          <w:szCs w:val="20"/>
          <w:color w:val="auto"/>
        </w:rPr>
      </w:pPr>
    </w:p>
    <w:p>
      <w:pPr>
        <w:ind w:firstLine="267"/>
        <w:spacing w:after="0" w:line="289" w:lineRule="auto"/>
        <w:tabs>
          <w:tab w:leader="none" w:pos="470"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Shares in all material respects as described in the Registration Statement,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of Sale Information and the Prospectus under the heading “Use of proceeds.”</w:t>
      </w:r>
    </w:p>
    <w:p>
      <w:pPr>
        <w:spacing w:after="0" w:line="53" w:lineRule="exact"/>
        <w:rPr>
          <w:rFonts w:ascii="Arial" w:cs="Arial" w:eastAsia="Arial" w:hAnsi="Arial"/>
          <w:sz w:val="17"/>
          <w:szCs w:val="17"/>
          <w:color w:val="auto"/>
        </w:rPr>
      </w:pPr>
    </w:p>
    <w:p>
      <w:pPr>
        <w:ind w:right="320" w:firstLine="267"/>
        <w:spacing w:after="0" w:line="289" w:lineRule="auto"/>
        <w:tabs>
          <w:tab w:leader="none" w:pos="470"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The Company will not take, directly or indirectly, without giving effect to activities by the Underwriters, any action designed to or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reasonably be expected to cause or result in any stabilization or manipulation of the price of the Shares.</w:t>
      </w:r>
    </w:p>
    <w:p>
      <w:pPr>
        <w:spacing w:after="0" w:line="53" w:lineRule="exact"/>
        <w:rPr>
          <w:rFonts w:ascii="Arial" w:cs="Arial" w:eastAsia="Arial" w:hAnsi="Arial"/>
          <w:sz w:val="17"/>
          <w:szCs w:val="17"/>
          <w:color w:val="auto"/>
        </w:rPr>
      </w:pPr>
    </w:p>
    <w:p>
      <w:pPr>
        <w:ind w:left="520" w:hanging="253"/>
        <w:spacing w:after="0"/>
        <w:tabs>
          <w:tab w:leader="none" w:pos="520"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its best efforts to list the Shares on the New York Stock Exchange.</w:t>
      </w:r>
    </w:p>
    <w:p>
      <w:pPr>
        <w:spacing w:after="0" w:line="118" w:lineRule="exact"/>
        <w:rPr>
          <w:rFonts w:ascii="Arial" w:cs="Arial" w:eastAsia="Arial" w:hAnsi="Arial"/>
          <w:sz w:val="17"/>
          <w:szCs w:val="17"/>
          <w:color w:val="auto"/>
        </w:rPr>
      </w:pPr>
    </w:p>
    <w:p>
      <w:pPr>
        <w:ind w:right="20" w:firstLine="267"/>
        <w:spacing w:after="0" w:line="265" w:lineRule="auto"/>
        <w:tabs>
          <w:tab w:leader="none" w:pos="470"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 xml:space="preserve">Reports. </w:t>
      </w:r>
      <w:r>
        <w:rPr>
          <w:rFonts w:ascii="Arial" w:cs="Arial" w:eastAsia="Arial" w:hAnsi="Arial"/>
          <w:sz w:val="17"/>
          <w:szCs w:val="17"/>
          <w:color w:val="auto"/>
        </w:rPr>
        <w:t>During a period of three years from the date hereof, the Company will furnish to the Representatives, as soon as they are available, copies of 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report, communication or financial statement furnished or filed with the Commission that is publicly available on the Commission’s EDGAR system shall be deemed to have been furnished to the Representatives at the time furnished or filed with the Commission.</w:t>
      </w:r>
    </w:p>
    <w:p>
      <w:pPr>
        <w:spacing w:after="0" w:line="73" w:lineRule="exact"/>
        <w:rPr>
          <w:rFonts w:ascii="Arial" w:cs="Arial" w:eastAsia="Arial" w:hAnsi="Arial"/>
          <w:sz w:val="17"/>
          <w:szCs w:val="17"/>
          <w:color w:val="auto"/>
        </w:rPr>
      </w:pPr>
    </w:p>
    <w:p>
      <w:pPr>
        <w:ind w:right="60" w:firstLine="267"/>
        <w:spacing w:after="0" w:line="289" w:lineRule="auto"/>
        <w:tabs>
          <w:tab w:leader="none" w:pos="557"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 Writing Prospectus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not filed with the Commission in accordance with Rule 433 under the Securities Act.</w:t>
      </w:r>
    </w:p>
    <w:p>
      <w:pPr>
        <w:spacing w:after="0" w:line="53" w:lineRule="exact"/>
        <w:rPr>
          <w:rFonts w:ascii="Arial" w:cs="Arial" w:eastAsia="Arial" w:hAnsi="Arial"/>
          <w:sz w:val="17"/>
          <w:szCs w:val="17"/>
          <w:color w:val="auto"/>
        </w:rPr>
      </w:pPr>
    </w:p>
    <w:p>
      <w:pPr>
        <w:ind w:left="520" w:hanging="253"/>
        <w:spacing w:after="0"/>
        <w:tabs>
          <w:tab w:leader="none" w:pos="520"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t xml:space="preserve">Filings. </w:t>
      </w:r>
      <w:r>
        <w:rPr>
          <w:rFonts w:ascii="Arial" w:cs="Arial" w:eastAsia="Arial" w:hAnsi="Arial"/>
          <w:sz w:val="17"/>
          <w:szCs w:val="17"/>
          <w:color w:val="auto"/>
        </w:rPr>
        <w:t>The Company will file with the Commission such reports as may be required by Rule 463 under the Securities Act.</w:t>
      </w:r>
    </w:p>
    <w:p>
      <w:pPr>
        <w:spacing w:after="0" w:line="119" w:lineRule="exact"/>
        <w:rPr>
          <w:sz w:val="20"/>
          <w:szCs w:val="20"/>
          <w:color w:val="auto"/>
        </w:rPr>
      </w:pPr>
    </w:p>
    <w:p>
      <w:pPr>
        <w:ind w:left="440" w:hanging="173"/>
        <w:spacing w:after="0"/>
        <w:tabs>
          <w:tab w:leader="none" w:pos="44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Further Agreements of the Selling Stockholders</w:t>
      </w:r>
      <w:r>
        <w:rPr>
          <w:rFonts w:ascii="Arial" w:cs="Arial" w:eastAsia="Arial" w:hAnsi="Arial"/>
          <w:sz w:val="16"/>
          <w:szCs w:val="16"/>
          <w:color w:val="auto"/>
        </w:rPr>
        <w:t>. Each of the Selling Stockholders, severally and not jointly, covenants and agrees with each Underwriter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that:</w:t>
      </w:r>
    </w:p>
    <w:p>
      <w:pPr>
        <w:spacing w:after="0" w:line="107" w:lineRule="exact"/>
        <w:rPr>
          <w:sz w:val="20"/>
          <w:szCs w:val="20"/>
          <w:color w:val="auto"/>
        </w:rPr>
      </w:pPr>
    </w:p>
    <w:p>
      <w:pPr>
        <w:ind w:right="20" w:firstLine="267"/>
        <w:spacing w:after="0" w:line="289" w:lineRule="auto"/>
        <w:tabs>
          <w:tab w:leader="none" w:pos="499"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Clear Market</w:t>
      </w:r>
      <w:r>
        <w:rPr>
          <w:rFonts w:ascii="Arial" w:cs="Arial" w:eastAsia="Arial" w:hAnsi="Arial"/>
          <w:sz w:val="17"/>
          <w:szCs w:val="17"/>
          <w:color w:val="auto"/>
        </w:rPr>
        <w:t>. It will comply with the terms of the “lock-up” agreement, substantially in the form of Exhibit A hereto, entered into with the Underwriters on</w:t>
      </w:r>
      <w:r>
        <w:rPr>
          <w:rFonts w:ascii="Arial" w:cs="Arial" w:eastAsia="Arial" w:hAnsi="Arial"/>
          <w:sz w:val="17"/>
          <w:szCs w:val="17"/>
          <w:i w:val="1"/>
          <w:iCs w:val="1"/>
          <w:color w:val="auto"/>
        </w:rPr>
        <w:t xml:space="preserve"> </w:t>
      </w:r>
      <w:r>
        <w:rPr>
          <w:rFonts w:ascii="Arial" w:cs="Arial" w:eastAsia="Arial" w:hAnsi="Arial"/>
          <w:sz w:val="17"/>
          <w:szCs w:val="17"/>
          <w:color w:val="auto"/>
        </w:rPr>
        <w:t>or before the date hereof.</w:t>
      </w:r>
    </w:p>
    <w:p>
      <w:pPr>
        <w:spacing w:after="0" w:line="53" w:lineRule="exact"/>
        <w:rPr>
          <w:rFonts w:ascii="Arial" w:cs="Arial" w:eastAsia="Arial" w:hAnsi="Arial"/>
          <w:sz w:val="17"/>
          <w:szCs w:val="17"/>
          <w:color w:val="auto"/>
        </w:rPr>
      </w:pPr>
    </w:p>
    <w:p>
      <w:pPr>
        <w:jc w:val="both"/>
        <w:ind w:right="60" w:firstLine="267"/>
        <w:spacing w:after="0" w:line="267" w:lineRule="auto"/>
        <w:tabs>
          <w:tab w:leader="none" w:pos="509" w:val="left"/>
        </w:tabs>
        <w:numPr>
          <w:ilvl w:val="0"/>
          <w:numId w:val="183"/>
        </w:numPr>
        <w:rPr>
          <w:rFonts w:ascii="Arial" w:cs="Arial" w:eastAsia="Arial" w:hAnsi="Arial"/>
          <w:sz w:val="17"/>
          <w:szCs w:val="17"/>
          <w:color w:val="auto"/>
        </w:rPr>
      </w:pPr>
      <w:r>
        <w:rPr>
          <w:rFonts w:ascii="Arial" w:cs="Arial" w:eastAsia="Arial" w:hAnsi="Arial"/>
          <w:sz w:val="17"/>
          <w:szCs w:val="17"/>
          <w:i w:val="1"/>
          <w:iCs w:val="1"/>
          <w:color w:val="auto"/>
        </w:rPr>
        <w:t xml:space="preserve">Tax Form. </w:t>
      </w:r>
      <w:r>
        <w:rPr>
          <w:rFonts w:ascii="Arial" w:cs="Arial" w:eastAsia="Arial" w:hAnsi="Arial"/>
          <w:sz w:val="17"/>
          <w:szCs w:val="17"/>
          <w:color w:val="auto"/>
        </w:rPr>
        <w:t>It will deliver to the Representatives prior to or at the Closing Date a properly completed and executed United States Treasury Department Form</w:t>
      </w:r>
      <w:r>
        <w:rPr>
          <w:rFonts w:ascii="Arial" w:cs="Arial" w:eastAsia="Arial" w:hAnsi="Arial"/>
          <w:sz w:val="17"/>
          <w:szCs w:val="17"/>
          <w:i w:val="1"/>
          <w:iCs w:val="1"/>
          <w:color w:val="auto"/>
        </w:rPr>
        <w:t xml:space="preserve"> </w:t>
      </w:r>
      <w:r>
        <w:rPr>
          <w:rFonts w:ascii="Arial" w:cs="Arial" w:eastAsia="Arial" w:hAnsi="Arial"/>
          <w:sz w:val="17"/>
          <w:szCs w:val="17"/>
          <w:color w:val="auto"/>
        </w:rPr>
        <w:t>W-9 (or other applicable form or statement specified by the Treasury Department regulations in lieu thereof) in order to facilitate the Underwriters’ documentation of their compliance with the reporting and withholding provisions of the Tax Equity and Fiscal Responsibility Act of 1982 with respect to the transactions herein contemplated.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68" w:name="page269"/>
    <w:bookmarkEnd w:id="268"/>
    <w:p>
      <w:pPr>
        <w:ind w:left="260"/>
        <w:spacing w:after="0"/>
        <w:rPr>
          <w:sz w:val="20"/>
          <w:szCs w:val="20"/>
          <w:color w:val="auto"/>
        </w:rPr>
      </w:pPr>
      <w:r>
        <w:rPr>
          <w:rFonts w:ascii="Arial" w:cs="Arial" w:eastAsia="Arial" w:hAnsi="Arial"/>
          <w:sz w:val="17"/>
          <w:szCs w:val="17"/>
          <w:color w:val="auto"/>
        </w:rPr>
        <w:t xml:space="preserve">7. </w:t>
      </w:r>
      <w:r>
        <w:rPr>
          <w:rFonts w:ascii="Arial" w:cs="Arial" w:eastAsia="Arial" w:hAnsi="Arial"/>
          <w:sz w:val="17"/>
          <w:szCs w:val="17"/>
          <w:u w:val="single" w:color="auto"/>
          <w:color w:val="auto"/>
        </w:rPr>
        <w:t>Certain Agreements of the Underwriters</w:t>
      </w:r>
      <w:r>
        <w:rPr>
          <w:rFonts w:ascii="Arial" w:cs="Arial" w:eastAsia="Arial" w:hAnsi="Arial"/>
          <w:sz w:val="17"/>
          <w:szCs w:val="17"/>
          <w:color w:val="auto"/>
        </w:rPr>
        <w:t>. Each Underwriter hereby represents and agrees that:</w:t>
      </w:r>
    </w:p>
    <w:p>
      <w:pPr>
        <w:spacing w:after="0" w:line="119" w:lineRule="exact"/>
        <w:rPr>
          <w:sz w:val="20"/>
          <w:szCs w:val="20"/>
          <w:color w:val="auto"/>
        </w:rPr>
      </w:pPr>
    </w:p>
    <w:p>
      <w:pPr>
        <w:ind w:firstLine="267"/>
        <w:spacing w:after="0" w:line="294" w:lineRule="auto"/>
        <w:tabs>
          <w:tab w:leader="none" w:pos="499" w:val="left"/>
        </w:tabs>
        <w:numPr>
          <w:ilvl w:val="1"/>
          <w:numId w:val="184"/>
        </w:numPr>
        <w:rPr>
          <w:rFonts w:ascii="Arial" w:cs="Arial" w:eastAsia="Arial" w:hAnsi="Arial"/>
          <w:sz w:val="15"/>
          <w:szCs w:val="15"/>
          <w:color w:val="auto"/>
        </w:rPr>
      </w:pPr>
      <w:r>
        <w:rPr>
          <w:rFonts w:ascii="Arial" w:cs="Arial" w:eastAsia="Arial" w:hAnsi="Arial"/>
          <w:sz w:val="15"/>
          <w:szCs w:val="15"/>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B or prepared pursuant to Section 3(c) or Section 4(c) above, or (iii) any free writing prospectus prepared by such underwriter and approved by the Company in advance in writing (each such free writing prospectus referred to in clauses</w:t>
      </w:r>
    </w:p>
    <w:p>
      <w:pPr>
        <w:spacing w:after="0" w:line="1" w:lineRule="exact"/>
        <w:rPr>
          <w:rFonts w:ascii="Arial" w:cs="Arial" w:eastAsia="Arial" w:hAnsi="Arial"/>
          <w:sz w:val="15"/>
          <w:szCs w:val="15"/>
          <w:color w:val="auto"/>
        </w:rPr>
      </w:pPr>
    </w:p>
    <w:p>
      <w:pPr>
        <w:ind w:left="220" w:hanging="215"/>
        <w:spacing w:after="0"/>
        <w:tabs>
          <w:tab w:leader="none" w:pos="22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or (iii), an “Underwriter Free Writing Prospectus”).</w:t>
      </w:r>
    </w:p>
    <w:p>
      <w:pPr>
        <w:spacing w:after="0" w:line="106" w:lineRule="exact"/>
        <w:rPr>
          <w:rFonts w:ascii="Arial" w:cs="Arial" w:eastAsia="Arial" w:hAnsi="Arial"/>
          <w:sz w:val="17"/>
          <w:szCs w:val="17"/>
          <w:color w:val="auto"/>
        </w:rPr>
      </w:pPr>
    </w:p>
    <w:p>
      <w:pPr>
        <w:ind w:right="240" w:firstLine="267"/>
        <w:spacing w:after="0" w:line="289" w:lineRule="auto"/>
        <w:tabs>
          <w:tab w:leader="none" w:pos="509" w:val="left"/>
        </w:tabs>
        <w:numPr>
          <w:ilvl w:val="1"/>
          <w:numId w:val="185"/>
        </w:numPr>
        <w:rPr>
          <w:rFonts w:ascii="Arial" w:cs="Arial" w:eastAsia="Arial" w:hAnsi="Arial"/>
          <w:sz w:val="17"/>
          <w:szCs w:val="17"/>
          <w:color w:val="auto"/>
        </w:rPr>
      </w:pPr>
      <w:r>
        <w:rPr>
          <w:rFonts w:ascii="Arial" w:cs="Arial" w:eastAsia="Arial" w:hAnsi="Arial"/>
          <w:sz w:val="17"/>
          <w:szCs w:val="17"/>
          <w:color w:val="auto"/>
        </w:rPr>
        <w:t>It has not and will not distribute any Underwriter Free Writing Prospectus referred to in clause (a)(i) in a manner reasonably designed to lead to its broad unrestricted dissemination.</w:t>
      </w:r>
    </w:p>
    <w:p>
      <w:pPr>
        <w:spacing w:after="0" w:line="53" w:lineRule="exact"/>
        <w:rPr>
          <w:rFonts w:ascii="Arial" w:cs="Arial" w:eastAsia="Arial" w:hAnsi="Arial"/>
          <w:sz w:val="17"/>
          <w:szCs w:val="17"/>
          <w:color w:val="auto"/>
        </w:rPr>
      </w:pPr>
    </w:p>
    <w:p>
      <w:pPr>
        <w:ind w:right="40" w:firstLine="267"/>
        <w:spacing w:after="0" w:line="289" w:lineRule="auto"/>
        <w:tabs>
          <w:tab w:leader="none" w:pos="499"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Underwriters may use a term sheet substantially in the form of Annex C hereto without the consent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Underwriter using such term sheet shall notify the Company, and provide a copy of such term sheet to the Company, prior to, or substantially concurrently with, the first use of such term sheet.</w:t>
      </w:r>
    </w:p>
    <w:p>
      <w:pPr>
        <w:spacing w:after="0" w:line="56" w:lineRule="exact"/>
        <w:rPr>
          <w:rFonts w:ascii="Arial" w:cs="Arial" w:eastAsia="Arial" w:hAnsi="Arial"/>
          <w:sz w:val="16"/>
          <w:szCs w:val="16"/>
          <w:color w:val="auto"/>
        </w:rPr>
      </w:pPr>
    </w:p>
    <w:p>
      <w:pPr>
        <w:ind w:right="60" w:firstLine="267"/>
        <w:spacing w:after="0" w:line="289" w:lineRule="auto"/>
        <w:tabs>
          <w:tab w:leader="none" w:pos="509" w:val="left"/>
        </w:tabs>
        <w:numPr>
          <w:ilvl w:val="1"/>
          <w:numId w:val="185"/>
        </w:numPr>
        <w:rPr>
          <w:rFonts w:ascii="Arial" w:cs="Arial" w:eastAsia="Arial" w:hAnsi="Arial"/>
          <w:sz w:val="17"/>
          <w:szCs w:val="17"/>
          <w:color w:val="auto"/>
        </w:rPr>
      </w:pPr>
      <w:r>
        <w:rPr>
          <w:rFonts w:ascii="Arial" w:cs="Arial" w:eastAsia="Arial" w:hAnsi="Arial"/>
          <w:sz w:val="17"/>
          <w:szCs w:val="17"/>
          <w:color w:val="auto"/>
        </w:rPr>
        <w:t>It will, pursuant to reasonable procedures developed in good faith, retain copies of each free writing prospectus used or referred to by it, in accordance with Rule 433 under the Securities Act.</w:t>
      </w:r>
    </w:p>
    <w:p>
      <w:pPr>
        <w:spacing w:after="0" w:line="53" w:lineRule="exact"/>
        <w:rPr>
          <w:rFonts w:ascii="Arial" w:cs="Arial" w:eastAsia="Arial" w:hAnsi="Arial"/>
          <w:sz w:val="17"/>
          <w:szCs w:val="17"/>
          <w:color w:val="auto"/>
        </w:rPr>
      </w:pPr>
    </w:p>
    <w:p>
      <w:pPr>
        <w:ind w:right="40" w:firstLine="267"/>
        <w:spacing w:after="0" w:line="289" w:lineRule="auto"/>
        <w:tabs>
          <w:tab w:leader="none" w:pos="499" w:val="left"/>
        </w:tabs>
        <w:numPr>
          <w:ilvl w:val="1"/>
          <w:numId w:val="185"/>
        </w:numPr>
        <w:rPr>
          <w:rFonts w:ascii="Arial" w:cs="Arial" w:eastAsia="Arial" w:hAnsi="Arial"/>
          <w:sz w:val="17"/>
          <w:szCs w:val="17"/>
          <w:color w:val="auto"/>
        </w:rPr>
      </w:pPr>
      <w:r>
        <w:rPr>
          <w:rFonts w:ascii="Arial" w:cs="Arial" w:eastAsia="Arial" w:hAnsi="Arial"/>
          <w:sz w:val="17"/>
          <w:szCs w:val="17"/>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53" w:lineRule="exact"/>
        <w:rPr>
          <w:sz w:val="20"/>
          <w:szCs w:val="20"/>
          <w:color w:val="auto"/>
        </w:rPr>
      </w:pPr>
    </w:p>
    <w:p>
      <w:pPr>
        <w:jc w:val="both"/>
        <w:ind w:right="60" w:firstLine="267"/>
        <w:spacing w:after="0" w:line="273" w:lineRule="auto"/>
        <w:tabs>
          <w:tab w:leader="none" w:pos="436"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xml:space="preserve"> The obligation of each Underwriter to purchase the Underwritten Shares on the Closing Date or the Option Shares on the Additional Closing Date, as the case may be, as provided herein is subject to the performance by the Company and each of the Selling Stockholders of their respective covenants and other obligations hereunder and to the following additional conditions:</w:t>
      </w:r>
    </w:p>
    <w:p>
      <w:pPr>
        <w:spacing w:after="0" w:line="66" w:lineRule="exact"/>
        <w:rPr>
          <w:sz w:val="20"/>
          <w:szCs w:val="20"/>
          <w:color w:val="auto"/>
        </w:rPr>
      </w:pPr>
    </w:p>
    <w:p>
      <w:pPr>
        <w:ind w:right="40" w:firstLine="267"/>
        <w:spacing w:after="0" w:line="267" w:lineRule="auto"/>
        <w:tabs>
          <w:tab w:leader="none" w:pos="499" w:val="left"/>
        </w:tabs>
        <w:numPr>
          <w:ilvl w:val="0"/>
          <w:numId w:val="187"/>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 proceeding for such</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69" w:name="page270"/>
    <w:bookmarkEnd w:id="269"/>
    <w:p>
      <w:pPr>
        <w:spacing w:after="0"/>
        <w:rPr>
          <w:sz w:val="20"/>
          <w:szCs w:val="20"/>
          <w:color w:val="auto"/>
        </w:rPr>
      </w:pPr>
      <w:r>
        <w:rPr>
          <w:rFonts w:ascii="Arial" w:cs="Arial" w:eastAsia="Arial" w:hAnsi="Arial"/>
          <w:sz w:val="16"/>
          <w:szCs w:val="16"/>
          <w:color w:val="auto"/>
        </w:rPr>
        <w:t>hereof; and all requests by the Commission for additional information shall have been complied with to the reasonable satisfaction of the Representatives.</w:t>
      </w:r>
    </w:p>
    <w:p>
      <w:pPr>
        <w:spacing w:after="0" w:line="130" w:lineRule="exact"/>
        <w:rPr>
          <w:sz w:val="20"/>
          <w:szCs w:val="20"/>
          <w:color w:val="auto"/>
        </w:rPr>
      </w:pPr>
    </w:p>
    <w:p>
      <w:pPr>
        <w:ind w:right="80" w:firstLine="267"/>
        <w:spacing w:after="0" w:line="267" w:lineRule="auto"/>
        <w:tabs>
          <w:tab w:leader="none" w:pos="509"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w:t>
      </w:r>
      <w:r>
        <w:rPr>
          <w:rFonts w:ascii="Arial" w:cs="Arial" w:eastAsia="Arial" w:hAnsi="Arial"/>
          <w:sz w:val="17"/>
          <w:szCs w:val="17"/>
          <w:color w:val="auto"/>
        </w:rPr>
        <w:t>The respective representations and warranties of the Company and the Selling Stockholders contained herein shall be true</w:t>
      </w:r>
      <w:r>
        <w:rPr>
          <w:rFonts w:ascii="Arial" w:cs="Arial" w:eastAsia="Arial" w:hAnsi="Arial"/>
          <w:sz w:val="17"/>
          <w:szCs w:val="17"/>
          <w:i w:val="1"/>
          <w:iCs w:val="1"/>
          <w:color w:val="auto"/>
        </w:rPr>
        <w:t xml:space="preserve"> </w:t>
      </w:r>
      <w:r>
        <w:rPr>
          <w:rFonts w:ascii="Arial" w:cs="Arial" w:eastAsia="Arial" w:hAnsi="Arial"/>
          <w:sz w:val="17"/>
          <w:szCs w:val="17"/>
          <w:color w:val="auto"/>
        </w:rPr>
        <w:t>and correct on the date hereof and on and as of the Closing Date or the Additional Closing Date, as the case may be; and the statements of the Company and its officers and each of the Selling Stockholders made in any certificates delivered pursuant to this Agreement shall be true and correct on and as of the Closing Date or the Additional Closing Date, as the case may be.</w:t>
      </w:r>
    </w:p>
    <w:p>
      <w:pPr>
        <w:spacing w:after="0" w:line="72" w:lineRule="exact"/>
        <w:rPr>
          <w:rFonts w:ascii="Arial" w:cs="Arial" w:eastAsia="Arial" w:hAnsi="Arial"/>
          <w:sz w:val="17"/>
          <w:szCs w:val="17"/>
          <w:color w:val="auto"/>
        </w:rPr>
      </w:pPr>
    </w:p>
    <w:p>
      <w:pPr>
        <w:ind w:right="40" w:firstLine="267"/>
        <w:spacing w:after="0" w:line="265" w:lineRule="auto"/>
        <w:tabs>
          <w:tab w:leader="none" w:pos="499"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No Downgrade. </w:t>
      </w:r>
      <w:r>
        <w:rPr>
          <w:rFonts w:ascii="Arial" w:cs="Arial" w:eastAsia="Arial" w:hAnsi="Arial"/>
          <w:sz w:val="17"/>
          <w:szCs w:val="17"/>
          <w:color w:val="auto"/>
        </w:rPr>
        <w:t>Subsequent to the execution and delivery of this Agreement, (i) no downgrading shall have occurred in the rating accorded any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or preferred stock of or guaranteed by the Company or any of its subsidiaries by any “nationally recognized statistical rating organization,” as such term is defined by the Commission for purposes of Rule 436(g)(2) under the Securities Act and (ii) no such organization shall have publicly announced that it has under surveillance or review, or has changed its outlook with respect to, its rating of any debt securities or preferred stock of or guaranteed by the Company or any of its subsidiaries (other than an announcement with positive implications of a possible upgrading).</w:t>
      </w:r>
    </w:p>
    <w:p>
      <w:pPr>
        <w:spacing w:after="0" w:line="73" w:lineRule="exact"/>
        <w:rPr>
          <w:rFonts w:ascii="Arial" w:cs="Arial" w:eastAsia="Arial" w:hAnsi="Arial"/>
          <w:sz w:val="17"/>
          <w:szCs w:val="17"/>
          <w:color w:val="auto"/>
        </w:rPr>
      </w:pPr>
    </w:p>
    <w:p>
      <w:pPr>
        <w:ind w:firstLine="267"/>
        <w:spacing w:after="0" w:line="265" w:lineRule="auto"/>
        <w:tabs>
          <w:tab w:leader="none" w:pos="509"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3(f)(i) hereof shall have occurred or shall exist, which event or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is not described in the Time of Sale Information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Time of Sale Information and the Prospectus.</w:t>
      </w:r>
    </w:p>
    <w:p>
      <w:pPr>
        <w:spacing w:after="0" w:line="73" w:lineRule="exact"/>
        <w:rPr>
          <w:rFonts w:ascii="Arial" w:cs="Arial" w:eastAsia="Arial" w:hAnsi="Arial"/>
          <w:sz w:val="17"/>
          <w:szCs w:val="17"/>
          <w:color w:val="auto"/>
        </w:rPr>
      </w:pPr>
    </w:p>
    <w:p>
      <w:pPr>
        <w:ind w:right="40" w:firstLine="267"/>
        <w:spacing w:after="0" w:line="278" w:lineRule="auto"/>
        <w:tabs>
          <w:tab w:leader="none" w:pos="499"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or the Additional Closing Date, as the case may be, (i) a</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on behalf of the Company of the chief financial officer or chief accounting officer of the Company and one additional senior executive officer of the Company who is reasonably satisfactory to the Representatives (1) confirming that such officers have carefully reviewed the Registration Statement, the Time of Sale Information and the Prospectus and, to the knowledge of such officers, the representations of the Company set forth in Sections 3(b) and 3(d) hereof are true and correct, (2)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such Closing Date and (3) to the effect set forth in paragraphs (a), (c) and (d) above and (ii) one or more certificates on behalf of the Selling Stockholders of an officer or representative of each such Selling Stockholder who is reasonably satisfactory to the Representatives, (1) confirming that, to the knowledge of such officer or representative, the representations of such Selling Stockholders set forth in Sections 4(e), 4(f) and 4(g) hereof are true and correct and (2) confirming that the other representations and warranties of such Selling Stockholder in this agreement are true and correct and that such Selling Stockholder has complied in all material respects with all agreements and satisfied all conditions on its part to be performed or satisfied hereunder at or prior to such Closing Date.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70" w:name="page271"/>
    <w:bookmarkEnd w:id="270"/>
    <w:p>
      <w:pPr>
        <w:ind w:right="60" w:firstLine="267"/>
        <w:spacing w:after="0" w:line="283" w:lineRule="auto"/>
        <w:tabs>
          <w:tab w:leader="none" w:pos="480"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Ernst &amp; Young LLP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 Registration Statement, the Time of Sale Information and the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letter delivered on the Closing Date or the Additional Closing Date, as the case may be shall use a “cut-off” date no more than three business days prior to such Closing Date or such Additional Closing Date, as the case may be.</w:t>
      </w:r>
    </w:p>
    <w:p>
      <w:pPr>
        <w:spacing w:after="0" w:line="60" w:lineRule="exact"/>
        <w:rPr>
          <w:rFonts w:ascii="Arial" w:cs="Arial" w:eastAsia="Arial" w:hAnsi="Arial"/>
          <w:sz w:val="16"/>
          <w:szCs w:val="16"/>
          <w:color w:val="auto"/>
        </w:rPr>
      </w:pPr>
    </w:p>
    <w:p>
      <w:pPr>
        <w:jc w:val="both"/>
        <w:ind w:right="20" w:firstLine="267"/>
        <w:spacing w:after="0" w:line="273" w:lineRule="auto"/>
        <w:tabs>
          <w:tab w:leader="none" w:pos="509"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t xml:space="preserve">Opinion of Counsel for the Company. </w:t>
      </w:r>
      <w:r>
        <w:rPr>
          <w:rFonts w:ascii="Arial" w:cs="Arial" w:eastAsia="Arial" w:hAnsi="Arial"/>
          <w:sz w:val="17"/>
          <w:szCs w:val="17"/>
          <w:color w:val="auto"/>
        </w:rPr>
        <w:t>Wilmer Cutler Pickering Hale and Dorr LLP, counsel for the Company, shall have furnished to the Representatives,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request of the Company, their written opinion, dated the Closing Date or the Additional Closing Date, as the case may be, and addressed to the Underwriters, in form and substance reasonably satisfactory to the Representatives, to the effect set forth in Annex A hereto.</w:t>
      </w:r>
    </w:p>
    <w:p>
      <w:pPr>
        <w:spacing w:after="0" w:line="66" w:lineRule="exact"/>
        <w:rPr>
          <w:rFonts w:ascii="Arial" w:cs="Arial" w:eastAsia="Arial" w:hAnsi="Arial"/>
          <w:sz w:val="17"/>
          <w:szCs w:val="17"/>
          <w:color w:val="auto"/>
        </w:rPr>
      </w:pPr>
    </w:p>
    <w:p>
      <w:pPr>
        <w:ind w:right="40" w:firstLine="267"/>
        <w:spacing w:after="0" w:line="267" w:lineRule="auto"/>
        <w:tabs>
          <w:tab w:leader="none" w:pos="509"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t xml:space="preserve">Opinions of Special Patent Counsel for Company. </w:t>
      </w:r>
      <w:r>
        <w:rPr>
          <w:rFonts w:ascii="Arial" w:cs="Arial" w:eastAsia="Arial" w:hAnsi="Arial"/>
          <w:sz w:val="17"/>
          <w:szCs w:val="17"/>
          <w:color w:val="auto"/>
        </w:rPr>
        <w:t>Gill Jennings &amp; Every LLP, Finnegan, Henderson, Farabow, Garrett &amp; Dunner, LLP, and Sterne, Kessler,</w:t>
      </w:r>
      <w:r>
        <w:rPr>
          <w:rFonts w:ascii="Arial" w:cs="Arial" w:eastAsia="Arial" w:hAnsi="Arial"/>
          <w:sz w:val="17"/>
          <w:szCs w:val="17"/>
          <w:i w:val="1"/>
          <w:iCs w:val="1"/>
          <w:color w:val="auto"/>
        </w:rPr>
        <w:t xml:space="preserve"> </w:t>
      </w:r>
      <w:r>
        <w:rPr>
          <w:rFonts w:ascii="Arial" w:cs="Arial" w:eastAsia="Arial" w:hAnsi="Arial"/>
          <w:sz w:val="17"/>
          <w:szCs w:val="17"/>
          <w:color w:val="auto"/>
        </w:rPr>
        <w:t>Goldstein &amp; Fox P.L.L.C., special patent counsel for the Company, shall have each furnished to the Representatives, at the request of the Company, their written opinions, dated the Closing Date and addressed to the Underwriters, in form and substance reasonably satisfactory to the Representatives, to the effect set forth in Annex D hereto.</w:t>
      </w:r>
    </w:p>
    <w:p>
      <w:pPr>
        <w:spacing w:after="0" w:line="72" w:lineRule="exact"/>
        <w:rPr>
          <w:rFonts w:ascii="Arial" w:cs="Arial" w:eastAsia="Arial" w:hAnsi="Arial"/>
          <w:sz w:val="17"/>
          <w:szCs w:val="17"/>
          <w:color w:val="auto"/>
        </w:rPr>
      </w:pPr>
    </w:p>
    <w:p>
      <w:pPr>
        <w:ind w:right="40" w:firstLine="267"/>
        <w:spacing w:after="0" w:line="273" w:lineRule="auto"/>
        <w:tabs>
          <w:tab w:leader="none" w:pos="470"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t xml:space="preserve">Opinion of Counsel for the Selling Stockholders. </w:t>
      </w:r>
      <w:r>
        <w:rPr>
          <w:rFonts w:ascii="Arial" w:cs="Arial" w:eastAsia="Arial" w:hAnsi="Arial"/>
          <w:sz w:val="17"/>
          <w:szCs w:val="17"/>
          <w:color w:val="auto"/>
        </w:rPr>
        <w:t>Thelen Reid &amp; Priest LLP, counsel for the Selling Stockholders, shall have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at the request of the Selling Stockholders, their written opinion, dated the Additional Closing Date and addressed to the Underwriters, in form and substance reasonably satisfactory to the Representatives, to the effect set forth in Annex E hereto.</w:t>
      </w:r>
    </w:p>
    <w:p>
      <w:pPr>
        <w:spacing w:after="0" w:line="66" w:lineRule="exact"/>
        <w:rPr>
          <w:rFonts w:ascii="Arial" w:cs="Arial" w:eastAsia="Arial" w:hAnsi="Arial"/>
          <w:sz w:val="17"/>
          <w:szCs w:val="17"/>
          <w:color w:val="auto"/>
        </w:rPr>
      </w:pPr>
    </w:p>
    <w:p>
      <w:pPr>
        <w:jc w:val="both"/>
        <w:ind w:right="40" w:firstLine="267"/>
        <w:spacing w:after="0" w:line="273" w:lineRule="auto"/>
        <w:tabs>
          <w:tab w:leader="none" w:pos="470" w:val="left"/>
        </w:tabs>
        <w:numPr>
          <w:ilvl w:val="0"/>
          <w:numId w:val="189"/>
        </w:numPr>
        <w:rPr>
          <w:rFonts w:ascii="Arial" w:cs="Arial" w:eastAsia="Arial" w:hAnsi="Arial"/>
          <w:sz w:val="17"/>
          <w:szCs w:val="17"/>
          <w:color w:val="auto"/>
        </w:rPr>
      </w:pPr>
      <w:r>
        <w:rPr>
          <w:rFonts w:ascii="Arial" w:cs="Arial" w:eastAsia="Arial" w:hAnsi="Arial"/>
          <w:sz w:val="17"/>
          <w:szCs w:val="17"/>
          <w:i w:val="1"/>
          <w:iCs w:val="1"/>
          <w:color w:val="auto"/>
        </w:rPr>
        <w:t xml:space="preserve">Opinion of Special Regulatory Counsel for the Company. </w:t>
      </w:r>
      <w:r>
        <w:rPr>
          <w:rFonts w:ascii="Arial" w:cs="Arial" w:eastAsia="Arial" w:hAnsi="Arial"/>
          <w:sz w:val="17"/>
          <w:szCs w:val="17"/>
          <w:color w:val="auto"/>
        </w:rPr>
        <w:t>Thelen Reid &amp; Priest LLP, special regulatory counsel for the Company, shall have furnished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Representatives, at the request of the Selling Stockholders, their written opinion, dated the Closing Date and addressed to the Underwriters, in form and substance reasonably satisfactory to the Representatives, to the effect set forth in Annex F hereto.</w:t>
      </w:r>
    </w:p>
    <w:p>
      <w:pPr>
        <w:spacing w:after="0" w:line="66" w:lineRule="exact"/>
        <w:rPr>
          <w:rFonts w:ascii="Arial" w:cs="Arial" w:eastAsia="Arial" w:hAnsi="Arial"/>
          <w:sz w:val="17"/>
          <w:szCs w:val="17"/>
          <w:color w:val="auto"/>
        </w:rPr>
      </w:pPr>
    </w:p>
    <w:p>
      <w:pPr>
        <w:ind w:right="20" w:firstLine="267"/>
        <w:spacing w:after="0" w:line="297" w:lineRule="auto"/>
        <w:tabs>
          <w:tab w:leader="none" w:pos="509"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Opinion of Counsel for the Underwriters. </w:t>
      </w:r>
      <w:r>
        <w:rPr>
          <w:rFonts w:ascii="Arial" w:cs="Arial" w:eastAsia="Arial" w:hAnsi="Arial"/>
          <w:sz w:val="16"/>
          <w:szCs w:val="16"/>
          <w:color w:val="auto"/>
        </w:rPr>
        <w:t>The Representatives shall have received on and as of the Closing Date or the Additional Closing Date,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an opinion of Dechert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50" w:lineRule="exact"/>
        <w:rPr>
          <w:rFonts w:ascii="Arial" w:cs="Arial" w:eastAsia="Arial" w:hAnsi="Arial"/>
          <w:sz w:val="16"/>
          <w:szCs w:val="16"/>
          <w:color w:val="auto"/>
        </w:rPr>
      </w:pPr>
    </w:p>
    <w:p>
      <w:pPr>
        <w:ind w:firstLine="267"/>
        <w:spacing w:after="0" w:line="297" w:lineRule="auto"/>
        <w:tabs>
          <w:tab w:leader="none" w:pos="470"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w:t>
      </w:r>
      <w:r>
        <w:rPr>
          <w:rFonts w:ascii="Arial" w:cs="Arial" w:eastAsia="Arial" w:hAnsi="Arial"/>
          <w:sz w:val="16"/>
          <w:szCs w:val="16"/>
          <w:color w:val="auto"/>
        </w:rPr>
        <w:t>No action shall have been taken and no statute, rule, regulation or order shall have been enacted, adopted or issued by any</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71" w:name="page272"/>
    <w:bookmarkEnd w:id="271"/>
    <w:p>
      <w:pPr>
        <w:spacing w:after="0"/>
        <w:rPr>
          <w:sz w:val="20"/>
          <w:szCs w:val="20"/>
          <w:color w:val="auto"/>
        </w:rPr>
      </w:pPr>
      <w:r>
        <w:rPr>
          <w:rFonts w:ascii="Arial" w:cs="Arial" w:eastAsia="Arial" w:hAnsi="Arial"/>
          <w:sz w:val="17"/>
          <w:szCs w:val="17"/>
          <w:color w:val="auto"/>
        </w:rPr>
        <w:t>Date or the Additional Closing Date, as the case may be, prevent the issuance or sale of the Shares.</w:t>
      </w:r>
    </w:p>
    <w:p>
      <w:pPr>
        <w:spacing w:after="0" w:line="119" w:lineRule="exact"/>
        <w:rPr>
          <w:sz w:val="20"/>
          <w:szCs w:val="20"/>
          <w:color w:val="auto"/>
        </w:rPr>
      </w:pPr>
    </w:p>
    <w:p>
      <w:pPr>
        <w:jc w:val="both"/>
        <w:ind w:right="280" w:firstLine="267"/>
        <w:spacing w:after="0" w:line="267" w:lineRule="auto"/>
        <w:tabs>
          <w:tab w:leader="none" w:pos="557"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 may be, satisfactory</w:t>
      </w:r>
      <w:r>
        <w:rPr>
          <w:rFonts w:ascii="Arial" w:cs="Arial" w:eastAsia="Arial" w:hAnsi="Arial"/>
          <w:sz w:val="17"/>
          <w:szCs w:val="17"/>
          <w:i w:val="1"/>
          <w:iCs w:val="1"/>
          <w:color w:val="auto"/>
        </w:rPr>
        <w:t xml:space="preserve"> </w:t>
      </w:r>
      <w:r>
        <w:rPr>
          <w:rFonts w:ascii="Arial" w:cs="Arial" w:eastAsia="Arial" w:hAnsi="Arial"/>
          <w:sz w:val="17"/>
          <w:szCs w:val="17"/>
          <w:color w:val="auto"/>
        </w:rPr>
        <w:t>evidence of the good standing of the Company and its subsidiaries in their respective jurisdictions of organization and their good standing as foreign entities in such other jurisdictions as the Representatives may reasonably request upon reasonable advance notice, in each case in writing or any standard form of telecommunication from the appropriate Governmental Authorities of such jurisdictions.</w:t>
      </w:r>
    </w:p>
    <w:p>
      <w:pPr>
        <w:spacing w:after="0" w:line="72" w:lineRule="exact"/>
        <w:rPr>
          <w:rFonts w:ascii="Arial" w:cs="Arial" w:eastAsia="Arial" w:hAnsi="Arial"/>
          <w:sz w:val="17"/>
          <w:szCs w:val="17"/>
          <w:color w:val="auto"/>
        </w:rPr>
      </w:pPr>
    </w:p>
    <w:p>
      <w:pPr>
        <w:ind w:right="100" w:firstLine="267"/>
        <w:spacing w:after="0" w:line="289" w:lineRule="auto"/>
        <w:tabs>
          <w:tab w:leader="none" w:pos="509"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Shares to be delivered on the Closing Date or the Additional Closing Date, as the case may be, shall have been approved for listing</w:t>
      </w:r>
      <w:r>
        <w:rPr>
          <w:rFonts w:ascii="Arial" w:cs="Arial" w:eastAsia="Arial" w:hAnsi="Arial"/>
          <w:sz w:val="17"/>
          <w:szCs w:val="17"/>
          <w:i w:val="1"/>
          <w:iCs w:val="1"/>
          <w:color w:val="auto"/>
        </w:rPr>
        <w:t xml:space="preserve"> </w:t>
      </w:r>
      <w:r>
        <w:rPr>
          <w:rFonts w:ascii="Arial" w:cs="Arial" w:eastAsia="Arial" w:hAnsi="Arial"/>
          <w:sz w:val="17"/>
          <w:szCs w:val="17"/>
          <w:color w:val="auto"/>
        </w:rPr>
        <w:t>on the New York Stock Exchange, subject to official notice of issuance.</w:t>
      </w:r>
    </w:p>
    <w:p>
      <w:pPr>
        <w:spacing w:after="0" w:line="53" w:lineRule="exact"/>
        <w:rPr>
          <w:rFonts w:ascii="Arial" w:cs="Arial" w:eastAsia="Arial" w:hAnsi="Arial"/>
          <w:sz w:val="17"/>
          <w:szCs w:val="17"/>
          <w:color w:val="auto"/>
        </w:rPr>
      </w:pPr>
    </w:p>
    <w:p>
      <w:pPr>
        <w:ind w:right="20" w:firstLine="267"/>
        <w:spacing w:after="0" w:line="273" w:lineRule="auto"/>
        <w:tabs>
          <w:tab w:leader="none" w:pos="509"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Lock-up Agreements</w:t>
      </w:r>
      <w:r>
        <w:rPr>
          <w:rFonts w:ascii="Arial" w:cs="Arial" w:eastAsia="Arial" w:hAnsi="Arial"/>
          <w:sz w:val="17"/>
          <w:szCs w:val="17"/>
          <w:color w:val="auto"/>
        </w:rPr>
        <w:t>. The “lock-up” agreements, each substantially in the form of Exhibit A hereto, between you and certain stockholders,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 the Company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66" w:lineRule="exact"/>
        <w:rPr>
          <w:rFonts w:ascii="Arial" w:cs="Arial" w:eastAsia="Arial" w:hAnsi="Arial"/>
          <w:sz w:val="17"/>
          <w:szCs w:val="17"/>
          <w:color w:val="auto"/>
        </w:rPr>
      </w:pPr>
    </w:p>
    <w:p>
      <w:pPr>
        <w:ind w:firstLine="267"/>
        <w:spacing w:after="0" w:line="289" w:lineRule="auto"/>
        <w:tabs>
          <w:tab w:leader="none" w:pos="509"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 xml:space="preserve">Additional Documents. </w:t>
      </w:r>
      <w:r>
        <w:rPr>
          <w:rFonts w:ascii="Arial" w:cs="Arial" w:eastAsia="Arial" w:hAnsi="Arial"/>
          <w:sz w:val="17"/>
          <w:szCs w:val="17"/>
          <w:color w:val="auto"/>
        </w:rPr>
        <w:t>On or prior to the Closing Date or the Additional Closing Date, as the case may be, the Company and the Selling Stockholders shall</w:t>
      </w:r>
      <w:r>
        <w:rPr>
          <w:rFonts w:ascii="Arial" w:cs="Arial" w:eastAsia="Arial" w:hAnsi="Arial"/>
          <w:sz w:val="17"/>
          <w:szCs w:val="17"/>
          <w:i w:val="1"/>
          <w:iCs w:val="1"/>
          <w:color w:val="auto"/>
        </w:rPr>
        <w:t xml:space="preserve"> </w:t>
      </w:r>
      <w:r>
        <w:rPr>
          <w:rFonts w:ascii="Arial" w:cs="Arial" w:eastAsia="Arial" w:hAnsi="Arial"/>
          <w:sz w:val="17"/>
          <w:szCs w:val="17"/>
          <w:color w:val="auto"/>
        </w:rPr>
        <w:t>have furnished to the Representatives such further certificates and documents as the Representatives may reasonably request.</w:t>
      </w:r>
    </w:p>
    <w:p>
      <w:pPr>
        <w:spacing w:after="0" w:line="53" w:lineRule="exact"/>
        <w:rPr>
          <w:sz w:val="20"/>
          <w:szCs w:val="20"/>
          <w:color w:val="auto"/>
        </w:rPr>
      </w:pPr>
    </w:p>
    <w:p>
      <w:pPr>
        <w:ind w:right="20" w:firstLine="252"/>
        <w:spacing w:after="0" w:line="289" w:lineRule="auto"/>
        <w:rPr>
          <w:sz w:val="20"/>
          <w:szCs w:val="20"/>
          <w:color w:val="auto"/>
        </w:rPr>
      </w:pPr>
      <w:r>
        <w:rPr>
          <w:rFonts w:ascii="Arial" w:cs="Arial" w:eastAsia="Arial" w:hAnsi="Arial"/>
          <w:sz w:val="17"/>
          <w:szCs w:val="17"/>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272" w:name="page273"/>
    <w:bookmarkEnd w:id="272"/>
    <w:p>
      <w:pPr>
        <w:ind w:left="440" w:hanging="173"/>
        <w:spacing w:after="0"/>
        <w:tabs>
          <w:tab w:leader="none" w:pos="44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Indemnification and Contribution</w:t>
      </w:r>
      <w:r>
        <w:rPr>
          <w:rFonts w:ascii="Arial" w:cs="Arial" w:eastAsia="Arial" w:hAnsi="Arial"/>
          <w:sz w:val="17"/>
          <w:szCs w:val="17"/>
          <w:color w:val="auto"/>
        </w:rPr>
        <w:t>.</w:t>
      </w:r>
    </w:p>
    <w:p>
      <w:pPr>
        <w:spacing w:after="0" w:line="119" w:lineRule="exact"/>
        <w:rPr>
          <w:sz w:val="20"/>
          <w:szCs w:val="20"/>
          <w:color w:val="auto"/>
        </w:rPr>
      </w:pPr>
    </w:p>
    <w:p>
      <w:pPr>
        <w:ind w:right="140" w:firstLine="267"/>
        <w:spacing w:after="0" w:line="295" w:lineRule="auto"/>
        <w:tabs>
          <w:tab w:leader="none" w:pos="499" w:val="left"/>
        </w:tabs>
        <w:numPr>
          <w:ilvl w:val="1"/>
          <w:numId w:val="192"/>
        </w:numPr>
        <w:rPr>
          <w:rFonts w:ascii="Arial" w:cs="Arial" w:eastAsia="Arial" w:hAnsi="Arial"/>
          <w:sz w:val="15"/>
          <w:szCs w:val="15"/>
          <w:color w:val="auto"/>
        </w:rPr>
      </w:pPr>
      <w:r>
        <w:rPr>
          <w:rFonts w:ascii="Arial" w:cs="Arial" w:eastAsia="Arial" w:hAnsi="Arial"/>
          <w:sz w:val="15"/>
          <w:szCs w:val="15"/>
          <w:i w:val="1"/>
          <w:iCs w:val="1"/>
          <w:color w:val="auto"/>
        </w:rPr>
        <w:t xml:space="preserve">Indemnification of the Underwriters by the Company. </w:t>
      </w:r>
      <w:r>
        <w:rPr>
          <w:rFonts w:ascii="Arial" w:cs="Arial" w:eastAsia="Arial" w:hAnsi="Arial"/>
          <w:sz w:val="15"/>
          <w:szCs w:val="15"/>
          <w:color w:val="auto"/>
        </w:rPr>
        <w:t>The Company agrees to indemnify and hold harmless each Underwriter, its affiliates, directors and</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and each person, if any, who controls such Underwriter within the meaning of Section 15 of the Securities Act or Section 20 of the Exchange Act, from and against any and all losses, claims, damages and liabilities (including, without limitation, reasonable legal fees and other reasonable expenses incurred in connection with any suit, action or proceeding or any claim asserted, as such fees and expenses are incurred), joint or several, that arise out of, or are based upon,</w:t>
      </w:r>
    </w:p>
    <w:p>
      <w:pPr>
        <w:spacing w:after="0" w:line="2" w:lineRule="exact"/>
        <w:rPr>
          <w:rFonts w:ascii="Arial" w:cs="Arial" w:eastAsia="Arial" w:hAnsi="Arial"/>
          <w:sz w:val="15"/>
          <w:szCs w:val="15"/>
          <w:color w:val="auto"/>
        </w:rPr>
      </w:pPr>
    </w:p>
    <w:p>
      <w:pPr>
        <w:ind w:firstLine="5"/>
        <w:spacing w:after="0" w:line="259" w:lineRule="auto"/>
        <w:tabs>
          <w:tab w:leader="none" w:pos="20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or any Time of Sale Information (including any Time of Sale Information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or on behalf of any Underwriter expressly for use therein, it being understood and agreed that the only such information furnished by any Underwriter consists of the information described as such in paragraph (c) below.</w:t>
      </w:r>
    </w:p>
    <w:p>
      <w:pPr>
        <w:spacing w:after="0" w:line="80" w:lineRule="exact"/>
        <w:rPr>
          <w:sz w:val="20"/>
          <w:szCs w:val="20"/>
          <w:color w:val="auto"/>
        </w:rPr>
      </w:pPr>
    </w:p>
    <w:p>
      <w:pPr>
        <w:ind w:right="480" w:firstLine="259"/>
        <w:spacing w:after="0" w:line="289" w:lineRule="auto"/>
        <w:rPr>
          <w:sz w:val="20"/>
          <w:szCs w:val="20"/>
          <w:color w:val="auto"/>
        </w:rPr>
      </w:pPr>
      <w:r>
        <w:rPr>
          <w:rFonts w:ascii="Arial" w:cs="Arial" w:eastAsia="Arial" w:hAnsi="Arial"/>
          <w:sz w:val="16"/>
          <w:szCs w:val="16"/>
          <w:color w:val="auto"/>
        </w:rPr>
        <w:t>The Company also agrees to indemnify and hold harmless, Cowen and Company, LLC, its affiliates, directors and officers and each person, if any, who controls Cowen and Company, LLC, within the meaning of Section 15 of the Securities Act or Section 20 of the Exchange Act, from and against any and all losses, claims, damages and liabilities incurred as a result of Cowen and Company, LLC’s participation as a “qualified independent underwriter” within the meaning of the Rules of Conduct of the National Association of Securities Dealers, Inc. in connection with the offering of the Shares.</w:t>
      </w:r>
    </w:p>
    <w:p>
      <w:pPr>
        <w:spacing w:after="0" w:line="57" w:lineRule="exact"/>
        <w:rPr>
          <w:sz w:val="20"/>
          <w:szCs w:val="20"/>
          <w:color w:val="auto"/>
        </w:rPr>
      </w:pPr>
    </w:p>
    <w:p>
      <w:pPr>
        <w:ind w:right="140" w:firstLine="267"/>
        <w:spacing w:after="0" w:line="300" w:lineRule="auto"/>
        <w:tabs>
          <w:tab w:leader="none" w:pos="509" w:val="left"/>
        </w:tabs>
        <w:numPr>
          <w:ilvl w:val="0"/>
          <w:numId w:val="194"/>
        </w:numPr>
        <w:rPr>
          <w:rFonts w:ascii="Arial" w:cs="Arial" w:eastAsia="Arial" w:hAnsi="Arial"/>
          <w:sz w:val="15"/>
          <w:szCs w:val="15"/>
          <w:color w:val="auto"/>
        </w:rPr>
      </w:pPr>
      <w:r>
        <w:rPr>
          <w:rFonts w:ascii="Arial" w:cs="Arial" w:eastAsia="Arial" w:hAnsi="Arial"/>
          <w:sz w:val="15"/>
          <w:szCs w:val="15"/>
          <w:i w:val="1"/>
          <w:iCs w:val="1"/>
          <w:color w:val="auto"/>
        </w:rPr>
        <w:t xml:space="preserve">Indemnification of the Underwriters by the Selling </w:t>
      </w:r>
      <w:r>
        <w:rPr>
          <w:rFonts w:ascii="Arial" w:cs="Arial" w:eastAsia="Arial" w:hAnsi="Arial"/>
          <w:sz w:val="15"/>
          <w:szCs w:val="15"/>
          <w:color w:val="auto"/>
        </w:rPr>
        <w:t>Stockholders. Each of the Selling Stockholders severally in proportion to the number of Shares to be</w:t>
      </w:r>
      <w:r>
        <w:rPr>
          <w:rFonts w:ascii="Arial" w:cs="Arial" w:eastAsia="Arial" w:hAnsi="Arial"/>
          <w:sz w:val="15"/>
          <w:szCs w:val="15"/>
          <w:i w:val="1"/>
          <w:iCs w:val="1"/>
          <w:color w:val="auto"/>
        </w:rPr>
        <w:t xml:space="preserve"> </w:t>
      </w:r>
      <w:r>
        <w:rPr>
          <w:rFonts w:ascii="Arial" w:cs="Arial" w:eastAsia="Arial" w:hAnsi="Arial"/>
          <w:sz w:val="15"/>
          <w:szCs w:val="15"/>
          <w:color w:val="auto"/>
        </w:rPr>
        <w:t>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Selling Stockholder furnished to the Company in writing by or on behalf of such Selling Stockholder expressly for use in the Registration Statement, the Prospectus (or any amendment or supplement thereto), any Issuer Free Writing Prospectus or any Time of Sale Information, it being understood and agreed upon that the only such information furnished by any Selling Stockholder consists of the information specifically relating to the Selling Stockholder under the caption “Principal and selling stockholders” in the Prospectus and the Preliminary Prospectus, in each case except insofar as such losses, claims, damages or liabilities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273" w:name="page274"/>
    <w:bookmarkEnd w:id="273"/>
    <w:p>
      <w:pPr>
        <w:spacing w:after="0" w:line="289" w:lineRule="auto"/>
        <w:rPr>
          <w:sz w:val="20"/>
          <w:szCs w:val="20"/>
          <w:color w:val="auto"/>
        </w:rPr>
      </w:pPr>
      <w:r>
        <w:rPr>
          <w:rFonts w:ascii="Arial" w:cs="Arial" w:eastAsia="Arial" w:hAnsi="Arial"/>
          <w:sz w:val="16"/>
          <w:szCs w:val="16"/>
          <w:color w:val="auto"/>
        </w:rPr>
        <w:t>arise out of, or are based upon, any untrue statement or omission or alleged untrue statement or omission made in reliance upon and in conformity with any information relating to any Underwriter furnished to the Company in writing by or on behalf of any Underwriter expressly for use in the Registration Statement, the Prospectus (or any amendment or supplement thereto), any Issuer Free Writing Prospectus or any Time of Sale Information, it being understood and agreed that the only such information furnished by any Underwriter consists of the information described as such in paragraph (c) below.</w:t>
      </w:r>
    </w:p>
    <w:p>
      <w:pPr>
        <w:spacing w:after="0" w:line="57" w:lineRule="exact"/>
        <w:rPr>
          <w:sz w:val="20"/>
          <w:szCs w:val="20"/>
          <w:color w:val="auto"/>
        </w:rPr>
      </w:pPr>
    </w:p>
    <w:p>
      <w:pPr>
        <w:ind w:firstLine="262"/>
        <w:spacing w:after="0" w:line="278" w:lineRule="auto"/>
        <w:rPr>
          <w:sz w:val="20"/>
          <w:szCs w:val="20"/>
          <w:color w:val="auto"/>
        </w:rPr>
      </w:pPr>
      <w:r>
        <w:rPr>
          <w:rFonts w:ascii="Arial" w:cs="Arial" w:eastAsia="Arial" w:hAnsi="Arial"/>
          <w:sz w:val="16"/>
          <w:szCs w:val="16"/>
          <w:color w:val="auto"/>
        </w:rPr>
        <w:t>Each of the Selling Stockholders severally in proportion to the number of Shares to be sold by such Selling Stockholder hereunder also agrees to indemnify and hold harmless Cowen and Company, LLC, its affiliates, directors and officers and each person, if any, who controls Cowen and Company, LLC, within the meaning of Section 15 of the Securities Act or Section 20 of the Exchange Act, from and against any and all losses, claims, damages and liabilities incurred as a result of Cowen and Company, LLC’s participation as a “qualified independent underwriter” within the meaning of the Rules of Conduct of the National Association of Securities Dealers, Inc. in connection with the offering of the Shares, but only with respect to any losses, claims, damages or liabilities that arise out of, or are based upon, any untrue statement or omission or alleged untrue statement or omission made in reliance upon and in conformity with any information relating to such Selling Stockholder furnished to the Company in writing by or on behalf of such Selling Stockholder expressly for use in the Registration Statement, the Prospectus (or any amendment or supplement thereto), any Issuer Free Writing Prospectus or any Time of Sale Information, it being understood and agreed upon that the only such information furnished by any Selling Stockholder consists of the information specifically relating to the Selling Stockholder under the caption “Principal and selling stockholders” in the Prospectus and the Preliminary Prospectus.</w:t>
      </w:r>
    </w:p>
    <w:p>
      <w:pPr>
        <w:spacing w:after="0" w:line="69" w:lineRule="exact"/>
        <w:rPr>
          <w:sz w:val="20"/>
          <w:szCs w:val="20"/>
          <w:color w:val="auto"/>
        </w:rPr>
      </w:pPr>
    </w:p>
    <w:p>
      <w:pPr>
        <w:ind w:right="80" w:firstLine="267"/>
        <w:spacing w:after="0" w:line="281" w:lineRule="auto"/>
        <w:tabs>
          <w:tab w:leader="none" w:pos="499" w:val="left"/>
        </w:tabs>
        <w:numPr>
          <w:ilvl w:val="0"/>
          <w:numId w:val="195"/>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and the Selling Stockholders. </w:t>
      </w:r>
      <w:r>
        <w:rPr>
          <w:rFonts w:ascii="Arial" w:cs="Arial" w:eastAsia="Arial" w:hAnsi="Arial"/>
          <w:sz w:val="16"/>
          <w:szCs w:val="16"/>
          <w:color w:val="auto"/>
        </w:rPr>
        <w:t>Each Underwriter agrees, severally and not jointly, to indemnify and hold harmless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s furnished to the Company in writing by or on behalf of any Underwriter expressly for use in the Registration Statement, the Prospectus (or any amendment or supplement thereto), any Issuer Free Writing Prospectus or any Time of Sale Information, it being understood and agreed upon that the only such information furnished by any Underwriter consists of: [___]</w:t>
      </w:r>
    </w:p>
    <w:p>
      <w:pPr>
        <w:spacing w:after="0" w:line="63" w:lineRule="exact"/>
        <w:rPr>
          <w:rFonts w:ascii="Arial" w:cs="Arial" w:eastAsia="Arial" w:hAnsi="Arial"/>
          <w:sz w:val="16"/>
          <w:szCs w:val="16"/>
          <w:color w:val="auto"/>
        </w:rPr>
      </w:pPr>
    </w:p>
    <w:p>
      <w:pPr>
        <w:ind w:right="180" w:firstLine="267"/>
        <w:spacing w:after="0" w:line="265" w:lineRule="auto"/>
        <w:tabs>
          <w:tab w:leader="none" w:pos="509" w:val="left"/>
        </w:tabs>
        <w:numPr>
          <w:ilvl w:val="0"/>
          <w:numId w:val="195"/>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 brought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asserted against any person in respect of which indemnification may be sought pursuant to the preceding paragraphs of this Section 9 above,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the Indemnifying Party from any liability that it may have under this Section 9 except to the extent that it has been materially prejudiced (through the forfeiture of substantive rights or defenses) by such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74" w:name="page275"/>
    <w:bookmarkEnd w:id="274"/>
    <w:p>
      <w:pPr>
        <w:spacing w:after="0" w:line="294" w:lineRule="auto"/>
        <w:rPr>
          <w:sz w:val="20"/>
          <w:szCs w:val="20"/>
          <w:color w:val="auto"/>
        </w:rPr>
      </w:pPr>
      <w:r>
        <w:rPr>
          <w:rFonts w:ascii="Arial" w:cs="Arial" w:eastAsia="Arial" w:hAnsi="Arial"/>
          <w:sz w:val="15"/>
          <w:szCs w:val="15"/>
          <w:color w:val="auto"/>
        </w:rPr>
        <w:t xml:space="preserve">failure;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failure to notify the Indemnifying Person shall not relieve it from any liability that it may have to an Indemnified Person otherwise than under this Section 9. If any such proceeding shall be brought or asserted against an Indemnified Person and it shall have notified the Indemnifying Person thereof, the Indemnifying Person shall be entitled to participate therein and, to the extent it wishes, jointly with any other similarly notified Indemnifying Person, to assume the defense thereof with counsel reasonably satisfactory to the Indemnified Person to represent the Indemnified Person and any others entitled to indemnification pursuant to this Section 9 that the Indemnifying Person may designate in such proceeding and shall pay the fees and expenses of such counsel related to such proceeding, as incurred. After notice from the Indemnifying Person to the Indemnified Person of its election to assume the defense of such proceeding, the Indemnifying Person shall not be liable to the Indemnified Person under this Section 9 for any legal or other expenses subsequently incurred by the Indemnified Person in connection with the defense thereof other than reasonable costs of investigation;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any such proceeding, any Indemnified Person shall have the right to retain its own counsel to participate in, but not control, the defense of such proceeding, but the fees and expenses of such counsel shall be at the expense of such Indemnified Person unless (i) the Indemnifying Person and the Indemnified Person shall have mutually agreed to the contrary or (ii) the Indemnifying Person has failed within a reasonable time to retain counsel reasonably satisfactory to the Indemnified Person.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reasonable fees and expenses shall be paid or reimbursed as they are incurred;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indemnity may be sought pursuant to the second paragraph of Section 7(a) above in respect of such proceeding, then in addition to such separate firm for the Underwriters, their affiliates and such control persons of the Underwriters the indemnifying party shall be liable for the fees and expenses of not more than one separate firm (in addition to any local counsel) for Cowen and Company, LLC in its capacity as a “qualified independent underwriter,” its affiliates and all persons, if any, who control Cowen and Company, LLC within the meaning of either Section 15 of the Securities Act or Section 20 of the Exchange Act. Any such separate firm for any Underwriter, its affiliates, directors and officers and any control persons of such Underwriter shall be designated in writing by J.P. Morgan Securities Inc., any such separate firm for Cowen and Company, LLC, in its capacity as a “qualified independent underwriter,” shall be designated in writing by Cowen and Company, LLC, any such separate firm for the Company, its directors, its officers who signed the Registration Statement and any control persons of the Company shall be designated in writing by the Company and any separate firm for the Selling Stockholders shall be designated in writing by the Attorney-in-Fact.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w:t>
      </w:r>
    </w:p>
    <w:p>
      <w:pPr>
        <w:spacing w:after="0" w:line="177" w:lineRule="exact"/>
        <w:rPr>
          <w:sz w:val="20"/>
          <w:szCs w:val="20"/>
          <w:color w:val="auto"/>
        </w:rPr>
      </w:pPr>
    </w:p>
    <w:p>
      <w:pPr>
        <w:ind w:right="80" w:firstLine="5"/>
        <w:spacing w:after="0" w:line="274" w:lineRule="auto"/>
        <w:tabs>
          <w:tab w:leader="none" w:pos="286" w:val="left"/>
        </w:tabs>
        <w:numPr>
          <w:ilvl w:val="0"/>
          <w:numId w:val="196"/>
        </w:numPr>
        <w:rPr>
          <w:rFonts w:ascii="Arial" w:cs="Arial" w:eastAsia="Arial" w:hAnsi="Arial"/>
          <w:sz w:val="17"/>
          <w:szCs w:val="17"/>
          <w:color w:val="auto"/>
        </w:rPr>
      </w:pPr>
      <w:r>
        <w:rPr>
          <w:rFonts w:ascii="Arial" w:cs="Arial" w:eastAsia="Arial" w:hAnsi="Arial"/>
          <w:sz w:val="17"/>
          <w:szCs w:val="17"/>
          <w:color w:val="auto"/>
        </w:rPr>
        <w:t>more than 60 days after receipt by the Indemnifying Person of such request and (B) more than 30 days after receipt by the Indemnifying Party of the proposed terms of such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75" w:name="page276"/>
    <w:bookmarkEnd w:id="275"/>
    <w:p>
      <w:pPr>
        <w:spacing w:after="0" w:line="263" w:lineRule="auto"/>
        <w:rPr>
          <w:sz w:val="20"/>
          <w:szCs w:val="20"/>
          <w:color w:val="auto"/>
        </w:rPr>
      </w:pPr>
      <w:r>
        <w:rPr>
          <w:rFonts w:ascii="Arial" w:cs="Arial" w:eastAsia="Arial" w:hAnsi="Arial"/>
          <w:sz w:val="17"/>
          <w:szCs w:val="17"/>
          <w:color w:val="auto"/>
        </w:rPr>
        <w:t>settlement and (ii) the Indemnifying Person shall not have reimbursed the Indemnifying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77" w:lineRule="exact"/>
        <w:rPr>
          <w:sz w:val="20"/>
          <w:szCs w:val="20"/>
          <w:color w:val="auto"/>
        </w:rPr>
      </w:pPr>
    </w:p>
    <w:p>
      <w:pPr>
        <w:ind w:firstLine="267"/>
        <w:spacing w:after="0" w:line="276" w:lineRule="auto"/>
        <w:tabs>
          <w:tab w:leader="none" w:pos="499" w:val="left"/>
        </w:tabs>
        <w:numPr>
          <w:ilvl w:val="0"/>
          <w:numId w:val="197"/>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(b) and (c) above is unavailable to an Indemnified Person or insufficient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or Cowen and Company, LLC in its capacity as a “qualified independent underwriter,” as the case may be,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Underwriters or Cowen and Company, LLC in its capacity as a “qualified independent underwriter,” as the case may be, on the other, in connection with the statements or omissions that resulted in such losses, claims, damages or liabilities, as well as any other relevant equitable considerations. The relative benefits received by the Company and the Selling Stockholders, on the one hand, and the Underwriters or Cowen and Company, LLC in its capacity as a “qualified independent underwriter,” as the case may be, on the other, shall be deemed to be in the same respective proportions as the net proceeds (before deducting expenses) received by the Company and the Selling Stockholders, as the case may be,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and the Selling Stockholders, on the one hand, and the Underwriters or Cowen and Company, LLC in its capacity as a “qualified independent underwriter,” as the case may be,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Underwriters or Cowen and Company, LLC in its capacity as a “qualified independent underwriter,” as the case may be, and the parties’ relative intent, knowledge, access to information and opportunity to correct or prevent such statement or omission.</w:t>
      </w:r>
    </w:p>
    <w:p>
      <w:pPr>
        <w:spacing w:after="0" w:line="67" w:lineRule="exact"/>
        <w:rPr>
          <w:rFonts w:ascii="Arial" w:cs="Arial" w:eastAsia="Arial" w:hAnsi="Arial"/>
          <w:sz w:val="16"/>
          <w:szCs w:val="16"/>
          <w:color w:val="auto"/>
        </w:rPr>
      </w:pPr>
    </w:p>
    <w:p>
      <w:pPr>
        <w:ind w:right="20" w:firstLine="267"/>
        <w:spacing w:after="0" w:line="267" w:lineRule="auto"/>
        <w:tabs>
          <w:tab w:leader="none" w:pos="480"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the Selling Stockholders and the Underwriters agree that it would not be just and equitable if contribution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Section 9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Selling Stockholders or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76" w:name="page277"/>
    <w:bookmarkEnd w:id="276"/>
    <w:p>
      <w:pPr>
        <w:ind w:right="40"/>
        <w:spacing w:after="0" w:line="280" w:lineRule="auto"/>
        <w:rPr>
          <w:sz w:val="20"/>
          <w:szCs w:val="20"/>
          <w:color w:val="auto"/>
        </w:rPr>
      </w:pPr>
      <w:r>
        <w:rPr>
          <w:rFonts w:ascii="Arial" w:cs="Arial" w:eastAsia="Arial" w:hAnsi="Arial"/>
          <w:sz w:val="16"/>
          <w:szCs w:val="16"/>
          <w:color w:val="auto"/>
        </w:rPr>
        <w:t>referred to in paragraph (e) above shall be deemed to include, subject to the limitations set forth above, any reasonable legal or other expenses incurred by such Indemnified Person in connection with any such action or claim. Notwithstanding the provisions of this Section 9,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in proportion to their respective purchase obligations hereunder and not joint. The Selling Stockholders’ obligations to contribute pursuant to this Section 9 are several in proportion to their respective receipt of net proceeds (before expenses) hereunder and not joint.</w:t>
      </w:r>
    </w:p>
    <w:p>
      <w:pPr>
        <w:spacing w:after="0" w:line="64" w:lineRule="exact"/>
        <w:rPr>
          <w:sz w:val="20"/>
          <w:szCs w:val="20"/>
          <w:color w:val="auto"/>
        </w:rPr>
      </w:pPr>
    </w:p>
    <w:p>
      <w:pPr>
        <w:ind w:right="140" w:firstLine="267"/>
        <w:spacing w:after="0" w:line="289" w:lineRule="auto"/>
        <w:tabs>
          <w:tab w:leader="none" w:pos="509"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 xml:space="preserve">Non-Exclusive Remedies. </w:t>
      </w:r>
      <w:r>
        <w:rPr>
          <w:rFonts w:ascii="Arial" w:cs="Arial" w:eastAsia="Arial" w:hAnsi="Arial"/>
          <w:sz w:val="17"/>
          <w:szCs w:val="17"/>
          <w:color w:val="auto"/>
        </w:rPr>
        <w:t>The remedies provided for in this Section 9 are not exclusive and shall not limit any rights or remedies which may otherwise be</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to any Indemnified Person at law or in equity.</w:t>
      </w:r>
    </w:p>
    <w:p>
      <w:pPr>
        <w:spacing w:after="0" w:line="53" w:lineRule="exact"/>
        <w:rPr>
          <w:sz w:val="20"/>
          <w:szCs w:val="20"/>
          <w:color w:val="auto"/>
        </w:rPr>
      </w:pPr>
    </w:p>
    <w:p>
      <w:pPr>
        <w:ind w:left="520" w:hanging="253"/>
        <w:spacing w:after="0"/>
        <w:tabs>
          <w:tab w:leader="none" w:pos="520"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Effectiveness of Agreement</w:t>
      </w:r>
      <w:r>
        <w:rPr>
          <w:rFonts w:ascii="Arial" w:cs="Arial" w:eastAsia="Arial" w:hAnsi="Arial"/>
          <w:sz w:val="17"/>
          <w:szCs w:val="17"/>
          <w:color w:val="auto"/>
        </w:rPr>
        <w:t>. This Agreement shall become effective upon the execution and delivery hereof by the parties hereto.</w:t>
      </w:r>
    </w:p>
    <w:p>
      <w:pPr>
        <w:spacing w:after="0" w:line="118" w:lineRule="exact"/>
        <w:rPr>
          <w:rFonts w:ascii="Arial" w:cs="Arial" w:eastAsia="Arial" w:hAnsi="Arial"/>
          <w:sz w:val="17"/>
          <w:szCs w:val="17"/>
          <w:color w:val="auto"/>
        </w:rPr>
      </w:pPr>
    </w:p>
    <w:p>
      <w:pPr>
        <w:ind w:right="80" w:firstLine="267"/>
        <w:spacing w:after="0" w:line="299" w:lineRule="auto"/>
        <w:tabs>
          <w:tab w:leader="none" w:pos="517" w:val="left"/>
        </w:tabs>
        <w:numPr>
          <w:ilvl w:val="1"/>
          <w:numId w:val="199"/>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may be terminated in the absolute discretion of the Representatives, by notice to the Company and the Selling Stockholders, if after the execution and delivery of this Agreement and prior to the Closing Date or, in the case of the Option Shares, prior to the Additional Closing Date</w:t>
      </w:r>
    </w:p>
    <w:p>
      <w:pPr>
        <w:spacing w:after="0" w:line="1" w:lineRule="exact"/>
        <w:rPr>
          <w:rFonts w:ascii="Arial" w:cs="Arial" w:eastAsia="Arial" w:hAnsi="Arial"/>
          <w:sz w:val="15"/>
          <w:szCs w:val="15"/>
          <w:color w:val="auto"/>
        </w:rPr>
      </w:pPr>
    </w:p>
    <w:p>
      <w:pPr>
        <w:ind w:right="20" w:firstLine="5"/>
        <w:spacing w:after="0" w:line="278" w:lineRule="auto"/>
        <w:tabs>
          <w:tab w:leader="none" w:pos="20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trading generally shall have been suspended or materially limited on or by any of the New York Stock Exchange, the American Stock Exchange, the National Association of Securities Dealers, Inc., the Chicago Board Options Exchange, the Chicago Mercantile Exchange or the Chicago Board of Trade;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Time of Sale Information and the Prospectus.</w:t>
      </w:r>
    </w:p>
    <w:p>
      <w:pPr>
        <w:spacing w:after="0" w:line="67" w:lineRule="exact"/>
        <w:rPr>
          <w:rFonts w:ascii="Arial" w:cs="Arial" w:eastAsia="Arial" w:hAnsi="Arial"/>
          <w:sz w:val="16"/>
          <w:szCs w:val="16"/>
          <w:color w:val="auto"/>
        </w:rPr>
      </w:pPr>
    </w:p>
    <w:p>
      <w:pPr>
        <w:ind w:left="520" w:hanging="253"/>
        <w:spacing w:after="0"/>
        <w:tabs>
          <w:tab w:leader="none" w:pos="520"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Defaulting Underwriter</w:t>
      </w:r>
      <w:r>
        <w:rPr>
          <w:rFonts w:ascii="Arial" w:cs="Arial" w:eastAsia="Arial" w:hAnsi="Arial"/>
          <w:sz w:val="16"/>
          <w:szCs w:val="16"/>
          <w:color w:val="auto"/>
        </w:rPr>
        <w:t>. (a) If, on the Closing Date or the Additional Closing Date, as the case may be, any Underwriter defaults on its obligation to</w:t>
      </w:r>
    </w:p>
    <w:p>
      <w:pPr>
        <w:spacing w:after="0" w:line="37" w:lineRule="exact"/>
        <w:rPr>
          <w:rFonts w:ascii="Arial" w:cs="Arial" w:eastAsia="Arial" w:hAnsi="Arial"/>
          <w:sz w:val="16"/>
          <w:szCs w:val="16"/>
          <w:color w:val="auto"/>
        </w:rPr>
      </w:pPr>
    </w:p>
    <w:p>
      <w:pPr>
        <w:jc w:val="both"/>
        <w:spacing w:after="0" w:line="262" w:lineRule="auto"/>
        <w:rPr>
          <w:rFonts w:ascii="Arial" w:cs="Arial" w:eastAsia="Arial" w:hAnsi="Arial"/>
          <w:sz w:val="16"/>
          <w:szCs w:val="16"/>
          <w:color w:val="auto"/>
        </w:rPr>
      </w:pPr>
      <w:r>
        <w:rPr>
          <w:rFonts w:ascii="Arial" w:cs="Arial" w:eastAsia="Arial" w:hAnsi="Arial"/>
          <w:sz w:val="17"/>
          <w:szCs w:val="17"/>
          <w:color w:val="auto"/>
        </w:rPr>
        <w:t>purchase the Shares that it has agreed to purchase hereunder on such date, the non-defaulting Underwriters may in their discretion arrange for the purchase of such Shares by other persons satisfactory to the Company and, with respect to the Option Shares, the Selling Stockholders on the terms contained in this Agreement. If, within 36 hours after any such default by any Underwriter, the non-defaulting Underwriters do not arrange for the purchase of such Shares, then the Company and, if applicable, the Selling Stockholders shall be entitled to a further period of 36 hours within which</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277" w:name="page278"/>
    <w:bookmarkEnd w:id="277"/>
    <w:p>
      <w:pPr>
        <w:ind w:right="120"/>
        <w:spacing w:after="0" w:line="302" w:lineRule="auto"/>
        <w:rPr>
          <w:sz w:val="20"/>
          <w:szCs w:val="20"/>
          <w:color w:val="auto"/>
        </w:rPr>
      </w:pPr>
      <w:r>
        <w:rPr>
          <w:rFonts w:ascii="Arial" w:cs="Arial" w:eastAsia="Arial" w:hAnsi="Arial"/>
          <w:sz w:val="15"/>
          <w:szCs w:val="15"/>
          <w:color w:val="auto"/>
        </w:rPr>
        <w:t>to procure other persons satisfactory to the non-defaulting Underwriters to purchase such Shares on such terms. If other persons become obligated or agree to purchase the Shares of a defaulting Underwriter, either the non-defaulting Underwriters or the Company and the Selling 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I hereto that, pursuant to this Section 12, purchases Shares that a defaulting Underwriter agreed but failed to purchase.</w:t>
      </w:r>
    </w:p>
    <w:p>
      <w:pPr>
        <w:spacing w:after="0" w:line="52" w:lineRule="exact"/>
        <w:rPr>
          <w:sz w:val="20"/>
          <w:szCs w:val="20"/>
          <w:color w:val="auto"/>
        </w:rPr>
      </w:pPr>
    </w:p>
    <w:p>
      <w:pPr>
        <w:ind w:right="180" w:firstLine="267"/>
        <w:spacing w:after="0" w:line="283" w:lineRule="auto"/>
        <w:tabs>
          <w:tab w:leader="none" w:pos="50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and the Company and the Selling Stockholders as provided in paragraph (a) above, the aggregate number of Shares that remain unpurchased on the Closing Date or the Additional Closing Date, as the case may be does not exceed one-eleventh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60" w:lineRule="exact"/>
        <w:rPr>
          <w:rFonts w:ascii="Arial" w:cs="Arial" w:eastAsia="Arial" w:hAnsi="Arial"/>
          <w:sz w:val="16"/>
          <w:szCs w:val="16"/>
          <w:color w:val="auto"/>
        </w:rPr>
      </w:pPr>
    </w:p>
    <w:p>
      <w:pPr>
        <w:ind w:right="140" w:firstLine="267"/>
        <w:spacing w:after="0" w:line="281" w:lineRule="auto"/>
        <w:tabs>
          <w:tab w:leader="none" w:pos="499"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and the Company and the Selling Stockholders as provided in paragraph (a) above, the aggregate number of Shares that remain unpurchased on the Closing Date or the Additional Closing Date, as the case may be, exceeds one-eleventh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and the Selling Stockholders, except that the provisions of Section 9 hereof shall not terminate and shall remain in effect.</w:t>
      </w:r>
    </w:p>
    <w:p>
      <w:pPr>
        <w:spacing w:after="0" w:line="63" w:lineRule="exact"/>
        <w:rPr>
          <w:rFonts w:ascii="Arial" w:cs="Arial" w:eastAsia="Arial" w:hAnsi="Arial"/>
          <w:sz w:val="16"/>
          <w:szCs w:val="16"/>
          <w:color w:val="auto"/>
        </w:rPr>
      </w:pPr>
    </w:p>
    <w:p>
      <w:pPr>
        <w:ind w:right="40" w:firstLine="267"/>
        <w:spacing w:after="0" w:line="289" w:lineRule="auto"/>
        <w:tabs>
          <w:tab w:leader="none" w:pos="509" w:val="left"/>
        </w:tabs>
        <w:numPr>
          <w:ilvl w:val="0"/>
          <w:numId w:val="201"/>
        </w:numPr>
        <w:rPr>
          <w:rFonts w:ascii="Arial" w:cs="Arial" w:eastAsia="Arial" w:hAnsi="Arial"/>
          <w:sz w:val="17"/>
          <w:szCs w:val="17"/>
          <w:color w:val="auto"/>
        </w:rPr>
      </w:pPr>
      <w:r>
        <w:rPr>
          <w:rFonts w:ascii="Arial" w:cs="Arial" w:eastAsia="Arial" w:hAnsi="Arial"/>
          <w:sz w:val="17"/>
          <w:szCs w:val="17"/>
          <w:color w:val="auto"/>
        </w:rPr>
        <w:t>Nothing contained herein shall relieve a defaulting Underwriter of any liability it may have to the Company, the Selling Stockholders or any non-defaulting Underwriter for damages caused by its default.</w:t>
      </w:r>
    </w:p>
    <w:p>
      <w:pPr>
        <w:spacing w:after="0" w:line="53" w:lineRule="exact"/>
        <w:rPr>
          <w:sz w:val="20"/>
          <w:szCs w:val="20"/>
          <w:color w:val="auto"/>
        </w:rPr>
      </w:pPr>
    </w:p>
    <w:p>
      <w:pPr>
        <w:jc w:val="both"/>
        <w:ind w:firstLine="267"/>
        <w:spacing w:after="0" w:line="267" w:lineRule="auto"/>
        <w:tabs>
          <w:tab w:leader="none" w:pos="524"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Payment of Expenses</w:t>
      </w:r>
      <w:r>
        <w:rPr>
          <w:rFonts w:ascii="Arial" w:cs="Arial" w:eastAsia="Arial" w:hAnsi="Arial"/>
          <w:sz w:val="17"/>
          <w:szCs w:val="17"/>
          <w:i w:val="1"/>
          <w:iCs w:val="1"/>
          <w:color w:val="auto"/>
        </w:rPr>
        <w:t>.</w:t>
      </w:r>
      <w:r>
        <w:rPr>
          <w:rFonts w:ascii="Arial" w:cs="Arial" w:eastAsia="Arial" w:hAnsi="Arial"/>
          <w:sz w:val="17"/>
          <w:szCs w:val="17"/>
          <w:color w:val="auto"/>
        </w:rPr>
        <w:t xml:space="preserve"> (a)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(ii) the costs incident to the preparation, printing and filing under the Securities Act of the Registration Statement, the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78" w:name="page279"/>
    <w:bookmarkEnd w:id="278"/>
    <w:p>
      <w:pPr>
        <w:spacing w:after="0" w:line="293" w:lineRule="auto"/>
        <w:rPr>
          <w:sz w:val="20"/>
          <w:szCs w:val="20"/>
          <w:color w:val="auto"/>
        </w:rPr>
      </w:pPr>
      <w:r>
        <w:rPr>
          <w:rFonts w:ascii="Arial" w:cs="Arial" w:eastAsia="Arial" w:hAnsi="Arial"/>
          <w:sz w:val="15"/>
          <w:szCs w:val="15"/>
          <w:color w:val="auto"/>
        </w:rPr>
        <w:t>Preliminary Prospectus, any Issuer Free Writing Prospectus, any Time of Sale Information and the Prospectus (including all exhibits, amendments and supplements thereto) and the distribution thereof; (iii) the costs of reproducing and distributing this Agreement; (iv) the fees and expenses of the Company’s counsel and independent accountants; (v) the fees and reasonable expenses, not exceeding $10,000 in the aggregate,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reasonable fees and expenses of counsel for the Underwriters); (vi) the cost of preparing stock certificates; (vii) the costs and charges of any transfer agent and any registrar; (viii) all application fees and reasonable expenses incurred in connection with any filing with, and clearance of the offering by, the National Association of Securities Dealers, Inc. (including the fees and reasonable expenses of Cowen and Company, LLC acting as “qualified independent underwriter” within the meaning of the aforementioned Rule 2720 of The Rules of Conduct);</w:t>
      </w:r>
    </w:p>
    <w:p>
      <w:pPr>
        <w:spacing w:after="0" w:line="4" w:lineRule="exact"/>
        <w:rPr>
          <w:sz w:val="20"/>
          <w:szCs w:val="20"/>
          <w:color w:val="auto"/>
        </w:rPr>
      </w:pPr>
    </w:p>
    <w:p>
      <w:pPr>
        <w:ind w:firstLine="5"/>
        <w:spacing w:after="0" w:line="274" w:lineRule="auto"/>
        <w:tabs>
          <w:tab w:leader="none" w:pos="296"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all expenses incurred by the Company in connection with any “road show” presentation to potential investors; and (x) all expenses and application fees related to the listing of the Shares on the New York Stock Exchange.</w:t>
      </w:r>
    </w:p>
    <w:p>
      <w:pPr>
        <w:spacing w:after="0" w:line="65" w:lineRule="exact"/>
        <w:rPr>
          <w:rFonts w:ascii="Arial" w:cs="Arial" w:eastAsia="Arial" w:hAnsi="Arial"/>
          <w:sz w:val="17"/>
          <w:szCs w:val="17"/>
          <w:color w:val="auto"/>
        </w:rPr>
      </w:pPr>
    </w:p>
    <w:p>
      <w:pPr>
        <w:ind w:right="60" w:firstLine="267"/>
        <w:spacing w:after="0" w:line="265" w:lineRule="auto"/>
        <w:tabs>
          <w:tab w:leader="none" w:pos="509" w:val="left"/>
        </w:tabs>
        <w:numPr>
          <w:ilvl w:val="1"/>
          <w:numId w:val="203"/>
        </w:numPr>
        <w:rPr>
          <w:rFonts w:ascii="Arial" w:cs="Arial" w:eastAsia="Arial" w:hAnsi="Arial"/>
          <w:sz w:val="17"/>
          <w:szCs w:val="17"/>
          <w:color w:val="auto"/>
        </w:rPr>
      </w:pPr>
      <w:r>
        <w:rPr>
          <w:rFonts w:ascii="Arial" w:cs="Arial" w:eastAsia="Arial" w:hAnsi="Arial"/>
          <w:sz w:val="17"/>
          <w:szCs w:val="17"/>
          <w:color w:val="auto"/>
        </w:rPr>
        <w:t>If (i) this Agreement is terminated pursuant to clauses (ii) of Section 11, (ii) the Company or the Selling Stockholders for any reason fail to tender the Shares for delivery to the Underwriters or (iii) the Underwriters decline to purchase the Shares for any reason permitted under this Agreement (other than following termination of this Agreement pursuant to clause (i), (iii) or (iv) of Section 11), the Company agrees to reimburse the Underwriters for all out-of-pocket costs and expenses (including the reasonable fees and expenses of their counsel) reasonably incurred by the Underwriters in connection with this Agreement and the offering contemplated hereby.</w:t>
      </w:r>
    </w:p>
    <w:p>
      <w:pPr>
        <w:spacing w:after="0" w:line="73" w:lineRule="exact"/>
        <w:rPr>
          <w:sz w:val="20"/>
          <w:szCs w:val="20"/>
          <w:color w:val="auto"/>
        </w:rPr>
      </w:pPr>
    </w:p>
    <w:p>
      <w:pPr>
        <w:ind w:right="20" w:firstLine="267"/>
        <w:spacing w:after="0" w:line="267" w:lineRule="auto"/>
        <w:tabs>
          <w:tab w:leader="none" w:pos="524"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72" w:lineRule="exact"/>
        <w:rPr>
          <w:rFonts w:ascii="Arial" w:cs="Arial" w:eastAsia="Arial" w:hAnsi="Arial"/>
          <w:sz w:val="17"/>
          <w:szCs w:val="17"/>
          <w:color w:val="auto"/>
        </w:rPr>
      </w:pPr>
    </w:p>
    <w:p>
      <w:pPr>
        <w:ind w:right="120" w:firstLine="267"/>
        <w:spacing w:after="0" w:line="289" w:lineRule="auto"/>
        <w:tabs>
          <w:tab w:leader="none" w:pos="524"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w:t>
      </w:r>
    </w:p>
    <w:p>
      <w:pPr>
        <w:spacing w:after="0" w:line="56" w:lineRule="exact"/>
        <w:rPr>
          <w:rFonts w:ascii="Arial" w:cs="Arial" w:eastAsia="Arial" w:hAnsi="Arial"/>
          <w:sz w:val="16"/>
          <w:szCs w:val="16"/>
          <w:color w:val="auto"/>
        </w:rPr>
      </w:pPr>
    </w:p>
    <w:p>
      <w:pPr>
        <w:ind w:right="40" w:firstLine="267"/>
        <w:spacing w:after="0" w:line="273" w:lineRule="auto"/>
        <w:tabs>
          <w:tab w:leader="none" w:pos="524"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279" w:name="page280"/>
    <w:bookmarkEnd w:id="279"/>
    <w:p>
      <w:pPr>
        <w:ind w:right="600"/>
        <w:spacing w:after="0" w:line="289" w:lineRule="auto"/>
        <w:rPr>
          <w:sz w:val="20"/>
          <w:szCs w:val="20"/>
          <w:color w:val="auto"/>
        </w:rPr>
      </w:pPr>
      <w:r>
        <w:rPr>
          <w:rFonts w:ascii="Arial" w:cs="Arial" w:eastAsia="Arial" w:hAnsi="Arial"/>
          <w:sz w:val="17"/>
          <w:szCs w:val="17"/>
          <w:color w:val="auto"/>
        </w:rPr>
        <w:t>set forth in Rule 405 under the Securities Act; and (d) the term “significant subsidiary” has the meaning set forth in Rule 1-02 of Regulation S-X under the Exchange Act.</w:t>
      </w:r>
    </w:p>
    <w:p>
      <w:pPr>
        <w:spacing w:after="0" w:line="53" w:lineRule="exact"/>
        <w:rPr>
          <w:sz w:val="20"/>
          <w:szCs w:val="20"/>
          <w:color w:val="auto"/>
        </w:rPr>
      </w:pPr>
    </w:p>
    <w:p>
      <w:pPr>
        <w:ind w:right="20" w:firstLine="267"/>
        <w:spacing w:after="0" w:line="289" w:lineRule="auto"/>
        <w:tabs>
          <w:tab w:leader="none" w:pos="524"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xml:space="preserve">. (a) </w:t>
      </w:r>
      <w:r>
        <w:rPr>
          <w:rFonts w:ascii="Arial" w:cs="Arial" w:eastAsia="Arial" w:hAnsi="Arial"/>
          <w:sz w:val="17"/>
          <w:szCs w:val="17"/>
          <w:i w:val="1"/>
          <w:iCs w:val="1"/>
          <w:color w:val="auto"/>
        </w:rPr>
        <w:t>Authority of the Representatives.</w:t>
      </w:r>
      <w:r>
        <w:rPr>
          <w:rFonts w:ascii="Arial" w:cs="Arial" w:eastAsia="Arial" w:hAnsi="Arial"/>
          <w:sz w:val="17"/>
          <w:szCs w:val="17"/>
          <w:color w:val="auto"/>
        </w:rPr>
        <w:t xml:space="preserve"> Any action by the Underwriters hereunder may be taken by J.P. Morgan Securities Inc. on behalf of the Underwriters, and any such action taken by J.P. Morgan Securities Inc. shall be binding upon the Underwriters.</w:t>
      </w:r>
    </w:p>
    <w:p>
      <w:pPr>
        <w:spacing w:after="0" w:line="53" w:lineRule="exact"/>
        <w:rPr>
          <w:sz w:val="20"/>
          <w:szCs w:val="20"/>
          <w:color w:val="auto"/>
        </w:rPr>
      </w:pPr>
    </w:p>
    <w:p>
      <w:pPr>
        <w:ind w:right="40" w:firstLine="267"/>
        <w:spacing w:after="0" w:line="295" w:lineRule="auto"/>
        <w:tabs>
          <w:tab w:leader="none" w:pos="509" w:val="left"/>
        </w:tabs>
        <w:numPr>
          <w:ilvl w:val="0"/>
          <w:numId w:val="206"/>
        </w:numPr>
        <w:rPr>
          <w:rFonts w:ascii="Arial" w:cs="Arial" w:eastAsia="Arial" w:hAnsi="Arial"/>
          <w:sz w:val="15"/>
          <w:szCs w:val="15"/>
          <w:color w:val="auto"/>
        </w:rPr>
      </w:pPr>
      <w:r>
        <w:rPr>
          <w:rFonts w:ascii="Arial" w:cs="Arial" w:eastAsia="Arial" w:hAnsi="Arial"/>
          <w:sz w:val="15"/>
          <w:szCs w:val="15"/>
          <w:i w:val="1"/>
          <w:iCs w:val="1"/>
          <w:color w:val="auto"/>
        </w:rPr>
        <w:t xml:space="preserve">Notices. </w:t>
      </w:r>
      <w:r>
        <w:rPr>
          <w:rFonts w:ascii="Arial" w:cs="Arial" w:eastAsia="Arial" w:hAnsi="Arial"/>
          <w:sz w:val="15"/>
          <w:szCs w:val="15"/>
          <w:color w:val="auto"/>
        </w:rPr>
        <w:t>All notices and other communications hereunder shall be in writing and shall be deemed to have been duly given if mailed or transmitted and</w:t>
      </w:r>
      <w:r>
        <w:rPr>
          <w:rFonts w:ascii="Arial" w:cs="Arial" w:eastAsia="Arial" w:hAnsi="Arial"/>
          <w:sz w:val="15"/>
          <w:szCs w:val="15"/>
          <w:i w:val="1"/>
          <w:iCs w:val="1"/>
          <w:color w:val="auto"/>
        </w:rPr>
        <w:t xml:space="preserve"> </w:t>
      </w:r>
      <w:r>
        <w:rPr>
          <w:rFonts w:ascii="Arial" w:cs="Arial" w:eastAsia="Arial" w:hAnsi="Arial"/>
          <w:sz w:val="15"/>
          <w:szCs w:val="15"/>
          <w:color w:val="auto"/>
        </w:rPr>
        <w:t>confirmed by any standard form of telecommunication. Notices to the Underwriters shall be given to the Representatives c/o J.P. Morgan Securities Inc., 277 Park Avenue, New York, New York 10172 (fax: (212) 622-8358); Attention: Equity Syndicate Desk. Notices to the Company shall be given to it at 300 Professional Drive, Suite 250, Gaithersburg, MD 20879 (fax: (301) 994-0290); Attention: Daniel J. Abdun-Nabi, Esquire, General Counsel. Notices to the Selling Stockholders</w:t>
      </w:r>
    </w:p>
    <w:p>
      <w:pPr>
        <w:spacing w:after="0" w:line="2" w:lineRule="exact"/>
        <w:rPr>
          <w:sz w:val="20"/>
          <w:szCs w:val="20"/>
          <w:color w:val="auto"/>
        </w:rPr>
      </w:pPr>
    </w:p>
    <w:p>
      <w:pPr>
        <w:spacing w:after="0"/>
        <w:tabs>
          <w:tab w:leader="none" w:pos="4640" w:val="left"/>
          <w:tab w:leader="none" w:pos="6460" w:val="left"/>
          <w:tab w:leader="none" w:pos="8340" w:val="left"/>
          <w:tab w:leader="none" w:pos="9580" w:val="left"/>
        </w:tabs>
        <w:rPr>
          <w:sz w:val="20"/>
          <w:szCs w:val="20"/>
          <w:color w:val="auto"/>
        </w:rPr>
      </w:pPr>
      <w:r>
        <w:rPr>
          <w:rFonts w:ascii="Arial" w:cs="Arial" w:eastAsia="Arial" w:hAnsi="Arial"/>
          <w:sz w:val="17"/>
          <w:szCs w:val="17"/>
          <w:color w:val="auto"/>
        </w:rPr>
        <w:t>shall be given to the Attorneys-in-Fact at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(fax:</w:t>
      </w:r>
      <w:r>
        <w:rPr>
          <w:sz w:val="20"/>
          <w:szCs w:val="20"/>
          <w:color w:val="auto"/>
        </w:rPr>
        <w:tab/>
      </w:r>
      <w:r>
        <w:rPr>
          <w:rFonts w:ascii="Arial" w:cs="Arial" w:eastAsia="Arial" w:hAnsi="Arial"/>
          <w:sz w:val="16"/>
          <w:szCs w:val="16"/>
          <w:color w:val="auto"/>
        </w:rPr>
        <w:t>);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-15240</wp:posOffset>
            </wp:positionV>
            <wp:extent cx="53251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325110" cy="8255"/>
                    </a:xfrm>
                    <a:prstGeom prst="rect">
                      <a:avLst/>
                    </a:prstGeom>
                    <a:noFill/>
                  </pic:spPr>
                </pic:pic>
              </a:graphicData>
            </a:graphic>
          </wp:anchor>
        </w:drawing>
      </w:r>
    </w:p>
    <w:p>
      <w:pPr>
        <w:ind w:left="1020" w:hanging="1015"/>
        <w:spacing w:after="0"/>
        <w:tabs>
          <w:tab w:leader="none" w:pos="10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w:t>
      </w:r>
    </w:p>
    <w:p>
      <w:pPr>
        <w:spacing w:after="0" w:line="106" w:lineRule="exact"/>
        <w:rPr>
          <w:rFonts w:ascii="Arial" w:cs="Arial" w:eastAsia="Arial" w:hAnsi="Arial"/>
          <w:sz w:val="17"/>
          <w:szCs w:val="17"/>
          <w:color w:val="auto"/>
        </w:rPr>
      </w:pPr>
    </w:p>
    <w:p>
      <w:pPr>
        <w:ind w:left="500" w:hanging="233"/>
        <w:spacing w:after="0"/>
        <w:tabs>
          <w:tab w:leader="none" w:pos="500" w:val="left"/>
        </w:tabs>
        <w:numPr>
          <w:ilvl w:val="1"/>
          <w:numId w:val="207"/>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shall be governed by and construed in accordance with the laws of the State of New York.</w:t>
      </w:r>
    </w:p>
    <w:p>
      <w:pPr>
        <w:spacing w:after="0" w:line="118" w:lineRule="exact"/>
        <w:rPr>
          <w:rFonts w:ascii="Arial" w:cs="Arial" w:eastAsia="Arial" w:hAnsi="Arial"/>
          <w:sz w:val="17"/>
          <w:szCs w:val="17"/>
          <w:color w:val="auto"/>
        </w:rPr>
      </w:pPr>
    </w:p>
    <w:p>
      <w:pPr>
        <w:ind w:firstLine="267"/>
        <w:spacing w:after="0" w:line="289" w:lineRule="auto"/>
        <w:tabs>
          <w:tab w:leader="none" w:pos="509" w:val="left"/>
        </w:tabs>
        <w:numPr>
          <w:ilvl w:val="1"/>
          <w:numId w:val="207"/>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 telecommunication),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shall be an original and all of which together shall constitute one and the same instrument.</w:t>
      </w:r>
    </w:p>
    <w:p>
      <w:pPr>
        <w:spacing w:after="0" w:line="53" w:lineRule="exact"/>
        <w:rPr>
          <w:rFonts w:ascii="Arial" w:cs="Arial" w:eastAsia="Arial" w:hAnsi="Arial"/>
          <w:sz w:val="17"/>
          <w:szCs w:val="17"/>
          <w:color w:val="auto"/>
        </w:rPr>
      </w:pPr>
    </w:p>
    <w:p>
      <w:pPr>
        <w:ind w:right="20" w:firstLine="267"/>
        <w:spacing w:after="0" w:line="289" w:lineRule="auto"/>
        <w:tabs>
          <w:tab w:leader="none" w:pos="499" w:val="left"/>
        </w:tabs>
        <w:numPr>
          <w:ilvl w:val="1"/>
          <w:numId w:val="207"/>
        </w:numPr>
        <w:rPr>
          <w:rFonts w:ascii="Arial" w:cs="Arial" w:eastAsia="Arial" w:hAnsi="Arial"/>
          <w:sz w:val="17"/>
          <w:szCs w:val="17"/>
          <w:color w:val="auto"/>
        </w:rPr>
      </w:pPr>
      <w:r>
        <w:rPr>
          <w:rFonts w:ascii="Arial" w:cs="Arial" w:eastAsia="Arial" w:hAnsi="Arial"/>
          <w:sz w:val="17"/>
          <w:szCs w:val="17"/>
          <w:i w:val="1"/>
          <w:iCs w:val="1"/>
          <w:color w:val="auto"/>
        </w:rPr>
        <w:t xml:space="preserve">Amendments or Waivers. </w:t>
      </w:r>
      <w:r>
        <w:rPr>
          <w:rFonts w:ascii="Arial" w:cs="Arial" w:eastAsia="Arial" w:hAnsi="Arial"/>
          <w:sz w:val="17"/>
          <w:szCs w:val="17"/>
          <w:color w:val="auto"/>
        </w:rPr>
        <w:t>No amendment or waiver of any provision of this Agreement, nor any consent or approval to any departure therefrom, shall in any</w:t>
      </w:r>
      <w:r>
        <w:rPr>
          <w:rFonts w:ascii="Arial" w:cs="Arial" w:eastAsia="Arial" w:hAnsi="Arial"/>
          <w:sz w:val="17"/>
          <w:szCs w:val="17"/>
          <w:i w:val="1"/>
          <w:iCs w:val="1"/>
          <w:color w:val="auto"/>
        </w:rPr>
        <w:t xml:space="preserve"> </w:t>
      </w:r>
      <w:r>
        <w:rPr>
          <w:rFonts w:ascii="Arial" w:cs="Arial" w:eastAsia="Arial" w:hAnsi="Arial"/>
          <w:sz w:val="17"/>
          <w:szCs w:val="17"/>
          <w:color w:val="auto"/>
        </w:rPr>
        <w:t>event be effective unless the same shall be in writing and signed by the parties hereto.</w:t>
      </w:r>
    </w:p>
    <w:p>
      <w:pPr>
        <w:spacing w:after="0" w:line="53" w:lineRule="exact"/>
        <w:rPr>
          <w:rFonts w:ascii="Arial" w:cs="Arial" w:eastAsia="Arial" w:hAnsi="Arial"/>
          <w:sz w:val="17"/>
          <w:szCs w:val="17"/>
          <w:color w:val="auto"/>
        </w:rPr>
      </w:pPr>
    </w:p>
    <w:p>
      <w:pPr>
        <w:ind w:right="160" w:firstLine="267"/>
        <w:spacing w:after="0" w:line="289" w:lineRule="auto"/>
        <w:tabs>
          <w:tab w:leader="none" w:pos="480" w:val="left"/>
        </w:tabs>
        <w:numPr>
          <w:ilvl w:val="1"/>
          <w:numId w:val="207"/>
        </w:numPr>
        <w:rPr>
          <w:rFonts w:ascii="Arial" w:cs="Arial" w:eastAsia="Arial" w:hAnsi="Arial"/>
          <w:sz w:val="17"/>
          <w:szCs w:val="17"/>
          <w:color w:val="auto"/>
        </w:rPr>
      </w:pPr>
      <w:r>
        <w:rPr>
          <w:rFonts w:ascii="Arial" w:cs="Arial" w:eastAsia="Arial" w:hAnsi="Arial"/>
          <w:sz w:val="17"/>
          <w:szCs w:val="17"/>
          <w:i w:val="1"/>
          <w:iCs w:val="1"/>
          <w:color w:val="auto"/>
        </w:rPr>
        <w:t xml:space="preserve">Headings. </w:t>
      </w:r>
      <w:r>
        <w:rPr>
          <w:rFonts w:ascii="Arial" w:cs="Arial" w:eastAsia="Arial" w:hAnsi="Arial"/>
          <w:sz w:val="17"/>
          <w:szCs w:val="17"/>
          <w:color w:val="auto"/>
        </w:rPr>
        <w:t>The headings herein are included for convenience of reference only and are not intended to be part of, or to affect the meaning or interpretation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-1246505</wp:posOffset>
            </wp:positionV>
            <wp:extent cx="6400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0080" cy="8255"/>
                    </a:xfrm>
                    <a:prstGeom prst="rect">
                      <a:avLst/>
                    </a:prstGeom>
                    <a:noFill/>
                  </pic:spPr>
                </pic:pic>
              </a:graphicData>
            </a:graphic>
          </wp:anchor>
        </w:drawing>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280" w:name="page281"/>
    <w:bookmarkEnd w:id="280"/>
    <w:p>
      <w:pPr>
        <w:jc w:val="center"/>
        <w:ind w:right="-259"/>
        <w:spacing w:after="0"/>
        <w:rPr>
          <w:sz w:val="20"/>
          <w:szCs w:val="20"/>
          <w:color w:val="auto"/>
        </w:rPr>
      </w:pPr>
      <w:r>
        <w:rPr>
          <w:rFonts w:ascii="Arial" w:cs="Arial" w:eastAsia="Arial" w:hAnsi="Arial"/>
          <w:sz w:val="15"/>
          <w:szCs w:val="15"/>
          <w:color w:val="auto"/>
        </w:rPr>
        <w:t>If the foregoing is in accordance with your understanding, please indicate your acceptance of this Agreement by signing in the space provided below.</w:t>
      </w:r>
    </w:p>
    <w:p>
      <w:pPr>
        <w:spacing w:after="0" w:line="247"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Very truly yours,</w:t>
      </w:r>
    </w:p>
    <w:p>
      <w:pPr>
        <w:spacing w:after="0" w:line="224"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EMERGENT BIOSOLUTIONS INC.</w:t>
      </w:r>
    </w:p>
    <w:p>
      <w:pPr>
        <w:spacing w:after="0" w:line="224"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16510</wp:posOffset>
            </wp:positionV>
            <wp:extent cx="278574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33"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SELLING STOCKHOLDERS</w:t>
      </w:r>
    </w:p>
    <w:p>
      <w:pPr>
        <w:spacing w:after="0" w:line="22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16510</wp:posOffset>
            </wp:positionV>
            <wp:extent cx="278574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21"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16510</wp:posOffset>
            </wp:positionV>
            <wp:extent cx="278574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As Attorneys-in-Fact acting on behalf of each of the Selling</w:t>
      </w:r>
    </w:p>
    <w:p>
      <w:pPr>
        <w:spacing w:after="0" w:line="26"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Stockholders named in Schedule II to this Agreement.</w:t>
      </w:r>
    </w:p>
    <w:p>
      <w:pPr>
        <w:spacing w:after="0" w:line="200" w:lineRule="exact"/>
        <w:rPr>
          <w:sz w:val="20"/>
          <w:szCs w:val="20"/>
          <w:color w:val="auto"/>
        </w:rPr>
      </w:pPr>
    </w:p>
    <w:p>
      <w:pPr>
        <w:spacing w:after="0" w:line="326" w:lineRule="exact"/>
        <w:rPr>
          <w:sz w:val="20"/>
          <w:szCs w:val="20"/>
          <w:color w:val="auto"/>
        </w:rPr>
      </w:pPr>
    </w:p>
    <w:p>
      <w:pPr>
        <w:spacing w:after="0"/>
        <w:tabs>
          <w:tab w:leader="none" w:pos="1600" w:val="left"/>
        </w:tabs>
        <w:rPr>
          <w:sz w:val="20"/>
          <w:szCs w:val="20"/>
          <w:color w:val="auto"/>
        </w:rPr>
      </w:pPr>
      <w:r>
        <w:rPr>
          <w:rFonts w:ascii="Arial" w:cs="Arial" w:eastAsia="Arial" w:hAnsi="Arial"/>
          <w:sz w:val="17"/>
          <w:szCs w:val="17"/>
          <w:color w:val="auto"/>
        </w:rPr>
        <w:t>Accepted:</w:t>
      </w:r>
      <w:r>
        <w:rPr>
          <w:sz w:val="20"/>
          <w:szCs w:val="20"/>
          <w:color w:val="auto"/>
        </w:rPr>
        <w:tab/>
      </w:r>
      <w:r>
        <w:rPr>
          <w:rFonts w:ascii="Arial" w:cs="Arial" w:eastAsia="Arial" w:hAnsi="Arial"/>
          <w:sz w:val="17"/>
          <w:szCs w:val="17"/>
          <w:color w:val="auto"/>
        </w:rPr>
        <w:t>,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-7620</wp:posOffset>
            </wp:positionV>
            <wp:extent cx="8585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25400</wp:posOffset>
            </wp:positionV>
            <wp:extent cx="216217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62175" cy="8255"/>
                    </a:xfrm>
                    <a:prstGeom prst="rect">
                      <a:avLst/>
                    </a:prstGeom>
                    <a:noFill/>
                  </pic:spPr>
                </pic:pic>
              </a:graphicData>
            </a:graphic>
          </wp:anchor>
        </w:drawing>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Authorized Signatory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For itself and on behalf of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several Underwriters listed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 Schedule I hereto.</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80"/>
          </w:cols>
          <w:pgMar w:left="240" w:top="913" w:right="979" w:bottom="1440" w:gutter="0" w:footer="0" w:header="0"/>
        </w:sectPr>
      </w:pPr>
    </w:p>
    <w:bookmarkStart w:id="281" w:name="page282"/>
    <w:bookmarkEnd w:id="281"/>
    <w:p>
      <w:pPr>
        <w:jc w:val="right"/>
        <w:spacing w:after="0"/>
        <w:rPr>
          <w:sz w:val="20"/>
          <w:szCs w:val="20"/>
          <w:color w:val="auto"/>
        </w:rPr>
      </w:pPr>
      <w:r>
        <w:rPr>
          <w:rFonts w:ascii="Arial" w:cs="Arial" w:eastAsia="Arial" w:hAnsi="Arial"/>
          <w:sz w:val="17"/>
          <w:szCs w:val="17"/>
          <w:color w:val="auto"/>
        </w:rPr>
        <w:t>Schedule I</w:t>
      </w:r>
    </w:p>
    <w:p>
      <w:pPr>
        <w:spacing w:after="0" w:line="217" w:lineRule="exact"/>
        <w:rPr>
          <w:sz w:val="20"/>
          <w:szCs w:val="20"/>
          <w:color w:val="auto"/>
        </w:rPr>
      </w:pPr>
    </w:p>
    <w:p>
      <w:pPr>
        <w:spacing w:after="0"/>
        <w:tabs>
          <w:tab w:leader="none" w:pos="5920" w:val="left"/>
        </w:tabs>
        <w:rPr>
          <w:sz w:val="20"/>
          <w:szCs w:val="20"/>
          <w:color w:val="auto"/>
        </w:rPr>
      </w:pPr>
      <w:r>
        <w:rPr>
          <w:rFonts w:ascii="Arial" w:cs="Arial" w:eastAsia="Arial" w:hAnsi="Arial"/>
          <w:sz w:val="14"/>
          <w:szCs w:val="14"/>
          <w:color w:val="auto"/>
        </w:rPr>
        <w:t>Underwriter</w:t>
      </w:r>
      <w:r>
        <w:rPr>
          <w:sz w:val="20"/>
          <w:szCs w:val="20"/>
          <w:color w:val="auto"/>
        </w:rPr>
        <w:tab/>
      </w:r>
      <w:r>
        <w:rPr>
          <w:rFonts w:ascii="Arial" w:cs="Arial" w:eastAsia="Arial" w:hAnsi="Arial"/>
          <w:sz w:val="14"/>
          <w:szCs w:val="14"/>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55130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130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J.P. Morgan Securities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Cowen and Company,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674370</wp:posOffset>
            </wp:positionV>
            <wp:extent cx="17379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737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396875</wp:posOffset>
            </wp:positionV>
            <wp:extent cx="7254875" cy="209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7"/>
          <w:szCs w:val="17"/>
          <w:color w:val="auto"/>
        </w:rPr>
        <w:t>Schedule II</w:t>
      </w:r>
    </w:p>
    <w:p>
      <w:pPr>
        <w:spacing w:after="0" w:line="217" w:lineRule="exact"/>
        <w:rPr>
          <w:sz w:val="20"/>
          <w:szCs w:val="20"/>
          <w:color w:val="auto"/>
        </w:rPr>
      </w:pPr>
    </w:p>
    <w:p>
      <w:pPr>
        <w:spacing w:after="0"/>
        <w:tabs>
          <w:tab w:leader="none" w:pos="6580" w:val="left"/>
        </w:tabs>
        <w:rPr>
          <w:sz w:val="20"/>
          <w:szCs w:val="20"/>
          <w:color w:val="auto"/>
        </w:rPr>
      </w:pPr>
      <w:r>
        <w:rPr>
          <w:rFonts w:ascii="Arial" w:cs="Arial" w:eastAsia="Arial" w:hAnsi="Arial"/>
          <w:sz w:val="14"/>
          <w:szCs w:val="14"/>
          <w:color w:val="auto"/>
        </w:rPr>
        <w:t>Selling Stockholders</w:t>
      </w:r>
      <w:r>
        <w:rPr>
          <w:sz w:val="20"/>
          <w:szCs w:val="20"/>
          <w:color w:val="auto"/>
        </w:rPr>
        <w:tab/>
      </w:r>
      <w:r>
        <w:rPr>
          <w:rFonts w:ascii="Arial" w:cs="Arial" w:eastAsia="Arial" w:hAnsi="Arial"/>
          <w:sz w:val="12"/>
          <w:szCs w:val="12"/>
          <w:color w:val="auto"/>
        </w:rPr>
        <w:t>Number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55130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5130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522605</wp:posOffset>
            </wp:positionV>
            <wp:extent cx="7254875"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7"/>
          <w:szCs w:val="17"/>
          <w:color w:val="auto"/>
        </w:rPr>
        <w:t>Annex A</w:t>
      </w:r>
    </w:p>
    <w:p>
      <w:pPr>
        <w:spacing w:after="0" w:line="119" w:lineRule="exact"/>
        <w:rPr>
          <w:sz w:val="20"/>
          <w:szCs w:val="20"/>
          <w:color w:val="auto"/>
        </w:rPr>
      </w:pPr>
    </w:p>
    <w:p>
      <w:pPr>
        <w:ind w:right="480" w:firstLine="267"/>
        <w:spacing w:after="0" w:line="273" w:lineRule="auto"/>
        <w:tabs>
          <w:tab w:leader="none" w:pos="433"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 corporation in good standing under the laws of the State of Delaware and has the corporate power and authority to carry on its business and to own or lease its properties, as such business and properties are described in the Time of Sale Information and the Prospectus.</w:t>
      </w:r>
    </w:p>
    <w:p>
      <w:pPr>
        <w:spacing w:after="0" w:line="66" w:lineRule="exact"/>
        <w:rPr>
          <w:rFonts w:ascii="Arial" w:cs="Arial" w:eastAsia="Arial" w:hAnsi="Arial"/>
          <w:sz w:val="17"/>
          <w:szCs w:val="17"/>
          <w:color w:val="auto"/>
        </w:rPr>
      </w:pPr>
    </w:p>
    <w:p>
      <w:pPr>
        <w:ind w:left="440" w:hanging="173"/>
        <w:spacing w:after="0"/>
        <w:tabs>
          <w:tab w:leader="none" w:pos="4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 is duly qualified and is in good standing as a foreign corporation authorized to do business in the State of Maryland.</w:t>
      </w:r>
    </w:p>
    <w:p>
      <w:pPr>
        <w:spacing w:after="0" w:line="118" w:lineRule="exact"/>
        <w:rPr>
          <w:rFonts w:ascii="Arial" w:cs="Arial" w:eastAsia="Arial" w:hAnsi="Arial"/>
          <w:sz w:val="17"/>
          <w:szCs w:val="17"/>
          <w:color w:val="auto"/>
        </w:rPr>
      </w:pPr>
    </w:p>
    <w:p>
      <w:pPr>
        <w:ind w:right="160" w:firstLine="267"/>
        <w:spacing w:after="0" w:line="289" w:lineRule="auto"/>
        <w:tabs>
          <w:tab w:leader="none" w:pos="43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Each of the subsidiaries of the Company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attached hereto has been duly incorporated or formed and is validly existing as a corporation or limited liability company in good standing under the laws of the applicable jurisdiction as set forth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attached hereto.</w:t>
      </w:r>
    </w:p>
    <w:p>
      <w:pPr>
        <w:spacing w:after="0" w:line="53" w:lineRule="exact"/>
        <w:rPr>
          <w:rFonts w:ascii="Arial" w:cs="Arial" w:eastAsia="Arial" w:hAnsi="Arial"/>
          <w:sz w:val="17"/>
          <w:szCs w:val="17"/>
          <w:color w:val="auto"/>
        </w:rPr>
      </w:pPr>
    </w:p>
    <w:p>
      <w:pPr>
        <w:ind w:right="360" w:firstLine="267"/>
        <w:spacing w:after="0" w:line="289" w:lineRule="auto"/>
        <w:tabs>
          <w:tab w:leader="none" w:pos="43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Each of the subsidiaries of the Company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attached hereto are duly qualified and in good standing as a foreign corporation or limited liability company authorized to do business in the applicable jurisdictions as set forth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attached hereto.</w:t>
      </w:r>
    </w:p>
    <w:p>
      <w:pPr>
        <w:spacing w:after="0" w:line="53" w:lineRule="exact"/>
        <w:rPr>
          <w:rFonts w:ascii="Arial" w:cs="Arial" w:eastAsia="Arial" w:hAnsi="Arial"/>
          <w:sz w:val="17"/>
          <w:szCs w:val="17"/>
          <w:color w:val="auto"/>
        </w:rPr>
      </w:pPr>
    </w:p>
    <w:p>
      <w:pPr>
        <w:ind w:left="440" w:hanging="173"/>
        <w:spacing w:after="0"/>
        <w:tabs>
          <w:tab w:leader="none" w:pos="4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All the outstanding shares of capital stock of the Company have been duly authorized and are validly issued, fully paid and non-assessable.</w:t>
      </w:r>
    </w:p>
    <w:p>
      <w:pPr>
        <w:spacing w:after="0" w:line="118" w:lineRule="exact"/>
        <w:rPr>
          <w:rFonts w:ascii="Arial" w:cs="Arial" w:eastAsia="Arial" w:hAnsi="Arial"/>
          <w:sz w:val="17"/>
          <w:szCs w:val="17"/>
          <w:color w:val="auto"/>
        </w:rPr>
      </w:pPr>
    </w:p>
    <w:p>
      <w:pPr>
        <w:ind w:left="440" w:hanging="173"/>
        <w:spacing w:after="0"/>
        <w:tabs>
          <w:tab w:leader="none" w:pos="44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Shares have been duly authorized and, when issued and delivered to the Underwriters against payment therefor as provided by the Underwriting</w:t>
      </w:r>
    </w:p>
    <w:p>
      <w:pPr>
        <w:spacing w:after="0" w:line="37" w:lineRule="exact"/>
        <w:rPr>
          <w:rFonts w:ascii="Arial" w:cs="Arial" w:eastAsia="Arial" w:hAnsi="Arial"/>
          <w:sz w:val="16"/>
          <w:szCs w:val="16"/>
          <w:color w:val="auto"/>
        </w:rPr>
      </w:pPr>
    </w:p>
    <w:p>
      <w:pPr>
        <w:ind w:right="160"/>
        <w:spacing w:after="0" w:line="265" w:lineRule="auto"/>
        <w:rPr>
          <w:rFonts w:ascii="Arial" w:cs="Arial" w:eastAsia="Arial" w:hAnsi="Arial"/>
          <w:sz w:val="16"/>
          <w:szCs w:val="16"/>
          <w:color w:val="auto"/>
        </w:rPr>
      </w:pPr>
      <w:r>
        <w:rPr>
          <w:rFonts w:ascii="Arial" w:cs="Arial" w:eastAsia="Arial" w:hAnsi="Arial"/>
          <w:sz w:val="17"/>
          <w:szCs w:val="17"/>
          <w:color w:val="auto"/>
        </w:rPr>
        <w:t>Agreement, will be validly issued, fully paid and non-assessable, and the issuance of such Shares will not be subject to any preemptive rights under the Delaware General Corporation Law statute or the Certificate of Incorporation or By-laws or similar contractual rights granted by the Company pursuant to any contract or agreement that has been filed as an exhibit to the Registration Statement.</w:t>
      </w:r>
    </w:p>
    <w:p>
      <w:pPr>
        <w:spacing w:after="0" w:line="73" w:lineRule="exact"/>
        <w:rPr>
          <w:rFonts w:ascii="Arial" w:cs="Arial" w:eastAsia="Arial" w:hAnsi="Arial"/>
          <w:sz w:val="16"/>
          <w:szCs w:val="16"/>
          <w:color w:val="auto"/>
        </w:rPr>
      </w:pPr>
    </w:p>
    <w:p>
      <w:pPr>
        <w:ind w:left="440" w:hanging="173"/>
        <w:spacing w:after="0"/>
        <w:tabs>
          <w:tab w:leader="none" w:pos="44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Underwriting Agreement has been duly authorized, executed and delivered by the Company.</w:t>
      </w:r>
    </w:p>
    <w:p>
      <w:pPr>
        <w:spacing w:after="0" w:line="118" w:lineRule="exact"/>
        <w:rPr>
          <w:rFonts w:ascii="Arial" w:cs="Arial" w:eastAsia="Arial" w:hAnsi="Arial"/>
          <w:sz w:val="17"/>
          <w:szCs w:val="17"/>
          <w:color w:val="auto"/>
        </w:rPr>
      </w:pPr>
    </w:p>
    <w:p>
      <w:pPr>
        <w:ind w:right="40" w:firstLine="267"/>
        <w:spacing w:after="0" w:line="289" w:lineRule="auto"/>
        <w:tabs>
          <w:tab w:leader="none" w:pos="433"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To our knowledge, no stop order suspending the effectiveness of the Registration Statement has been issued and no proceedings for that purpose are pending before or threatened by the Commission.</w:t>
      </w:r>
    </w:p>
    <w:p>
      <w:pPr>
        <w:spacing w:after="0" w:line="53" w:lineRule="exact"/>
        <w:rPr>
          <w:rFonts w:ascii="Arial" w:cs="Arial" w:eastAsia="Arial" w:hAnsi="Arial"/>
          <w:sz w:val="17"/>
          <w:szCs w:val="17"/>
          <w:color w:val="auto"/>
        </w:rPr>
      </w:pPr>
    </w:p>
    <w:p>
      <w:pPr>
        <w:jc w:val="both"/>
        <w:ind w:right="60" w:firstLine="267"/>
        <w:spacing w:after="0" w:line="267" w:lineRule="auto"/>
        <w:tabs>
          <w:tab w:leader="none" w:pos="43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Except as may be required under the Securities Act and the rules and regulations of the Commission thereunder and the Securities Exchange Act of 1934, as amended, and the rules and regulations of the Commission thereunder, no filing with, or authorization, approval, consent, license, order, registration, qualification or decree of, any United States federal governmental authority or agency is necessary for the issuance, sale and delivery of the Shares by the Company to the Underwriters pursuant to the Underwriting Agreement.</w:t>
      </w:r>
    </w:p>
    <w:p>
      <w:pPr>
        <w:spacing w:after="0" w:line="72" w:lineRule="exact"/>
        <w:rPr>
          <w:rFonts w:ascii="Arial" w:cs="Arial" w:eastAsia="Arial" w:hAnsi="Arial"/>
          <w:sz w:val="17"/>
          <w:szCs w:val="17"/>
          <w:color w:val="auto"/>
        </w:rPr>
      </w:pPr>
    </w:p>
    <w:p>
      <w:pPr>
        <w:ind w:right="420" w:firstLine="267"/>
        <w:spacing w:after="0" w:line="289" w:lineRule="auto"/>
        <w:tabs>
          <w:tab w:leader="none" w:pos="5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execution and delivery of the Underwriting Agreement by the Company and the consummation by the Company of the transactions contemplated thereby will not (A)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7254875"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84" w:name="page285"/>
    <w:bookmarkEnd w:id="284"/>
    <w:p>
      <w:pPr>
        <w:ind w:right="80"/>
        <w:spacing w:after="0" w:line="265" w:lineRule="auto"/>
        <w:rPr>
          <w:sz w:val="20"/>
          <w:szCs w:val="20"/>
          <w:color w:val="auto"/>
        </w:rPr>
      </w:pPr>
      <w:r>
        <w:rPr>
          <w:rFonts w:ascii="Arial" w:cs="Arial" w:eastAsia="Arial" w:hAnsi="Arial"/>
          <w:sz w:val="17"/>
          <w:szCs w:val="17"/>
          <w:color w:val="auto"/>
        </w:rPr>
        <w:t>with or constitute a breach of any of the terms or provisions of, or a default under, the Certificate of Incorporation or By-laws or any indenture, loan agreement, mortgage, lease or other agreement or instrument to which the Company is a party and that is filed as an exhibit to the Registration Statement or (B) violate or conflict with any United States federal or Massachusetts law, rule or regulation that in our experience is normally applicable in transactions of the type contemplated by the Underwriting Agreement, the Delaware General Corporation Law statute, or any judgment, order or decree specifically naming the Company of which we are aware.</w:t>
      </w:r>
    </w:p>
    <w:p>
      <w:pPr>
        <w:spacing w:after="0" w:line="73" w:lineRule="exact"/>
        <w:rPr>
          <w:sz w:val="20"/>
          <w:szCs w:val="20"/>
          <w:color w:val="auto"/>
        </w:rPr>
      </w:pPr>
    </w:p>
    <w:p>
      <w:pPr>
        <w:ind w:right="260" w:firstLine="267"/>
        <w:spacing w:after="0" w:line="273" w:lineRule="auto"/>
        <w:tabs>
          <w:tab w:leader="none" w:pos="51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statements in the Time of Sale Information and the Prospectus under the captions “Description of capital stock” and “Shares eligible for future sale” and in Item 14 of Part II of the Registration Statement, insofar as such statements constitute matters of law or legal conclusions or summarize the terms of agreements, are correct in all material respects.</w:t>
      </w:r>
    </w:p>
    <w:p>
      <w:pPr>
        <w:spacing w:after="0" w:line="66" w:lineRule="exact"/>
        <w:rPr>
          <w:rFonts w:ascii="Arial" w:cs="Arial" w:eastAsia="Arial" w:hAnsi="Arial"/>
          <w:sz w:val="17"/>
          <w:szCs w:val="17"/>
          <w:color w:val="auto"/>
        </w:rPr>
      </w:pPr>
    </w:p>
    <w:p>
      <w:pPr>
        <w:ind w:right="40" w:firstLine="267"/>
        <w:spacing w:after="0" w:line="289" w:lineRule="auto"/>
        <w:tabs>
          <w:tab w:leader="none" w:pos="5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Company is not and, after giving effect to the offering and sale of the Shares and the application of the proceeds thereof as described in the Prospectus, will not be an “investment company,” as such term is defined in the Investment Company Act of 1940, as amended.</w:t>
      </w:r>
    </w:p>
    <w:p>
      <w:pPr>
        <w:spacing w:after="0" w:line="53" w:lineRule="exact"/>
        <w:rPr>
          <w:sz w:val="20"/>
          <w:szCs w:val="20"/>
          <w:color w:val="auto"/>
        </w:rPr>
      </w:pPr>
    </w:p>
    <w:p>
      <w:pPr>
        <w:ind w:right="200" w:firstLine="267"/>
        <w:spacing w:after="0" w:line="273" w:lineRule="auto"/>
        <w:tabs>
          <w:tab w:leader="none" w:pos="52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Except as described in the Time of Sale Information and the Prospectus, no contract or agreement that has been filed as an exhibit to the Registration Statement grants any person a right to require the Company to register pursuant to the Registration Statement any securities other than the Shares, except for any such right as has been waived.</w:t>
      </w:r>
    </w:p>
    <w:p>
      <w:pPr>
        <w:spacing w:after="0" w:line="66" w:lineRule="exact"/>
        <w:rPr>
          <w:sz w:val="20"/>
          <w:szCs w:val="20"/>
          <w:color w:val="auto"/>
        </w:rPr>
      </w:pPr>
    </w:p>
    <w:p>
      <w:pPr>
        <w:ind w:right="100" w:firstLine="262"/>
        <w:spacing w:after="0" w:line="263" w:lineRule="auto"/>
        <w:rPr>
          <w:sz w:val="20"/>
          <w:szCs w:val="20"/>
          <w:color w:val="auto"/>
        </w:rPr>
      </w:pPr>
      <w:r>
        <w:rPr>
          <w:rFonts w:ascii="Arial" w:cs="Arial" w:eastAsia="Arial" w:hAnsi="Arial"/>
          <w:sz w:val="17"/>
          <w:szCs w:val="17"/>
          <w:color w:val="auto"/>
        </w:rPr>
        <w:t>13 The Rights Agreement has been duly authorized, executed and delivered by the Company. The Rights have been duly authorized by the Company, and, when the Shares are issued and delivered to the Underwriters against payment therefor as provided in the Underwriting Agreement and the Rights are issued upon issuance of the Shares as provided in the Rights Agreement, the Rights applicable to the Shares will be validly issued. The shares of Series A Junior Participating Preferred Stock issuable upon exercise of the Rights have been duly authorized and reserved for issuance and, upon the exercise of the Rights in accordance with the terms of the Rights Agreement and when issued and delivered and paid for as provided in the Rights Agreement, will be validly issued, fully paid and non-assessable.</w:t>
      </w:r>
    </w:p>
    <w:p>
      <w:pPr>
        <w:spacing w:after="0" w:line="77" w:lineRule="exact"/>
        <w:rPr>
          <w:sz w:val="20"/>
          <w:szCs w:val="20"/>
          <w:color w:val="auto"/>
        </w:rPr>
      </w:pPr>
    </w:p>
    <w:p>
      <w:pPr>
        <w:ind w:firstLine="262"/>
        <w:spacing w:after="0" w:line="302" w:lineRule="auto"/>
        <w:rPr>
          <w:sz w:val="20"/>
          <w:szCs w:val="20"/>
          <w:color w:val="auto"/>
        </w:rPr>
      </w:pPr>
      <w:r>
        <w:rPr>
          <w:rFonts w:ascii="Arial" w:cs="Arial" w:eastAsia="Arial" w:hAnsi="Arial"/>
          <w:sz w:val="15"/>
          <w:szCs w:val="15"/>
          <w:color w:val="auto"/>
        </w:rPr>
        <w:t>In addition to the opinions provided above, we confirm to you as follows: In the course of acting as counsel for the Company in connection with the preparation of the Registration Statement, the Time of Sale Information and the Prospectus, we have participated in conferences with officers and other representatives of the Company, representatives of and counsel for the Underwriters and representatives of the registered independent public accounting firm of the Company, during which the contents of the Registration Statement, the Time of Sale Information and the Prospectus were discussed. While the limitations inherent in the independent verification of factual matters and the character of determinations involved in the registration process are such that we are not passing upon and do not assume any responsibility for the accuracy, completeness or fairness of the statements contained in the Registration Statement, the Time of Sale Information or the Prospectus (except to the extent expressly set forth in paragraph 11 above), subject to the foregoing and based on such participation and 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354965</wp:posOffset>
            </wp:positionV>
            <wp:extent cx="7254875"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85" w:name="page286"/>
    <w:bookmarkEnd w:id="285"/>
    <w:p>
      <w:pPr>
        <w:ind w:left="-267" w:firstLine="267"/>
        <w:spacing w:after="0" w:line="267" w:lineRule="auto"/>
        <w:tabs>
          <w:tab w:leader="none" w:pos="232"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Registration Statement, as of the Effective Date, and the Prospectus, as of the date thereof (except for the financial statements, including the notes and schedules thereto, and other financial and accounting data and statistical data derived from such financial and accounting data included therein or omitted therefrom, as to which we express no view) appear on their face to be appropriately responsive in all material respects to the requirements of the Securities Act and the applicable rules and regulations of the Commission thereunder;</w:t>
      </w:r>
    </w:p>
    <w:p>
      <w:pPr>
        <w:spacing w:after="0" w:line="72" w:lineRule="exact"/>
        <w:rPr>
          <w:rFonts w:ascii="Arial" w:cs="Arial" w:eastAsia="Arial" w:hAnsi="Arial"/>
          <w:sz w:val="17"/>
          <w:szCs w:val="17"/>
          <w:color w:val="auto"/>
        </w:rPr>
      </w:pPr>
    </w:p>
    <w:p>
      <w:pPr>
        <w:ind w:left="-267" w:firstLine="267"/>
        <w:spacing w:after="0" w:line="281" w:lineRule="auto"/>
        <w:tabs>
          <w:tab w:leader="none" w:pos="24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no facts have come to our attention that have caused us to believe that (i) the Registration Statement, as of the Effective Date, contained an untrue statement of a material fact or omitted to state a material fact required to be stated therein or necessary to make the statements therein not misleading (except as set forth in the parenthetical in clause (a) above), (ii) the Time of Sale Information, as of the Time of Sale, contained an untrue statement of a material fact or omitted to state a material fact necessary in order to make the statements therein, in the light of the circumstances under which they were made, not misleading (except as set forth in the parenthetical in clause (a) above) or (iii) the Prospectus, as of its date or as of the date hereof, contained or contains an untrue statement of a material fact or omitted or omits to state a material fact necessary in order to make the statements therein, in the light of the circumstances under which they were made, not misleading (except as set forth in the parenthetical in clause (a) above);</w:t>
      </w:r>
    </w:p>
    <w:p>
      <w:pPr>
        <w:spacing w:after="0" w:line="63" w:lineRule="exact"/>
        <w:rPr>
          <w:rFonts w:ascii="Arial" w:cs="Arial" w:eastAsia="Arial" w:hAnsi="Arial"/>
          <w:sz w:val="16"/>
          <w:szCs w:val="16"/>
          <w:color w:val="auto"/>
        </w:rPr>
      </w:pPr>
    </w:p>
    <w:p>
      <w:pPr>
        <w:ind w:left="-267" w:firstLine="267"/>
        <w:spacing w:after="0" w:line="289" w:lineRule="auto"/>
        <w:tabs>
          <w:tab w:leader="none" w:pos="232" w:val="left"/>
        </w:tabs>
        <w:numPr>
          <w:ilvl w:val="0"/>
          <w:numId w:val="211"/>
        </w:numPr>
        <w:rPr>
          <w:rFonts w:ascii="Arial" w:cs="Arial" w:eastAsia="Arial" w:hAnsi="Arial"/>
          <w:sz w:val="17"/>
          <w:szCs w:val="17"/>
          <w:color w:val="auto"/>
        </w:rPr>
      </w:pPr>
      <w:r>
        <w:rPr>
          <w:rFonts w:ascii="Arial" w:cs="Arial" w:eastAsia="Arial" w:hAnsi="Arial"/>
          <w:sz w:val="17"/>
          <w:szCs w:val="17"/>
          <w:color w:val="auto"/>
        </w:rPr>
        <w:t>we are not aware of any contract or other document of a character required by the Securities Act and the applicable rules and regulations of the Commission thereunder to be filed as an exhibit to the Registration Statement that is not so filed; and</w:t>
      </w:r>
    </w:p>
    <w:p>
      <w:pPr>
        <w:spacing w:after="0" w:line="157" w:lineRule="exact"/>
        <w:rPr>
          <w:rFonts w:ascii="Arial" w:cs="Arial" w:eastAsia="Arial" w:hAnsi="Arial"/>
          <w:sz w:val="17"/>
          <w:szCs w:val="17"/>
          <w:color w:val="auto"/>
        </w:rPr>
      </w:pPr>
    </w:p>
    <w:p>
      <w:pPr>
        <w:jc w:val="both"/>
        <w:ind w:left="-267" w:right="340" w:firstLine="267"/>
        <w:spacing w:after="0" w:line="273" w:lineRule="auto"/>
        <w:tabs>
          <w:tab w:leader="none" w:pos="242" w:val="left"/>
        </w:tabs>
        <w:numPr>
          <w:ilvl w:val="0"/>
          <w:numId w:val="211"/>
        </w:numPr>
        <w:rPr>
          <w:rFonts w:ascii="Arial" w:cs="Arial" w:eastAsia="Arial" w:hAnsi="Arial"/>
          <w:sz w:val="17"/>
          <w:szCs w:val="17"/>
          <w:color w:val="auto"/>
        </w:rPr>
      </w:pPr>
      <w:r>
        <w:rPr>
          <w:rFonts w:ascii="Arial" w:cs="Arial" w:eastAsia="Arial" w:hAnsi="Arial"/>
          <w:sz w:val="17"/>
          <w:szCs w:val="17"/>
          <w:color w:val="auto"/>
        </w:rPr>
        <w:t>we are not aware of any action, proceeding or litigation pending, contemplated or threatened against the Company before any court or governmental or administrative agency or body that is required by the Securities Act or the rules and regulations thereunder to be described in the Registration Statement or the Prospectus that is not so described.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363855</wp:posOffset>
            </wp:positionV>
            <wp:extent cx="725487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33"/>
          </w:cols>
          <w:pgMar w:left="507" w:top="913" w:right="259" w:bottom="1440" w:gutter="0" w:footer="0" w:header="0"/>
        </w:sectPr>
      </w:pPr>
    </w:p>
    <w:bookmarkStart w:id="286" w:name="page287"/>
    <w:bookmarkEnd w:id="286"/>
    <w:p>
      <w:pPr>
        <w:jc w:val="right"/>
        <w:spacing w:after="0"/>
        <w:rPr>
          <w:sz w:val="20"/>
          <w:szCs w:val="20"/>
          <w:color w:val="auto"/>
        </w:rPr>
      </w:pPr>
      <w:r>
        <w:rPr>
          <w:rFonts w:ascii="Arial" w:cs="Arial" w:eastAsia="Arial" w:hAnsi="Arial"/>
          <w:sz w:val="17"/>
          <w:szCs w:val="17"/>
          <w:color w:val="auto"/>
        </w:rPr>
        <w:t>Annex B</w:t>
      </w:r>
    </w:p>
    <w:p>
      <w:pPr>
        <w:spacing w:after="0" w:line="113" w:lineRule="exact"/>
        <w:rPr>
          <w:sz w:val="20"/>
          <w:szCs w:val="20"/>
          <w:color w:val="auto"/>
        </w:rPr>
      </w:pPr>
    </w:p>
    <w:p>
      <w:pPr>
        <w:ind w:left="340" w:hanging="335"/>
        <w:spacing w:after="0"/>
        <w:tabs>
          <w:tab w:leader="none" w:pos="34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Time of Sale Information</w:t>
      </w:r>
    </w:p>
    <w:p>
      <w:pPr>
        <w:spacing w:after="0" w:line="131" w:lineRule="exact"/>
        <w:rPr>
          <w:rFonts w:ascii="Arial" w:cs="Arial" w:eastAsia="Arial" w:hAnsi="Arial"/>
          <w:sz w:val="17"/>
          <w:szCs w:val="17"/>
          <w:b w:val="1"/>
          <w:bCs w:val="1"/>
          <w:color w:val="auto"/>
        </w:rPr>
      </w:pPr>
    </w:p>
    <w:p>
      <w:pPr>
        <w:ind w:left="340" w:hanging="335"/>
        <w:spacing w:after="0"/>
        <w:tabs>
          <w:tab w:leader="none" w:pos="340" w:val="left"/>
        </w:tabs>
        <w:numPr>
          <w:ilvl w:val="0"/>
          <w:numId w:val="21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Pricing Information Provided Orally by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400685</wp:posOffset>
            </wp:positionV>
            <wp:extent cx="7254875" cy="20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7"/>
          <w:szCs w:val="17"/>
          <w:color w:val="auto"/>
        </w:rPr>
        <w:t>Annex C</w:t>
      </w:r>
    </w:p>
    <w:p>
      <w:pPr>
        <w:spacing w:after="0" w:line="32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Emergent BioSolutions Inc.</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Pricing Term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389255</wp:posOffset>
            </wp:positionV>
            <wp:extent cx="7254875"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20"/>
          </w:cols>
          <w:pgMar w:left="1440" w:top="913"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7"/>
          <w:szCs w:val="17"/>
          <w:color w:val="auto"/>
        </w:rPr>
        <w:t>Annex D</w:t>
      </w:r>
    </w:p>
    <w:p>
      <w:pPr>
        <w:spacing w:after="0" w:line="119" w:lineRule="exact"/>
        <w:rPr>
          <w:sz w:val="20"/>
          <w:szCs w:val="20"/>
          <w:color w:val="auto"/>
        </w:rPr>
      </w:pPr>
    </w:p>
    <w:p>
      <w:pPr>
        <w:ind w:right="240" w:firstLine="5"/>
        <w:spacing w:after="0" w:line="267" w:lineRule="auto"/>
        <w:tabs>
          <w:tab w:leader="none" w:pos="17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To our actual knowledge, except as disclosed in the Registration Statement, we are not aware of any pending or threatened claims, action, suit, or proceeding asserting third party intellectual property rights against the Company. To our actual knowledge, we are not aware of any order, judgment, decree or injunction restricting the operation of the business of the Company. We have not, however, carried out an independent review to determine whether such matters may have arisen and make no representations in that regard.</w:t>
      </w:r>
    </w:p>
    <w:p>
      <w:pPr>
        <w:spacing w:after="0" w:line="72" w:lineRule="exact"/>
        <w:rPr>
          <w:rFonts w:ascii="Arial" w:cs="Arial" w:eastAsia="Arial" w:hAnsi="Arial"/>
          <w:sz w:val="17"/>
          <w:szCs w:val="17"/>
          <w:color w:val="auto"/>
        </w:rPr>
      </w:pPr>
    </w:p>
    <w:p>
      <w:pPr>
        <w:ind w:right="440" w:firstLine="5"/>
        <w:spacing w:after="0" w:line="267" w:lineRule="auto"/>
        <w:tabs>
          <w:tab w:leader="none" w:pos="17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To our actual knowledge, the issued patents [and patent applications] that the Company represents in the Intellectual Property and Licensing Section of the Registration Statement to have been duly maintained have not been abandoned, disclaimed or declared invalid or unenforceable by any court of competent jurisdiction. We have not, however, carried out an independent review of such patents [and patent applications] for the purposes of this Opinion and make no representations regarding matters beyond our actual knowledge.</w:t>
      </w:r>
    </w:p>
    <w:p>
      <w:pPr>
        <w:spacing w:after="0" w:line="72" w:lineRule="exact"/>
        <w:rPr>
          <w:rFonts w:ascii="Arial" w:cs="Arial" w:eastAsia="Arial" w:hAnsi="Arial"/>
          <w:sz w:val="17"/>
          <w:szCs w:val="17"/>
          <w:color w:val="auto"/>
        </w:rPr>
      </w:pPr>
    </w:p>
    <w:p>
      <w:pPr>
        <w:ind w:right="100" w:firstLine="5"/>
        <w:spacing w:after="0" w:line="267" w:lineRule="auto"/>
        <w:tabs>
          <w:tab w:leader="none" w:pos="174"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To our actual knowledge, no person or entity other than the Company has asserted any inventorship or ownership rights in any of the patents or patent applications that we have handled for the Company (as set forth in Schedule A). We have not, however, carried out an independent review that we deem sufficient to express to the Underwriter any opinion concerning whether the inventors named in the [European][U.S.] patent applications that we handled for the Company (as set forth in Schedule A) were correctly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254875"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7"/>
          <w:szCs w:val="17"/>
          <w:color w:val="auto"/>
        </w:rPr>
        <w:t>Annex E</w:t>
      </w:r>
    </w:p>
    <w:p>
      <w:pPr>
        <w:spacing w:after="0" w:line="119" w:lineRule="exact"/>
        <w:rPr>
          <w:sz w:val="20"/>
          <w:szCs w:val="20"/>
          <w:color w:val="auto"/>
        </w:rPr>
      </w:pPr>
    </w:p>
    <w:p>
      <w:pPr>
        <w:ind w:right="20" w:firstLine="211"/>
        <w:spacing w:after="0" w:line="297" w:lineRule="auto"/>
        <w:tabs>
          <w:tab w:leader="none" w:pos="46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Each Selling Stockholder is the record, beneficial and lawful owner of all of the Shares to be sold by such Selling Stockholder and has valid and marketable title to such Shares, and upon delivery of and payment for the Shares, the Underwriters will acquire valid and marketable title to the shares, free and clear of any mortgage, pledge, security interest, lien, claim or other encumbrance or restriction on transferability or any adverse claim.</w:t>
      </w:r>
    </w:p>
    <w:p>
      <w:pPr>
        <w:spacing w:after="0" w:line="50" w:lineRule="exact"/>
        <w:rPr>
          <w:rFonts w:ascii="Arial" w:cs="Arial" w:eastAsia="Arial" w:hAnsi="Arial"/>
          <w:sz w:val="16"/>
          <w:szCs w:val="16"/>
          <w:color w:val="auto"/>
        </w:rPr>
      </w:pPr>
    </w:p>
    <w:p>
      <w:pPr>
        <w:ind w:right="100" w:firstLine="211"/>
        <w:spacing w:after="0" w:line="278" w:lineRule="auto"/>
        <w:tabs>
          <w:tab w:leader="none" w:pos="46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sale of the Shares and the execution and delivery by the Selling Stockholder of, and the performance by the Selling Stockholder of its obligations under, the Underwriting Agreement, and the consummation of the transactions contemplated therein, (i) have been duly authorized on the part of each of the Selling Stockholders, and (ii) will not conflict with or result in a breach of any of the terms or provisions of, or constitute a default under, any indenture, mortgage, deed of trust, loan agreement or other material agreement or instrument, identified to us in any Selling Stockholder’s Certificate, to which any Selling Stockholder is a party or by which any Selling Stockholder is bound or to which any of the property or assets of any Selling Stockholder is subject, nor will any such action result in any violation of the provisions of the charter or bylaws or similar organizational documents of any Selling Stockholder or any applicable law or statute or any order, rule or regulation of any court or governmental agency or body having jurisdiction over such Selling Stockholder or any of its properties. No consent, approval, authorization, order, registration or qualification of or with any such court or governmental agency or body is required for the sale of the Shares or the consummation by the Selling Stockholders of the transactions contemplated by the Underwriting Agreement, except such consents, approvals, authorizations, registrations or qualifications as have been obtained under the Securities Act of 1933 and as may be required under state securities or Blue Sky laws in connection with the purchase and distribution of the Shares by the Underwriters.</w:t>
      </w:r>
    </w:p>
    <w:p>
      <w:pPr>
        <w:spacing w:after="0" w:line="65" w:lineRule="exact"/>
        <w:rPr>
          <w:rFonts w:ascii="Arial" w:cs="Arial" w:eastAsia="Arial" w:hAnsi="Arial"/>
          <w:sz w:val="16"/>
          <w:szCs w:val="16"/>
          <w:color w:val="auto"/>
        </w:rPr>
      </w:pPr>
    </w:p>
    <w:p>
      <w:pPr>
        <w:ind w:right="240" w:firstLine="211"/>
        <w:spacing w:after="0" w:line="359" w:lineRule="auto"/>
        <w:tabs>
          <w:tab w:leader="none" w:pos="465"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Power of Attorney and the Custody Agreement of each Selling Stockholder have been duly authorized, executed and delivered by such Selling Stockholder and constitute valid and legally binding obligations of each such Selling Stockholder, enforceable in accordance with their respective terms; and</w:t>
      </w:r>
    </w:p>
    <w:p>
      <w:pPr>
        <w:spacing w:after="0" w:line="7" w:lineRule="exact"/>
        <w:rPr>
          <w:rFonts w:ascii="Arial" w:cs="Arial" w:eastAsia="Arial" w:hAnsi="Arial"/>
          <w:sz w:val="15"/>
          <w:szCs w:val="15"/>
          <w:color w:val="auto"/>
        </w:rPr>
      </w:pPr>
    </w:p>
    <w:p>
      <w:pPr>
        <w:ind w:left="460" w:hanging="249"/>
        <w:spacing w:after="0"/>
        <w:tabs>
          <w:tab w:leader="none" w:pos="4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Underwriting Agreement has been duly authorized, executed and delivered by or on behalf of each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396875</wp:posOffset>
            </wp:positionV>
            <wp:extent cx="7254875"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80"/>
          </w:cols>
          <w:pgMar w:left="480" w:top="913"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7"/>
          <w:szCs w:val="17"/>
          <w:color w:val="auto"/>
        </w:rPr>
        <w:t>Annex F</w:t>
      </w:r>
    </w:p>
    <w:p>
      <w:pPr>
        <w:spacing w:after="0" w:line="119" w:lineRule="exact"/>
        <w:rPr>
          <w:sz w:val="20"/>
          <w:szCs w:val="20"/>
          <w:color w:val="auto"/>
        </w:rPr>
      </w:pPr>
    </w:p>
    <w:p>
      <w:pPr>
        <w:jc w:val="right"/>
        <w:ind w:right="40"/>
        <w:spacing w:after="0"/>
        <w:rPr>
          <w:sz w:val="20"/>
          <w:szCs w:val="20"/>
          <w:color w:val="auto"/>
        </w:rPr>
      </w:pPr>
      <w:r>
        <w:rPr>
          <w:rFonts w:ascii="Arial" w:cs="Arial" w:eastAsia="Arial" w:hAnsi="Arial"/>
          <w:sz w:val="15"/>
          <w:szCs w:val="15"/>
          <w:color w:val="auto"/>
        </w:rPr>
        <w:t>The statements in the Time of Sale Information and the Prospectus under the captions “Business — Government Contracts”, “Business — Government Regulation</w:t>
      </w:r>
    </w:p>
    <w:p>
      <w:pPr>
        <w:spacing w:after="0" w:line="4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Safety Act”, “Business — Government Regulation — Public Readiness and Emergency Preparedness Act”, insofar as such statements constitute matters of law or legal conclusions or summarize the terms of agreements, fairly summarize the matters described therein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363220</wp:posOffset>
            </wp:positionV>
            <wp:extent cx="7254875"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7"/>
          <w:szCs w:val="17"/>
          <w:color w:val="auto"/>
        </w:rPr>
        <w:t>Exhibit 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LOCK-UP AGREEMENT</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6311900</wp:posOffset>
            </wp:positionH>
            <wp:positionV relativeFrom="paragraph">
              <wp:posOffset>-7620</wp:posOffset>
            </wp:positionV>
            <wp:extent cx="66484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Cowen &amp; Co., LLC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HSBC Securities (USA)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As Representatives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several Underwriters listed in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Schedule I to the Underwriting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Agreement referred to below</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 J.P. Morgan Securities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277 Park Avenue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10172</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  Emergent BioSolutions Inc. -— Public Offering</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160" w:firstLine="259"/>
        <w:spacing w:after="0" w:line="265" w:lineRule="auto"/>
        <w:rPr>
          <w:sz w:val="20"/>
          <w:szCs w:val="20"/>
          <w:color w:val="auto"/>
        </w:rPr>
      </w:pPr>
      <w:r>
        <w:rPr>
          <w:rFonts w:ascii="Arial" w:cs="Arial" w:eastAsia="Arial" w:hAnsi="Arial"/>
          <w:sz w:val="17"/>
          <w:szCs w:val="17"/>
          <w:color w:val="auto"/>
        </w:rPr>
        <w:t>The undersigned understands that you, as Representatives of the several Underwriters, propose to enter into an Underwriting Agreement (the “Underwriting Agreement”) with Emergent BioSolutions Inc., a Delaware corporation (the “Company”), providing for the public offering (the “Public Offering”) by the several Underwriters named in Schedule I to the Underwriting Agreement (the “Underwriters”), of shares (the “Securities”) of the common stock, par value $0.01 per share, of the Company (the “Common Stock”). Capitalized terms used herein and not otherwise defined shall have the meanings set forth in the Underwriting Agreement.</w:t>
      </w:r>
    </w:p>
    <w:p>
      <w:pPr>
        <w:spacing w:after="0" w:line="73" w:lineRule="exact"/>
        <w:rPr>
          <w:sz w:val="20"/>
          <w:szCs w:val="20"/>
          <w:color w:val="auto"/>
        </w:rPr>
      </w:pPr>
    </w:p>
    <w:p>
      <w:pPr>
        <w:ind w:firstLine="262"/>
        <w:spacing w:after="0" w:line="262" w:lineRule="auto"/>
        <w:rPr>
          <w:sz w:val="20"/>
          <w:szCs w:val="20"/>
          <w:color w:val="auto"/>
        </w:rPr>
      </w:pPr>
      <w:r>
        <w:rPr>
          <w:rFonts w:ascii="Arial" w:cs="Arial" w:eastAsia="Arial" w:hAnsi="Arial"/>
          <w:sz w:val="17"/>
          <w:szCs w:val="17"/>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Inc. on behalf of the Underwriters, the undersigned will not, during the period ending 180 days after the date of the prospectus relating to the Public Offering (the “Prospectus”), (1)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which may be deemed to be beneficially owned by the undersigned in accordance with the rules and regulations of the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370840</wp:posOffset>
            </wp:positionV>
            <wp:extent cx="7254875"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92" w:name="page293"/>
    <w:bookmarkEnd w:id="292"/>
    <w:p>
      <w:pPr>
        <w:spacing w:after="0" w:line="297" w:lineRule="auto"/>
        <w:rPr>
          <w:sz w:val="20"/>
          <w:szCs w:val="20"/>
          <w:color w:val="auto"/>
        </w:rPr>
      </w:pPr>
      <w:r>
        <w:rPr>
          <w:rFonts w:ascii="Arial" w:cs="Arial" w:eastAsia="Arial" w:hAnsi="Arial"/>
          <w:sz w:val="15"/>
          <w:szCs w:val="15"/>
          <w:color w:val="auto"/>
        </w:rPr>
        <w:t>Exchange Commission and securities which may be issued upon exercise of a stock option or warrant) or (2) enter into any swap or other agreement that transfers, in whole or in part, any of the economic consequences of ownership of the Common Stock, whether any such transaction described in clause (1) or (2) above is to be settled by delivery of Common Stock or such other securities, in cash or otherwise. In addition, the undersigned agrees that, without the prior written consent of J.P. Morgan Securities Inc. on behalf of the Underwriters, it will not, during the period ending 180 days after the date of the Prospectus, make any demand for or exercise any right with respect to, the registration of any shares of Common Stock or any security convertible into or exercisable or exchangeable for Common Stock. Notwithstanding the foregoing, if (1) during the last 17 days of the 180-day restricted period, the Company issues an earnings release or material news or a material event relating to the Company occurs; or (2) prior to the expiration of the 180-day restricted period, the Company announces that it will release earnings results during the 16-day period beginning on the last day of the 180-day period, the restrictions imposed by this Letter Agreement shall continue to apply until the expiration of the 18-day period beginning on the issuance of the earnings release or the occurrence of the material news or material event. The undersigned hereby further agrees that, prior to engaging in any transaction or taking any other action that is subject to the terms of this Letter Agreement during the period from the date of this Letter Agreement to and including the 34</w:t>
      </w:r>
      <w:r>
        <w:rPr>
          <w:rFonts w:ascii="Arial" w:cs="Arial" w:eastAsia="Arial" w:hAnsi="Arial"/>
          <w:sz w:val="12"/>
          <w:szCs w:val="12"/>
          <w:color w:val="auto"/>
        </w:rPr>
        <w:t>th</w:t>
      </w:r>
      <w:r>
        <w:rPr>
          <w:rFonts w:ascii="Arial" w:cs="Arial" w:eastAsia="Arial" w:hAnsi="Arial"/>
          <w:sz w:val="15"/>
          <w:szCs w:val="15"/>
          <w:color w:val="auto"/>
        </w:rPr>
        <w:t xml:space="preserve"> day following the expiration of the initial 180-day restricted period, it will give notice thereof to the Company and will not consummate such transaction or take any such action unless it has received written confirmation from the Company or J.P. Morgan Securities Inc. that the 180-day restricted period (as such may have been extended pursuant to this paragraph) has expired.</w:t>
      </w:r>
    </w:p>
    <w:p>
      <w:pPr>
        <w:spacing w:after="0" w:line="54" w:lineRule="exact"/>
        <w:rPr>
          <w:sz w:val="20"/>
          <w:szCs w:val="20"/>
          <w:color w:val="auto"/>
        </w:rPr>
      </w:pPr>
    </w:p>
    <w:p>
      <w:pPr>
        <w:ind w:firstLine="259"/>
        <w:spacing w:after="0" w:line="277" w:lineRule="auto"/>
        <w:rPr>
          <w:sz w:val="20"/>
          <w:szCs w:val="20"/>
          <w:color w:val="auto"/>
        </w:rPr>
      </w:pPr>
      <w:r>
        <w:rPr>
          <w:rFonts w:ascii="Arial" w:cs="Arial" w:eastAsia="Arial" w:hAnsi="Arial"/>
          <w:sz w:val="16"/>
          <w:szCs w:val="16"/>
          <w:color w:val="auto"/>
        </w:rPr>
        <w:t xml:space="preserve">The restrictions imposed by this Letter Agreement shall not apply to the transfer or disposition of shares of Common Stock or any securities convertible into or exercisable or exchangeable for Common Stock (1) as a bona fide gift, (2) to any trust for the direct or indirect benefit of the undersigned or the immediate family of the undersigned in a transaction not involving a disposition for value, (3) to any corporation, partnership, limited liability company or other entity all of the beneficial ownership interests of which are held by the undersigned or the immediate family of the undersigned in a transaction not involving a disposition for value, (4) by will, other testamentary document or intestate succession to the legal representative, heir, beneficiary or a member of the immediate family of the undersigned, (5) as a distribution to partners, members or stockholders of the undersigned in a transaction not involving a disposition for value or (6) to any affiliate of the undersigned or any investment fund or other entity controlled or managed by the undersigned in a transaction not involving a disposition for value;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each case, the transferee, distributee or donee agrees in writing to be bound by the terms of this Letter Agreement to the same extent as if a party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hereto;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 of (3), (5) and (6) above, no filing pursuant to Section 16(a) of the Securities Exchange Act of 1934, as amended (the “Exchange Act”), reporting a reduction in the beneficial ownership of Common Stock shall be required or shall be voluntarily made in connection with such transfer (other than a filing on a Form 5 made after the expiration of the 180-day restricted period or any extension thereof pursuant to this Letter Agreement). In addition, the restrictions imposed by this Letter Agreement shall not apply to the sale of Securities by the undersigned pursuant to the Underwriting Agreement. Furthermore, notwithstanding the restrictions imposed by this Letter Agreement, the undersigned may, without the prior written consent of J.P. Morgan Securities Inc., (1) exercise an option to purchase shares of Common Stock granted under any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293" w:name="page294"/>
    <w:bookmarkEnd w:id="293"/>
    <w:p>
      <w:pPr>
        <w:ind w:right="160"/>
        <w:spacing w:after="0" w:line="314" w:lineRule="auto"/>
        <w:rPr>
          <w:sz w:val="20"/>
          <w:szCs w:val="20"/>
          <w:color w:val="auto"/>
        </w:rPr>
      </w:pPr>
      <w:r>
        <w:rPr>
          <w:rFonts w:ascii="Arial" w:cs="Arial" w:eastAsia="Arial" w:hAnsi="Arial"/>
          <w:sz w:val="15"/>
          <w:szCs w:val="15"/>
          <w:color w:val="auto"/>
        </w:rPr>
        <w:t>stock incentive plan or stock purchase plan of the Company, (2) establish a trading plan pursuant to Rule 10b5-1 under the Exchange Act for the transfer of Common Stock, provided that such plan does not provide for any transfers of Common Stock during the 180-day restricted period or any extension thereof pursuant to this Letter Agreement, and (3) transfer shares of Common Stock acquired in the Public Offering or on the open market following the Public Offering. For purposes of this Letter Agreement, “immediate family” shall mean any relationship by blood, marriage or adoption, not more remote than first cousin.</w:t>
      </w:r>
    </w:p>
    <w:p>
      <w:pPr>
        <w:spacing w:after="0" w:line="40" w:lineRule="exact"/>
        <w:rPr>
          <w:sz w:val="20"/>
          <w:szCs w:val="20"/>
          <w:color w:val="auto"/>
        </w:rPr>
      </w:pPr>
    </w:p>
    <w:p>
      <w:pPr>
        <w:ind w:firstLine="262"/>
        <w:spacing w:after="0" w:line="32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30" w:lineRule="exact"/>
        <w:rPr>
          <w:sz w:val="20"/>
          <w:szCs w:val="20"/>
          <w:color w:val="auto"/>
        </w:rPr>
      </w:pPr>
    </w:p>
    <w:p>
      <w:pPr>
        <w:ind w:right="220" w:firstLine="259"/>
        <w:spacing w:after="0" w:line="273"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66" w:lineRule="exact"/>
        <w:rPr>
          <w:sz w:val="20"/>
          <w:szCs w:val="20"/>
          <w:color w:val="auto"/>
        </w:rPr>
      </w:pPr>
    </w:p>
    <w:p>
      <w:pPr>
        <w:ind w:right="120" w:firstLine="262"/>
        <w:spacing w:after="0" w:line="285" w:lineRule="auto"/>
        <w:rPr>
          <w:sz w:val="20"/>
          <w:szCs w:val="20"/>
          <w:color w:val="auto"/>
        </w:rPr>
      </w:pPr>
      <w:r>
        <w:rPr>
          <w:rFonts w:ascii="Arial" w:cs="Arial" w:eastAsia="Arial" w:hAnsi="Arial"/>
          <w:sz w:val="16"/>
          <w:szCs w:val="16"/>
          <w:color w:val="auto"/>
        </w:rPr>
        <w:t>If either J.P. Morgan Securities Inc., on the one hand, or the Company, on the other hand, informs the other, prior to the execution of the Underwriting Agreement, that it has determined not to proceed with the Public Offering, if the Public Offering is not completed by February 28, 2007, or if the Underwriting Agreement (other than the provisions thereof which survive termination) shall terminate or be terminated prior to payment for and delivery of the Common Stock to be sold thereunder, this Letter Agreement shall terminate automatically and be of no further force or effect. The undersigned understands that the Underwriters are entering into the Underwriting Agreement and proceeding with the Public Offering in reliance upon this Letter Agreement.</w:t>
      </w:r>
    </w:p>
    <w:p>
      <w:pPr>
        <w:spacing w:after="0" w:line="60" w:lineRule="exact"/>
        <w:rPr>
          <w:sz w:val="20"/>
          <w:szCs w:val="20"/>
          <w:color w:val="auto"/>
        </w:rPr>
      </w:pPr>
    </w:p>
    <w:p>
      <w:pPr>
        <w:ind w:right="620" w:firstLine="259"/>
        <w:spacing w:after="0" w:line="289" w:lineRule="auto"/>
        <w:rPr>
          <w:sz w:val="20"/>
          <w:szCs w:val="20"/>
          <w:color w:val="auto"/>
        </w:rPr>
      </w:pPr>
      <w:r>
        <w:rPr>
          <w:rFonts w:ascii="Arial" w:cs="Arial" w:eastAsia="Arial" w:hAnsi="Arial"/>
          <w:sz w:val="17"/>
          <w:szCs w:val="17"/>
          <w:color w:val="auto"/>
        </w:rPr>
        <w:t>This Letter Agreement shall be governed by and construed in accordance with the laws of the State of New York, without regard to the conflict of laws principles thereof.</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Very truly yours,</w:t>
      </w:r>
    </w:p>
    <w:p>
      <w:pPr>
        <w:spacing w:after="0" w:line="218"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[NAME OF STOCKHOLDER]</w:t>
      </w:r>
    </w:p>
    <w:p>
      <w:pPr>
        <w:spacing w:after="0" w:line="230"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16510</wp:posOffset>
            </wp:positionV>
            <wp:extent cx="278574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Title: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13"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7"/>
          <w:szCs w:val="17"/>
          <w:color w:val="auto"/>
        </w:rPr>
        <w:t>Exhibit 3.1</w:t>
      </w: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AMENDED AND RESTATED</w:t>
      </w:r>
    </w:p>
    <w:p>
      <w:pPr>
        <w:spacing w:after="0" w:line="119"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CERTIFICATE OF INCORPORATION</w:t>
      </w:r>
    </w:p>
    <w:p>
      <w:pPr>
        <w:spacing w:after="0" w:line="119"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OF</w:t>
      </w:r>
    </w:p>
    <w:p>
      <w:pPr>
        <w:spacing w:after="0" w:line="119"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EMERGENT BIOSOLUTIONS INC.</w:t>
      </w:r>
    </w:p>
    <w:p>
      <w:pPr>
        <w:spacing w:after="0" w:line="125"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 * * * * *</w:t>
      </w:r>
    </w:p>
    <w:p>
      <w:pPr>
        <w:spacing w:after="0" w:line="2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(Incorporated December 19, 2003)</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 the undersigned, sole incorporator of Emergent BioSolutions Inc. (the “</w:t>
      </w:r>
      <w:r>
        <w:rPr>
          <w:rFonts w:ascii="Arial" w:cs="Arial" w:eastAsia="Arial" w:hAnsi="Arial"/>
          <w:sz w:val="17"/>
          <w:szCs w:val="17"/>
          <w:i w:val="1"/>
          <w:iCs w:val="1"/>
          <w:color w:val="auto"/>
        </w:rPr>
        <w:t>Corporation</w:t>
      </w:r>
      <w:r>
        <w:rPr>
          <w:rFonts w:ascii="Arial" w:cs="Arial" w:eastAsia="Arial" w:hAnsi="Arial"/>
          <w:sz w:val="17"/>
          <w:szCs w:val="17"/>
          <w:color w:val="auto"/>
        </w:rPr>
        <w:t>”), hereby certify:</w:t>
      </w:r>
    </w:p>
    <w:p>
      <w:pPr>
        <w:spacing w:after="0" w:line="119" w:lineRule="exact"/>
        <w:rPr>
          <w:sz w:val="20"/>
          <w:szCs w:val="20"/>
          <w:color w:val="auto"/>
        </w:rPr>
      </w:pPr>
    </w:p>
    <w:p>
      <w:pPr>
        <w:ind w:left="400" w:hanging="177"/>
        <w:spacing w:after="0"/>
        <w:tabs>
          <w:tab w:leader="none" w:pos="4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That the current name of the Corporation and the name under which the Corporation was originally incorporated is Emergent BioSolutions Inc.</w:t>
      </w:r>
    </w:p>
    <w:p>
      <w:pPr>
        <w:spacing w:after="0" w:line="118" w:lineRule="exact"/>
        <w:rPr>
          <w:rFonts w:ascii="Arial" w:cs="Arial" w:eastAsia="Arial" w:hAnsi="Arial"/>
          <w:sz w:val="17"/>
          <w:szCs w:val="17"/>
          <w:color w:val="auto"/>
        </w:rPr>
      </w:pPr>
    </w:p>
    <w:p>
      <w:pPr>
        <w:ind w:right="380" w:firstLine="223"/>
        <w:spacing w:after="0" w:line="289" w:lineRule="auto"/>
        <w:tabs>
          <w:tab w:leader="none" w:pos="38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That the original Certificate of Incorporation of the Corporation (the “</w:t>
      </w:r>
      <w:r>
        <w:rPr>
          <w:rFonts w:ascii="Arial" w:cs="Arial" w:eastAsia="Arial" w:hAnsi="Arial"/>
          <w:sz w:val="17"/>
          <w:szCs w:val="17"/>
          <w:i w:val="1"/>
          <w:iCs w:val="1"/>
          <w:color w:val="auto"/>
        </w:rPr>
        <w:t>Original Certificate of Incorporation</w:t>
      </w:r>
      <w:r>
        <w:rPr>
          <w:rFonts w:ascii="Arial" w:cs="Arial" w:eastAsia="Arial" w:hAnsi="Arial"/>
          <w:sz w:val="17"/>
          <w:szCs w:val="17"/>
          <w:color w:val="auto"/>
        </w:rPr>
        <w:t>”) was filed with the Secretary of State of the State of Delaware on December 19, 2003.</w:t>
      </w:r>
    </w:p>
    <w:p>
      <w:pPr>
        <w:spacing w:after="0" w:line="53" w:lineRule="exact"/>
        <w:rPr>
          <w:rFonts w:ascii="Arial" w:cs="Arial" w:eastAsia="Arial" w:hAnsi="Arial"/>
          <w:sz w:val="17"/>
          <w:szCs w:val="17"/>
          <w:color w:val="auto"/>
        </w:rPr>
      </w:pPr>
    </w:p>
    <w:p>
      <w:pPr>
        <w:ind w:firstLine="223"/>
        <w:spacing w:after="0" w:line="289" w:lineRule="auto"/>
        <w:tabs>
          <w:tab w:leader="none" w:pos="38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That the Original Certificate of Incorporation of the Corporation is hereby amended and restated and integrated into the single instrument which is hereinafter set forth, and which is captioned the Amended and Restated Certificate of Incorporation of Emergent BioSolutions Inc.</w:t>
      </w:r>
    </w:p>
    <w:p>
      <w:pPr>
        <w:spacing w:after="0" w:line="53" w:lineRule="exact"/>
        <w:rPr>
          <w:rFonts w:ascii="Arial" w:cs="Arial" w:eastAsia="Arial" w:hAnsi="Arial"/>
          <w:sz w:val="17"/>
          <w:szCs w:val="17"/>
          <w:color w:val="auto"/>
        </w:rPr>
      </w:pPr>
    </w:p>
    <w:p>
      <w:pPr>
        <w:ind w:right="220" w:firstLine="223"/>
        <w:spacing w:after="0" w:line="273" w:lineRule="auto"/>
        <w:tabs>
          <w:tab w:leader="none" w:pos="38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That the Corporation has not received any payment for any of its stock and that the amendment and restatement set forth herein has been duly approved by the sole incorporator of the Corporation in accordance with Section 241 of the General Corporation Law of the State of Delaware and has been duly adopted in accordance with Sections 241 and 245 of the General Corporation Law of the State of Delaware.</w:t>
      </w:r>
    </w:p>
    <w:p>
      <w:pPr>
        <w:spacing w:after="0" w:line="66" w:lineRule="exact"/>
        <w:rPr>
          <w:rFonts w:ascii="Arial" w:cs="Arial" w:eastAsia="Arial" w:hAnsi="Arial"/>
          <w:sz w:val="17"/>
          <w:szCs w:val="17"/>
          <w:color w:val="auto"/>
        </w:rPr>
      </w:pPr>
    </w:p>
    <w:p>
      <w:pPr>
        <w:ind w:left="400" w:hanging="177"/>
        <w:spacing w:after="0"/>
        <w:tabs>
          <w:tab w:leader="none" w:pos="4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That the sole incorporator of the Corporation executed a written consent wherein, it was:</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Certificate of Incorporation of the Corporation be amended and restated in its entirety as follows:</w:t>
      </w:r>
    </w:p>
    <w:p>
      <w:pPr>
        <w:spacing w:after="0" w:line="125" w:lineRule="exact"/>
        <w:rPr>
          <w:sz w:val="20"/>
          <w:szCs w:val="20"/>
          <w:color w:val="auto"/>
        </w:rPr>
      </w:pPr>
    </w:p>
    <w:p>
      <w:pPr>
        <w:ind w:left="400" w:hanging="177"/>
        <w:spacing w:after="0"/>
        <w:tabs>
          <w:tab w:leader="none" w:pos="400"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Name</w:t>
      </w:r>
      <w:r>
        <w:rPr>
          <w:rFonts w:ascii="Arial" w:cs="Arial" w:eastAsia="Arial" w:hAnsi="Arial"/>
          <w:sz w:val="17"/>
          <w:szCs w:val="17"/>
          <w:color w:val="auto"/>
        </w:rPr>
        <w:t>. The name of the corporation (the “Corporation”) is: Emergent BioSolutions Inc.</w:t>
      </w:r>
    </w:p>
    <w:p>
      <w:pPr>
        <w:spacing w:after="0" w:line="118" w:lineRule="exact"/>
        <w:rPr>
          <w:rFonts w:ascii="Arial" w:cs="Arial" w:eastAsia="Arial" w:hAnsi="Arial"/>
          <w:sz w:val="17"/>
          <w:szCs w:val="17"/>
          <w:color w:val="auto"/>
        </w:rPr>
      </w:pPr>
    </w:p>
    <w:p>
      <w:pPr>
        <w:ind w:right="300" w:firstLine="223"/>
        <w:spacing w:after="0" w:line="289" w:lineRule="auto"/>
        <w:tabs>
          <w:tab w:leader="none" w:pos="393"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Registered Office</w:t>
      </w:r>
      <w:r>
        <w:rPr>
          <w:rFonts w:ascii="Arial" w:cs="Arial" w:eastAsia="Arial" w:hAnsi="Arial"/>
          <w:sz w:val="17"/>
          <w:szCs w:val="17"/>
          <w:color w:val="auto"/>
        </w:rPr>
        <w:t>. The address of its registered office in the State of Delaware is 2711 Centerville Road, Suite 400, City of Wilmington 19808, County of New Castle;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355600</wp:posOffset>
            </wp:positionV>
            <wp:extent cx="725487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95" w:name="page296"/>
    <w:bookmarkEnd w:id="295"/>
    <w:p>
      <w:pPr>
        <w:spacing w:after="0"/>
        <w:rPr>
          <w:sz w:val="20"/>
          <w:szCs w:val="20"/>
          <w:color w:val="auto"/>
        </w:rPr>
      </w:pPr>
      <w:r>
        <w:rPr>
          <w:rFonts w:ascii="Arial" w:cs="Arial" w:eastAsia="Arial" w:hAnsi="Arial"/>
          <w:sz w:val="17"/>
          <w:szCs w:val="17"/>
          <w:color w:val="auto"/>
        </w:rPr>
        <w:t>name of the registered agent of the Corporation in the State of Delaware at such address is Corporation Service Company.</w:t>
      </w:r>
    </w:p>
    <w:p>
      <w:pPr>
        <w:spacing w:after="0" w:line="119" w:lineRule="exact"/>
        <w:rPr>
          <w:sz w:val="20"/>
          <w:szCs w:val="20"/>
          <w:color w:val="auto"/>
        </w:rPr>
      </w:pPr>
    </w:p>
    <w:p>
      <w:pPr>
        <w:ind w:right="560" w:firstLine="223"/>
        <w:spacing w:after="0" w:line="289" w:lineRule="auto"/>
        <w:tabs>
          <w:tab w:leader="none" w:pos="393"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nature of the business or purposes to be conducted or promoted is to engage in any lawful act or activity for which corporations may be organized under the General Corporation Law of the State of Delaware.</w:t>
      </w:r>
    </w:p>
    <w:p>
      <w:pPr>
        <w:spacing w:after="0" w:line="53" w:lineRule="exact"/>
        <w:rPr>
          <w:rFonts w:ascii="Arial" w:cs="Arial" w:eastAsia="Arial" w:hAnsi="Arial"/>
          <w:sz w:val="17"/>
          <w:szCs w:val="17"/>
          <w:color w:val="auto"/>
        </w:rPr>
      </w:pPr>
    </w:p>
    <w:p>
      <w:pPr>
        <w:ind w:left="400" w:hanging="177"/>
        <w:spacing w:after="0"/>
        <w:tabs>
          <w:tab w:leader="none" w:pos="400"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Capital Stock</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jc w:val="both"/>
        <w:ind w:right="80" w:firstLine="441"/>
        <w:spacing w:after="0" w:line="289" w:lineRule="auto"/>
        <w:tabs>
          <w:tab w:leader="none" w:pos="601"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Total Number of Shares of Stock</w:t>
      </w:r>
      <w:r>
        <w:rPr>
          <w:rFonts w:ascii="Arial" w:cs="Arial" w:eastAsia="Arial" w:hAnsi="Arial"/>
          <w:sz w:val="16"/>
          <w:szCs w:val="16"/>
          <w:color w:val="auto"/>
        </w:rPr>
        <w:t>. The total number of shares of capital stock of all classes that the Corporation shall have the authority to issue is Fifteen Million (15,000,000) shares. The authorized capital stock is divided into (i) Three Million (3,000,000) shares of preferred stock, with par value of $0.01 per share (the “Preferred Stock”); (ii) Ten Million (10,000,000) shares of class A voting common stock (the “Class A Common Stock”), with par value of $0.01 per share; and (iii) Two Million (2,000,000) shares of class B non-voting common stock (the “Class B Common Stock”), with par value of $0.01 per share.</w:t>
      </w:r>
    </w:p>
    <w:p>
      <w:pPr>
        <w:spacing w:after="0" w:line="56" w:lineRule="exact"/>
        <w:rPr>
          <w:rFonts w:ascii="Arial" w:cs="Arial" w:eastAsia="Arial" w:hAnsi="Arial"/>
          <w:sz w:val="16"/>
          <w:szCs w:val="16"/>
          <w:color w:val="auto"/>
        </w:rPr>
      </w:pPr>
    </w:p>
    <w:p>
      <w:pPr>
        <w:jc w:val="both"/>
        <w:ind w:right="20" w:firstLine="441"/>
        <w:spacing w:after="0" w:line="267" w:lineRule="auto"/>
        <w:tabs>
          <w:tab w:leader="none" w:pos="611"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of the Corporation is authorized, subject to limitations prescribed by law and the provisions of this Article 4, to provide for the issuance of the shares of Preferred Stock in series, and by filing a certificate pursuant to the applicable law of the State of Delaware, to establish from time to time the number of shares to be included in each such series, and to fix the voting rights, designations, powers, preferences and rights of the shares of each such series and the qualifications, limitations or restrictions thereof.</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authority of the board of directors with respect to each series shall include, but not be limited to, determination of the following:</w:t>
      </w:r>
    </w:p>
    <w:p>
      <w:pPr>
        <w:spacing w:after="0" w:line="119" w:lineRule="exact"/>
        <w:rPr>
          <w:sz w:val="20"/>
          <w:szCs w:val="20"/>
          <w:color w:val="auto"/>
        </w:rPr>
      </w:pPr>
    </w:p>
    <w:p>
      <w:pPr>
        <w:ind w:left="1140" w:hanging="454"/>
        <w:spacing w:after="0"/>
        <w:tabs>
          <w:tab w:leader="none" w:pos="11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number of shares constituting that series and the distinctive designation of that series;</w:t>
      </w:r>
    </w:p>
    <w:p>
      <w:pPr>
        <w:spacing w:after="0" w:line="131" w:lineRule="exact"/>
        <w:rPr>
          <w:rFonts w:ascii="Arial" w:cs="Arial" w:eastAsia="Arial" w:hAnsi="Arial"/>
          <w:sz w:val="17"/>
          <w:szCs w:val="17"/>
          <w:color w:val="auto"/>
        </w:rPr>
      </w:pPr>
    </w:p>
    <w:p>
      <w:pPr>
        <w:ind w:left="1140" w:hanging="454"/>
        <w:spacing w:after="0" w:line="289" w:lineRule="auto"/>
        <w:tabs>
          <w:tab w:leader="none" w:pos="11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dividend rate on the shares of that series, whether dividends shall be cumulative, and, if so, from which date or dates, and the relative rights of priority, if any, of payment of dividends on shares of that series;</w:t>
      </w:r>
    </w:p>
    <w:p>
      <w:pPr>
        <w:spacing w:after="0" w:line="66" w:lineRule="exact"/>
        <w:rPr>
          <w:rFonts w:ascii="Arial" w:cs="Arial" w:eastAsia="Arial" w:hAnsi="Arial"/>
          <w:sz w:val="17"/>
          <w:szCs w:val="17"/>
          <w:color w:val="auto"/>
        </w:rPr>
      </w:pPr>
    </w:p>
    <w:p>
      <w:pPr>
        <w:ind w:left="1140" w:hanging="454"/>
        <w:spacing w:after="0"/>
        <w:tabs>
          <w:tab w:leader="none" w:pos="11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Whether that series shall have voting rights, in addition to the voting rights provided by law, and, if so, the terms of such voting rights;</w:t>
      </w:r>
    </w:p>
    <w:p>
      <w:pPr>
        <w:spacing w:after="0" w:line="131" w:lineRule="exact"/>
        <w:rPr>
          <w:rFonts w:ascii="Arial" w:cs="Arial" w:eastAsia="Arial" w:hAnsi="Arial"/>
          <w:sz w:val="17"/>
          <w:szCs w:val="17"/>
          <w:color w:val="auto"/>
        </w:rPr>
      </w:pPr>
    </w:p>
    <w:p>
      <w:pPr>
        <w:ind w:left="1140" w:right="20" w:hanging="454"/>
        <w:spacing w:after="0" w:line="289" w:lineRule="auto"/>
        <w:tabs>
          <w:tab w:leader="none" w:pos="11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66" w:lineRule="exact"/>
        <w:rPr>
          <w:rFonts w:ascii="Arial" w:cs="Arial" w:eastAsia="Arial" w:hAnsi="Arial"/>
          <w:sz w:val="17"/>
          <w:szCs w:val="17"/>
          <w:color w:val="auto"/>
        </w:rPr>
      </w:pPr>
    </w:p>
    <w:p>
      <w:pPr>
        <w:ind w:left="1140" w:right="240" w:hanging="454"/>
        <w:spacing w:after="0" w:line="289" w:lineRule="auto"/>
        <w:tabs>
          <w:tab w:leader="none" w:pos="11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Whether or not the shares of that series shall be redeemable, and, if so, the terms and conditions of such redemption, including the date or dates upon or after which they shall be redeemable, and the amount per share</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296" w:name="page297"/>
    <w:bookmarkEnd w:id="296"/>
    <w:p>
      <w:pPr>
        <w:ind w:left="1100"/>
        <w:spacing w:after="0"/>
        <w:rPr>
          <w:sz w:val="20"/>
          <w:szCs w:val="20"/>
          <w:color w:val="auto"/>
        </w:rPr>
      </w:pPr>
      <w:r>
        <w:rPr>
          <w:rFonts w:ascii="Arial" w:cs="Arial" w:eastAsia="Arial" w:hAnsi="Arial"/>
          <w:sz w:val="17"/>
          <w:szCs w:val="17"/>
          <w:color w:val="auto"/>
        </w:rPr>
        <w:t>payable in case of redemption, which amount may vary under different conditions and at different redemption dates;</w:t>
      </w:r>
    </w:p>
    <w:p>
      <w:pPr>
        <w:spacing w:after="0" w:line="119" w:lineRule="exact"/>
        <w:rPr>
          <w:sz w:val="20"/>
          <w:szCs w:val="20"/>
          <w:color w:val="auto"/>
        </w:rPr>
      </w:pPr>
    </w:p>
    <w:p>
      <w:pPr>
        <w:ind w:left="1100" w:right="420" w:hanging="454"/>
        <w:spacing w:after="0" w:line="289" w:lineRule="auto"/>
        <w:tabs>
          <w:tab w:leader="none" w:pos="11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Whether that series shall have a sinking fund for the redemption or purchase of shares of that series, and, if so, the terms and amount of such sinking fund;</w:t>
      </w:r>
    </w:p>
    <w:p>
      <w:pPr>
        <w:spacing w:after="0" w:line="66" w:lineRule="exact"/>
        <w:rPr>
          <w:rFonts w:ascii="Arial" w:cs="Arial" w:eastAsia="Arial" w:hAnsi="Arial"/>
          <w:sz w:val="17"/>
          <w:szCs w:val="17"/>
          <w:color w:val="auto"/>
        </w:rPr>
      </w:pPr>
    </w:p>
    <w:p>
      <w:pPr>
        <w:ind w:left="1100" w:right="300" w:hanging="454"/>
        <w:spacing w:after="0" w:line="289" w:lineRule="auto"/>
        <w:tabs>
          <w:tab w:leader="none" w:pos="11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66" w:lineRule="exact"/>
        <w:rPr>
          <w:rFonts w:ascii="Arial" w:cs="Arial" w:eastAsia="Arial" w:hAnsi="Arial"/>
          <w:sz w:val="17"/>
          <w:szCs w:val="17"/>
          <w:color w:val="auto"/>
        </w:rPr>
      </w:pPr>
    </w:p>
    <w:p>
      <w:pPr>
        <w:ind w:left="1100" w:hanging="454"/>
        <w:spacing w:after="0"/>
        <w:tabs>
          <w:tab w:leader="none" w:pos="1100"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Any other relative rights, preferences and limitations of that series.</w:t>
      </w:r>
    </w:p>
    <w:p>
      <w:pPr>
        <w:spacing w:after="0" w:line="118" w:lineRule="exact"/>
        <w:rPr>
          <w:rFonts w:ascii="Arial" w:cs="Arial" w:eastAsia="Arial" w:hAnsi="Arial"/>
          <w:sz w:val="17"/>
          <w:szCs w:val="17"/>
          <w:color w:val="auto"/>
        </w:rPr>
      </w:pPr>
    </w:p>
    <w:p>
      <w:pPr>
        <w:ind w:left="-40" w:right="100" w:firstLine="441"/>
        <w:spacing w:after="0" w:line="273" w:lineRule="auto"/>
        <w:tabs>
          <w:tab w:leader="none" w:pos="561"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Class A Common Stock</w:t>
      </w:r>
      <w:r>
        <w:rPr>
          <w:rFonts w:ascii="Arial" w:cs="Arial" w:eastAsia="Arial" w:hAnsi="Arial"/>
          <w:sz w:val="17"/>
          <w:szCs w:val="17"/>
          <w:color w:val="auto"/>
        </w:rPr>
        <w:t>. Each holder of Class A Common Stock shall be entitled to one (1) vote for each share of Class A Common Stock held of record by such holder on all matters, and in such manner, as may be provided by law. Each holder of Class A Common Stock shall be entitled to notice of any stockholders’ meeting in accordance with the by-laws of the Corporation.</w:t>
      </w:r>
    </w:p>
    <w:p>
      <w:pPr>
        <w:spacing w:after="0" w:line="66" w:lineRule="exact"/>
        <w:rPr>
          <w:rFonts w:ascii="Arial" w:cs="Arial" w:eastAsia="Arial" w:hAnsi="Arial"/>
          <w:sz w:val="17"/>
          <w:szCs w:val="17"/>
          <w:color w:val="auto"/>
        </w:rPr>
      </w:pPr>
    </w:p>
    <w:p>
      <w:pPr>
        <w:ind w:left="-40" w:right="60" w:firstLine="441"/>
        <w:spacing w:after="0" w:line="273" w:lineRule="auto"/>
        <w:tabs>
          <w:tab w:leader="none" w:pos="571"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Class B Common Stock</w:t>
      </w:r>
      <w:r>
        <w:rPr>
          <w:rFonts w:ascii="Arial" w:cs="Arial" w:eastAsia="Arial" w:hAnsi="Arial"/>
          <w:sz w:val="17"/>
          <w:szCs w:val="17"/>
          <w:color w:val="auto"/>
        </w:rPr>
        <w:t>. No holder of shares of Class B Common Stock shall be entitled to vote any of the shares of Class B Common Stock so held, nor shall such holders be entitled to notice of any meeting of the Corporation’s stockholders convened in accordance with the Corporation’s bylaws, except as otherwise required by law.</w:t>
      </w:r>
    </w:p>
    <w:p>
      <w:pPr>
        <w:spacing w:after="0" w:line="66" w:lineRule="exact"/>
        <w:rPr>
          <w:rFonts w:ascii="Arial" w:cs="Arial" w:eastAsia="Arial" w:hAnsi="Arial"/>
          <w:sz w:val="17"/>
          <w:szCs w:val="17"/>
          <w:color w:val="auto"/>
        </w:rPr>
      </w:pPr>
    </w:p>
    <w:p>
      <w:pPr>
        <w:ind w:left="560" w:hanging="159"/>
        <w:spacing w:after="0"/>
        <w:tabs>
          <w:tab w:leader="none" w:pos="560"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1100" w:right="400" w:hanging="454"/>
        <w:spacing w:after="0" w:line="325" w:lineRule="auto"/>
        <w:tabs>
          <w:tab w:leader="none" w:pos="1100" w:val="left"/>
        </w:tabs>
        <w:numPr>
          <w:ilvl w:val="1"/>
          <w:numId w:val="221"/>
        </w:numPr>
        <w:rPr>
          <w:rFonts w:ascii="Arial" w:cs="Arial" w:eastAsia="Arial" w:hAnsi="Arial"/>
          <w:sz w:val="15"/>
          <w:szCs w:val="15"/>
          <w:color w:val="auto"/>
        </w:rPr>
      </w:pPr>
      <w:r>
        <w:rPr>
          <w:rFonts w:ascii="Arial" w:cs="Arial" w:eastAsia="Arial" w:hAnsi="Arial"/>
          <w:sz w:val="15"/>
          <w:szCs w:val="15"/>
          <w:color w:val="auto"/>
        </w:rPr>
        <w:t>Class A Common Stock is not convertible. Each share of Class B Common Stock shall automatically convert into one (1) share of Class A Common Stock, without any action by the Corporation or further action by the holder thereof, immediately prior to the closing of the first underwritten sale of the Corporation’s securities pursuant to an effective registration statement under the Securities Act of 1933, as amended.</w:t>
      </w:r>
    </w:p>
    <w:p>
      <w:pPr>
        <w:spacing w:after="0" w:line="45" w:lineRule="exact"/>
        <w:rPr>
          <w:rFonts w:ascii="Arial" w:cs="Arial" w:eastAsia="Arial" w:hAnsi="Arial"/>
          <w:sz w:val="15"/>
          <w:szCs w:val="15"/>
          <w:color w:val="auto"/>
        </w:rPr>
      </w:pPr>
    </w:p>
    <w:p>
      <w:pPr>
        <w:ind w:left="1100" w:right="80" w:hanging="454"/>
        <w:spacing w:after="0" w:line="322" w:lineRule="auto"/>
        <w:tabs>
          <w:tab w:leader="none" w:pos="110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In the case of a conversion as a result of the occurrence of the event described in Section 4(e)(i) above, such conversion shall be deemed effective at the time immediately prior to the closing of the underwritten sale of securities pursuant to such registration statement.</w:t>
      </w:r>
    </w:p>
    <w:p>
      <w:pPr>
        <w:spacing w:after="0" w:line="43" w:lineRule="exact"/>
        <w:rPr>
          <w:rFonts w:ascii="Arial" w:cs="Arial" w:eastAsia="Arial" w:hAnsi="Arial"/>
          <w:sz w:val="16"/>
          <w:szCs w:val="16"/>
          <w:color w:val="auto"/>
        </w:rPr>
      </w:pPr>
    </w:p>
    <w:p>
      <w:pPr>
        <w:ind w:left="1100" w:hanging="454"/>
        <w:spacing w:after="0" w:line="273" w:lineRule="auto"/>
        <w:tabs>
          <w:tab w:leader="none" w:pos="110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Following a conversion pursuant to this Section 4(e), the Class B Common Stock shall be eliminated, and the Corporation shall from time to time take such appropriate action as may be necessary to prohibit the reissuance thereof in accordance with the General Corporation Law of the State of Delaware.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147320</wp:posOffset>
            </wp:positionV>
            <wp:extent cx="7254875"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80" w:top="913" w:right="279" w:bottom="1440" w:gutter="0" w:footer="0" w:header="0"/>
        </w:sectPr>
      </w:pPr>
    </w:p>
    <w:bookmarkStart w:id="297" w:name="page298"/>
    <w:bookmarkEnd w:id="297"/>
    <w:p>
      <w:pPr>
        <w:ind w:left="1140" w:right="500" w:hanging="454"/>
        <w:spacing w:after="0" w:line="289" w:lineRule="auto"/>
        <w:tabs>
          <w:tab w:leader="none" w:pos="1140" w:val="left"/>
        </w:tabs>
        <w:numPr>
          <w:ilvl w:val="2"/>
          <w:numId w:val="222"/>
        </w:numPr>
        <w:rPr>
          <w:rFonts w:ascii="Arial" w:cs="Arial" w:eastAsia="Arial" w:hAnsi="Arial"/>
          <w:sz w:val="17"/>
          <w:szCs w:val="17"/>
          <w:color w:val="auto"/>
        </w:rPr>
      </w:pPr>
      <w:r>
        <w:rPr>
          <w:rFonts w:ascii="Arial" w:cs="Arial" w:eastAsia="Arial" w:hAnsi="Arial"/>
          <w:sz w:val="17"/>
          <w:szCs w:val="17"/>
          <w:color w:val="auto"/>
        </w:rPr>
        <w:t>The Corporation shall reserve and at all times keep available out of its authorized but unissued shares of Class A Common Stock a sufficient number of shares of Class A Common Stock to satisfy the conversion requirements contemplated by this Section 4(e).</w:t>
      </w:r>
    </w:p>
    <w:p>
      <w:pPr>
        <w:spacing w:after="0" w:line="53" w:lineRule="exact"/>
        <w:rPr>
          <w:rFonts w:ascii="Arial" w:cs="Arial" w:eastAsia="Arial" w:hAnsi="Arial"/>
          <w:sz w:val="17"/>
          <w:szCs w:val="17"/>
          <w:color w:val="auto"/>
        </w:rPr>
      </w:pPr>
    </w:p>
    <w:p>
      <w:pPr>
        <w:ind w:right="60" w:firstLine="441"/>
        <w:spacing w:after="0" w:line="273" w:lineRule="auto"/>
        <w:tabs>
          <w:tab w:leader="none" w:pos="582"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Dividend Rights</w:t>
      </w:r>
      <w:r>
        <w:rPr>
          <w:rFonts w:ascii="Arial" w:cs="Arial" w:eastAsia="Arial" w:hAnsi="Arial"/>
          <w:sz w:val="17"/>
          <w:szCs w:val="17"/>
          <w:color w:val="auto"/>
        </w:rPr>
        <w:t>. Holders of Class A Common Stock and Class B Common Stock shall be entitled to receive ratably dividends payable in cash, in stock or otherwise, as and when declared by the board of directors of the Corporation out of assets legally available therefor, subject to any preferential rights of any outstanding Preferred Stock.</w:t>
      </w:r>
    </w:p>
    <w:p>
      <w:pPr>
        <w:spacing w:after="0" w:line="66" w:lineRule="exact"/>
        <w:rPr>
          <w:rFonts w:ascii="Arial" w:cs="Arial" w:eastAsia="Arial" w:hAnsi="Arial"/>
          <w:sz w:val="17"/>
          <w:szCs w:val="17"/>
          <w:color w:val="auto"/>
        </w:rPr>
      </w:pPr>
    </w:p>
    <w:p>
      <w:pPr>
        <w:ind w:right="280" w:firstLine="441"/>
        <w:spacing w:after="0" w:line="273" w:lineRule="auto"/>
        <w:tabs>
          <w:tab w:leader="none" w:pos="611"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Other Rights</w:t>
      </w:r>
      <w:r>
        <w:rPr>
          <w:rFonts w:ascii="Arial" w:cs="Arial" w:eastAsia="Arial" w:hAnsi="Arial"/>
          <w:sz w:val="17"/>
          <w:szCs w:val="17"/>
          <w:color w:val="auto"/>
        </w:rPr>
        <w:t>. Upon liquidation, dissolution or winding up of the Corporation, after payment in full of the amounts required to be paid to the holders of any outstanding Preferred Stock, all holders of Class A Common Stock and Class B Common Stock are entitled to receive ratably any assets available for distribution to holders thereof after the payment of all debts and other liabilities of the Corporation.</w:t>
      </w:r>
    </w:p>
    <w:p>
      <w:pPr>
        <w:spacing w:after="0" w:line="66" w:lineRule="exact"/>
        <w:rPr>
          <w:rFonts w:ascii="Arial" w:cs="Arial" w:eastAsia="Arial" w:hAnsi="Arial"/>
          <w:sz w:val="17"/>
          <w:szCs w:val="17"/>
          <w:color w:val="auto"/>
        </w:rPr>
      </w:pPr>
    </w:p>
    <w:p>
      <w:pPr>
        <w:ind w:right="100" w:firstLine="223"/>
        <w:spacing w:after="0" w:line="289" w:lineRule="auto"/>
        <w:tabs>
          <w:tab w:leader="none" w:pos="393"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Amendment of Bylaws; Election of Directors</w:t>
      </w:r>
      <w:r>
        <w:rPr>
          <w:rFonts w:ascii="Arial" w:cs="Arial" w:eastAsia="Arial" w:hAnsi="Arial"/>
          <w:sz w:val="17"/>
          <w:szCs w:val="17"/>
          <w:color w:val="auto"/>
        </w:rPr>
        <w:t>. The board of directors of the Corporation is authorized to make, alter or repeal the bylaws of the Corporation. Election of directors need not be by written ballot.</w:t>
      </w:r>
    </w:p>
    <w:p>
      <w:pPr>
        <w:spacing w:after="0" w:line="53" w:lineRule="exact"/>
        <w:rPr>
          <w:rFonts w:ascii="Arial" w:cs="Arial" w:eastAsia="Arial" w:hAnsi="Arial"/>
          <w:sz w:val="17"/>
          <w:szCs w:val="17"/>
          <w:color w:val="auto"/>
        </w:rPr>
      </w:pPr>
    </w:p>
    <w:p>
      <w:pPr>
        <w:ind w:right="200" w:firstLine="223"/>
        <w:spacing w:after="0" w:line="283" w:lineRule="auto"/>
        <w:tabs>
          <w:tab w:leader="none" w:pos="393"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xml:space="preserve">. No director shall be personally liable to the Corporation or its stockholders for monetary damages for breach of fiduciary duty as a director notwithstanding any provision of law imposing such liability;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provided by applicable law, this provision shall not eliminate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No amendment to or repeal of this provision shall apply to or have any effect on the liability or alleged liability of any director for or with respect to any acts or omissions of such director occurring prior to such amendment or repeal.</w:t>
      </w:r>
    </w:p>
    <w:p>
      <w:pPr>
        <w:spacing w:after="0" w:line="60" w:lineRule="exact"/>
        <w:rPr>
          <w:rFonts w:ascii="Arial" w:cs="Arial" w:eastAsia="Arial" w:hAnsi="Arial"/>
          <w:sz w:val="16"/>
          <w:szCs w:val="16"/>
          <w:color w:val="auto"/>
        </w:rPr>
      </w:pPr>
    </w:p>
    <w:p>
      <w:pPr>
        <w:ind w:firstLine="223"/>
        <w:spacing w:after="0" w:line="261" w:lineRule="auto"/>
        <w:tabs>
          <w:tab w:leader="none" w:pos="393"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Actions, Suits and Proceedings Other Than by or in the Right of the Corporation</w:t>
      </w:r>
      <w:r>
        <w:rPr>
          <w:rFonts w:ascii="Arial" w:cs="Arial" w:eastAsia="Arial" w:hAnsi="Arial"/>
          <w:sz w:val="17"/>
          <w:szCs w:val="17"/>
          <w:color w:val="auto"/>
        </w:rPr>
        <w:t>. The Corporation shall indemnify each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judgments, fines and amounts paid in settlement actually and reasonably incurred by the person or the person’s appeal therefrom, if the person acted in good faith and in a manner the person reasonably believed to be in, or not opposed to, the best interests of the Corporation, and, with respect to any criminal action or proceeding, had no reasonable cause to believe the person’s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018" w:right="239" w:bottom="1440" w:gutter="0" w:footer="0" w:header="0"/>
        </w:sectPr>
      </w:pPr>
    </w:p>
    <w:bookmarkStart w:id="298" w:name="page299"/>
    <w:bookmarkEnd w:id="298"/>
    <w:p>
      <w:pPr>
        <w:ind w:right="40"/>
        <w:spacing w:after="0" w:line="263" w:lineRule="auto"/>
        <w:rPr>
          <w:sz w:val="20"/>
          <w:szCs w:val="20"/>
          <w:color w:val="auto"/>
        </w:rPr>
      </w:pPr>
      <w:r>
        <w:rPr>
          <w:rFonts w:ascii="Arial" w:cs="Arial" w:eastAsia="Arial" w:hAnsi="Arial"/>
          <w:sz w:val="17"/>
          <w:szCs w:val="17"/>
          <w:color w:val="auto"/>
        </w:rPr>
        <w:t xml:space="preserve">conduct was unlawful. The termination of any action, suit or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Notwithstanding anything to the contrary in this Article, except as set forth in Section (f) below, the Corporation shall not indemnify an Indemnitee seeking indemnification in connection with a proceeding (or part thereof) initiated by the Indemnitee unless the initiation thereof was approved by the board of directors of the Corporation.</w:t>
      </w:r>
    </w:p>
    <w:p>
      <w:pPr>
        <w:spacing w:after="0" w:line="77" w:lineRule="exact"/>
        <w:rPr>
          <w:sz w:val="20"/>
          <w:szCs w:val="20"/>
          <w:color w:val="auto"/>
        </w:rPr>
      </w:pPr>
    </w:p>
    <w:p>
      <w:pPr>
        <w:ind w:firstLine="441"/>
        <w:spacing w:after="0" w:line="278" w:lineRule="auto"/>
        <w:tabs>
          <w:tab w:leader="none" w:pos="683"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Actions or Suits by or in the Right of the Corporation</w:t>
      </w:r>
      <w:r>
        <w:rPr>
          <w:rFonts w:ascii="Arial" w:cs="Arial" w:eastAsia="Arial" w:hAnsi="Arial"/>
          <w:sz w:val="16"/>
          <w:szCs w:val="16"/>
          <w:color w:val="auto"/>
        </w:rPr>
        <w:t>. The Corporation shall indemnify any Indemnitee who was or is a party or is threatened to be made a party to any threatened, pending or completed action or suit by or in the right of the Corporation to procure a judgment in its favor by reason of the fact that the person is or was, or has agreed to become, a director or officer of the Corporation, or is or was serving, or has agreed to serve, at the request of the Corporation, as a director, officer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amounts paid in settlement actually and reasonably incurred by the person or on the person’s behalf in connection with such action, suit or proceeding and any appeal therefrom,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such person is fairly and reasonably entitled to indemnity for such expenses (including attorneys’ fees) which the Court of Chancery of Delaware or such other court shall deem proper.</w:t>
      </w:r>
    </w:p>
    <w:p>
      <w:pPr>
        <w:spacing w:after="0" w:line="65" w:lineRule="exact"/>
        <w:rPr>
          <w:rFonts w:ascii="Arial" w:cs="Arial" w:eastAsia="Arial" w:hAnsi="Arial"/>
          <w:sz w:val="16"/>
          <w:szCs w:val="16"/>
          <w:color w:val="auto"/>
        </w:rPr>
      </w:pPr>
    </w:p>
    <w:p>
      <w:pPr>
        <w:ind w:right="140" w:firstLine="441"/>
        <w:spacing w:after="0" w:line="261" w:lineRule="auto"/>
        <w:tabs>
          <w:tab w:leader="none" w:pos="674"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Indemnification for Expenses of Successful Party</w:t>
      </w:r>
      <w:r>
        <w:rPr>
          <w:rFonts w:ascii="Arial" w:cs="Arial" w:eastAsia="Arial" w:hAnsi="Arial"/>
          <w:sz w:val="17"/>
          <w:szCs w:val="17"/>
          <w:color w:val="auto"/>
        </w:rPr>
        <w:t xml:space="preserve">. Notwithstanding the other provisions of this Article, to the extent that an Indemnitee has been successful, on the merits or otherwise, in defense of any action, suit or proceeding referred to in Sections (a) and (b) of this Article, or in defense of any claim, issue or matter therein, or on appeal from any such action, suit or proceeding, he shall be indemnified against expenses (including attorneys’ fees) actually and reasonably incurred by him or on his behalf in connection therewith. Without limiting the foregoing, if any action, suit or proceeding is disposed of, on the merits or otherwise (including a disposition without prejudice), without (i) the disposition being adverse to the Indemnitee, (ii) an adjudication that the Indemnitee was liable to the Corporation, (iii)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by the Indemnitee, (iv) an adjudication that the Indemnitee did not act in good faith and in a manner he reasonably believed to be in, or not opposed to, the best interests of the Corporation, and (v) with respect to any criminal proceeding, an adjudication that the Indemnitee had reasonable cause to believe his conduct was unlawful, the Indemnitee shall be considered for the purpose hereof to have been wholly successful with respect thereto.</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99" w:name="page300"/>
    <w:bookmarkEnd w:id="299"/>
    <w:p>
      <w:pPr>
        <w:ind w:left="-5" w:right="20" w:firstLine="441"/>
        <w:spacing w:after="0" w:line="293" w:lineRule="auto"/>
        <w:tabs>
          <w:tab w:leader="none" w:pos="679" w:val="left"/>
        </w:tabs>
        <w:numPr>
          <w:ilvl w:val="1"/>
          <w:numId w:val="226"/>
        </w:numPr>
        <w:rPr>
          <w:rFonts w:ascii="Arial" w:cs="Arial" w:eastAsia="Arial" w:hAnsi="Arial"/>
          <w:sz w:val="15"/>
          <w:szCs w:val="15"/>
          <w:color w:val="auto"/>
        </w:rPr>
      </w:pPr>
      <w:r>
        <w:rPr>
          <w:rFonts w:ascii="Arial" w:cs="Arial" w:eastAsia="Arial" w:hAnsi="Arial"/>
          <w:sz w:val="15"/>
          <w:szCs w:val="15"/>
          <w:u w:val="single" w:color="auto"/>
          <w:color w:val="auto"/>
        </w:rPr>
        <w:t>Notification and Defense of Claim</w:t>
      </w:r>
      <w:r>
        <w:rPr>
          <w:rFonts w:ascii="Arial" w:cs="Arial" w:eastAsia="Arial" w:hAnsi="Arial"/>
          <w:sz w:val="15"/>
          <w:szCs w:val="15"/>
          <w:color w:val="auto"/>
        </w:rPr>
        <w:t>. As a condition precedent to an Indemnitee’s right to be indemnified, the Indemnitee must notify the Corporation in writing as soon as practicable of any action, suit, proceeding or investigation involving the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the Indemnitee. After notice from the Corporation to the Indemnitee of its election so to assume such defense, the Corporation shall not be liable to the Indemnitee for any legal or other expenses subsequently incurred by the Indemnitee in connection with such claim, other than as provided below in this Section (d). The Indemnitee shall have the right to employ the Indemnitee’s own counsel in connection with such claim, but the fees and expenses of such assumption of the defense thereof shall be at the expense of the Indemnitee unless</w:t>
      </w:r>
    </w:p>
    <w:p>
      <w:pPr>
        <w:spacing w:after="0" w:line="4" w:lineRule="exact"/>
        <w:rPr>
          <w:rFonts w:ascii="Arial" w:cs="Arial" w:eastAsia="Arial" w:hAnsi="Arial"/>
          <w:sz w:val="15"/>
          <w:szCs w:val="15"/>
          <w:color w:val="auto"/>
        </w:rPr>
      </w:pPr>
    </w:p>
    <w:p>
      <w:pPr>
        <w:ind w:left="-5" w:right="40" w:firstLine="5"/>
        <w:spacing w:after="0" w:line="291" w:lineRule="auto"/>
        <w:tabs>
          <w:tab w:leader="none" w:pos="204"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employment of counsel by the Indemnitee has been authorized by the Corporation, (ii) counsel to the Indemnitee shall have reasonably concluded that there may be a conflict of interest or position on any significant issue between the Corporation and the Indemnitee in the conduct of the defense of such action, or</w:t>
      </w:r>
    </w:p>
    <w:p>
      <w:pPr>
        <w:ind w:left="-5" w:right="120" w:firstLine="5"/>
        <w:spacing w:after="0" w:line="262" w:lineRule="auto"/>
        <w:tabs>
          <w:tab w:leader="none" w:pos="3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Corporation shall not in fact have employed counsel to assume the defense of such action, in each of which cases the fees and expenses of counsel for the Indemnitee shall be at the expense of the Corporation, except as otherwise expressly provided by this Article. The Corporation shall not be entitled, without the consent of the Indemnitee, to assume the defense of any claim brought by or in the right of the Corporation or as to which counsel for the Indemnitee shall have reasonably made the conclusion provided for in clause (ii) above.</w:t>
      </w:r>
    </w:p>
    <w:p>
      <w:pPr>
        <w:spacing w:after="0" w:line="77" w:lineRule="exact"/>
        <w:rPr>
          <w:rFonts w:ascii="Arial" w:cs="Arial" w:eastAsia="Arial" w:hAnsi="Arial"/>
          <w:sz w:val="17"/>
          <w:szCs w:val="17"/>
          <w:color w:val="auto"/>
        </w:rPr>
      </w:pPr>
    </w:p>
    <w:p>
      <w:pPr>
        <w:ind w:left="675" w:hanging="239"/>
        <w:spacing w:after="0"/>
        <w:tabs>
          <w:tab w:leader="none" w:pos="675" w:val="left"/>
        </w:tabs>
        <w:numPr>
          <w:ilvl w:val="1"/>
          <w:numId w:val="228"/>
        </w:numPr>
        <w:rPr>
          <w:rFonts w:ascii="Arial" w:cs="Arial" w:eastAsia="Arial" w:hAnsi="Arial"/>
          <w:sz w:val="15"/>
          <w:szCs w:val="15"/>
          <w:color w:val="auto"/>
        </w:rPr>
      </w:pPr>
      <w:r>
        <w:rPr>
          <w:rFonts w:ascii="Arial" w:cs="Arial" w:eastAsia="Arial" w:hAnsi="Arial"/>
          <w:sz w:val="15"/>
          <w:szCs w:val="15"/>
          <w:u w:val="single" w:color="auto"/>
          <w:color w:val="auto"/>
        </w:rPr>
        <w:t>Advance of Expenses</w:t>
      </w:r>
      <w:r>
        <w:rPr>
          <w:rFonts w:ascii="Arial" w:cs="Arial" w:eastAsia="Arial" w:hAnsi="Arial"/>
          <w:sz w:val="15"/>
          <w:szCs w:val="15"/>
          <w:color w:val="auto"/>
        </w:rPr>
        <w:t>. Subject to the provisions of Section (f) below, in the event that the Corporation does not assume the defense pursuant to Section</w:t>
      </w:r>
    </w:p>
    <w:p>
      <w:pPr>
        <w:spacing w:after="0" w:line="49" w:lineRule="exact"/>
        <w:rPr>
          <w:rFonts w:ascii="Arial" w:cs="Arial" w:eastAsia="Arial" w:hAnsi="Arial"/>
          <w:sz w:val="15"/>
          <w:szCs w:val="15"/>
          <w:color w:val="auto"/>
        </w:rPr>
      </w:pPr>
    </w:p>
    <w:p>
      <w:pPr>
        <w:ind w:left="-5" w:firstLine="5"/>
        <w:spacing w:after="0" w:line="260" w:lineRule="auto"/>
        <w:tabs>
          <w:tab w:leader="none" w:pos="24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of this Article of any action, suit, proceeding or investigation of which the Corporation receives notice under this Article, any expenses (including attorneys’ fees) incurred by an Indemnitee in defending a civil or criminal action, suit proceeding or investigation or any appeal therefrom shall be paid by the Corporation in advance of the final disposition of such matter,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payment of such expenses incurred by an Indemnitee in advance of the final disposition of such matter shall be made only upon receipt of an undertaking by or on behalf of the Indemnitee to repay all amounts so advanced in the event that it shall ultimately be determined that the Indemnitee is not entitled to be indemnified by the Corporation as authorized in this Article. Such undertaking may be accepted without reference to the financial ability of such person to make such repayment.</w:t>
      </w:r>
    </w:p>
    <w:p>
      <w:pPr>
        <w:spacing w:after="0" w:line="79" w:lineRule="exact"/>
        <w:rPr>
          <w:rFonts w:ascii="Arial" w:cs="Arial" w:eastAsia="Arial" w:hAnsi="Arial"/>
          <w:sz w:val="17"/>
          <w:szCs w:val="17"/>
          <w:color w:val="auto"/>
        </w:rPr>
      </w:pPr>
    </w:p>
    <w:p>
      <w:pPr>
        <w:ind w:left="-5" w:right="180" w:firstLine="441"/>
        <w:spacing w:after="0" w:line="263" w:lineRule="auto"/>
        <w:tabs>
          <w:tab w:leader="none" w:pos="649" w:val="left"/>
        </w:tabs>
        <w:numPr>
          <w:ilvl w:val="1"/>
          <w:numId w:val="229"/>
        </w:numPr>
        <w:rPr>
          <w:rFonts w:ascii="Arial" w:cs="Arial" w:eastAsia="Arial" w:hAnsi="Arial"/>
          <w:sz w:val="17"/>
          <w:szCs w:val="17"/>
          <w:color w:val="auto"/>
        </w:rPr>
      </w:pPr>
      <w:r>
        <w:rPr>
          <w:rFonts w:ascii="Arial" w:cs="Arial" w:eastAsia="Arial" w:hAnsi="Arial"/>
          <w:sz w:val="17"/>
          <w:szCs w:val="17"/>
          <w:u w:val="single" w:color="auto"/>
          <w:color w:val="auto"/>
        </w:rPr>
        <w:t>Procedure for Indemnification</w:t>
      </w:r>
      <w:r>
        <w:rPr>
          <w:rFonts w:ascii="Arial" w:cs="Arial" w:eastAsia="Arial" w:hAnsi="Arial"/>
          <w:sz w:val="17"/>
          <w:szCs w:val="17"/>
          <w:color w:val="auto"/>
        </w:rPr>
        <w:t>. In order to obtain indemnification or advancement of expenses pursuant to Section (a), (b), (c) or (e) of this Article, the Indemnitee shall submit to the Corporation a written request, including in such request such documentation and information as is reasonably available to the Indemnitee and is reasonably necessary to determine whether and to what extent the Indemnitee is entitled to indemnification or advancement of expenses. Any such indemnification or advancement of expenses shall be made promptly, and in any event within sixty (60) days after receipt by the Corporation of the written request of the Indemnitee, unless with respect to requests under Section (a), (b) or (e) the Corporation determines, by clear and convincing evidence, within such sixty (60) day period that</w:t>
      </w:r>
    </w:p>
    <w:p>
      <w:pPr>
        <w:spacing w:after="0" w:line="155"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875"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95"/>
          </w:cols>
          <w:pgMar w:left="245" w:top="913" w:right="259" w:bottom="1440" w:gutter="0" w:footer="0" w:header="0"/>
        </w:sectPr>
      </w:pPr>
    </w:p>
    <w:bookmarkStart w:id="300" w:name="page301"/>
    <w:bookmarkEnd w:id="300"/>
    <w:p>
      <w:pPr>
        <w:spacing w:after="0" w:line="263" w:lineRule="auto"/>
        <w:rPr>
          <w:sz w:val="20"/>
          <w:szCs w:val="20"/>
          <w:color w:val="auto"/>
        </w:rPr>
      </w:pPr>
      <w:r>
        <w:rPr>
          <w:rFonts w:ascii="Arial" w:cs="Arial" w:eastAsia="Arial" w:hAnsi="Arial"/>
          <w:sz w:val="17"/>
          <w:szCs w:val="17"/>
          <w:color w:val="auto"/>
        </w:rPr>
        <w:t>the Indemnitee did not meet the applicable standard of conduct set forth in Section (a) or (b), as the case may be. Such determination shall be made in each instance by (i) a majority vote of a quorum of the directors of the Corporation consisting of persons who are not at that time parties of the action, suit or proceeding in question (“disinterested directors”), (ii) if no such quorum is obtainable, a majority vote of a committee of two or more disinterested directors, (iii) a majority vote of a quorum of the outstanding shares of stock of all classes entitled to vote for directors, voting as a single class, which quorum shall consist of stockholders who are not at that time parties to the action, suit or proceeding in question, (iv) independent legal counsel (who may be regular legal counsel to the Corporation), or (v) a court of competent jurisdiction.</w:t>
      </w:r>
    </w:p>
    <w:p>
      <w:pPr>
        <w:spacing w:after="0" w:line="77" w:lineRule="exact"/>
        <w:rPr>
          <w:sz w:val="20"/>
          <w:szCs w:val="20"/>
          <w:color w:val="auto"/>
        </w:rPr>
      </w:pPr>
    </w:p>
    <w:p>
      <w:pPr>
        <w:ind w:right="20" w:firstLine="441"/>
        <w:spacing w:after="0" w:line="280" w:lineRule="auto"/>
        <w:tabs>
          <w:tab w:leader="none" w:pos="683"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right to indemnification or advances as granted by this Article shall be enforceable by the Indemnitee in any court of competent jurisdiction if the Corporation denies such request, in whole or in part, or if no disposition thereof is made within the sixty (60) day period referred to above in Section (f). Unless otherwise provided by law, the burden of proving that the Indemnitee is not entitled to indemnification or advancement of expenses under this Article shall be on the Corporation. Neither the failure of the Corporation to have made a determination prior to the commencement of such action that indemnification is proper in the circumstances because Indemnitee has not met the applicable standard of conduct, nor an actual determination by the Corporation pursuant to Section (f) that the Indemnitee has not met such applicable standard of conduct, shall be a defense to the action or create a presumption that Indemnitee has not met the applicable standard of conduct. The Indemnitee’s expenses (including attorneys’ fees) incurred in connection with successfully establishing his right to indemnification, in whole or in part, in any such proceeding shall also be indemnified by the Corporation.</w:t>
      </w:r>
    </w:p>
    <w:p>
      <w:pPr>
        <w:spacing w:after="0" w:line="63" w:lineRule="exact"/>
        <w:rPr>
          <w:rFonts w:ascii="Arial" w:cs="Arial" w:eastAsia="Arial" w:hAnsi="Arial"/>
          <w:sz w:val="16"/>
          <w:szCs w:val="16"/>
          <w:color w:val="auto"/>
        </w:rPr>
      </w:pPr>
    </w:p>
    <w:p>
      <w:pPr>
        <w:ind w:right="160" w:firstLine="441"/>
        <w:spacing w:after="0" w:line="267" w:lineRule="auto"/>
        <w:tabs>
          <w:tab w:leader="none" w:pos="683"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Subsequent Amendment</w:t>
      </w:r>
      <w:r>
        <w:rPr>
          <w:rFonts w:ascii="Arial" w:cs="Arial" w:eastAsia="Arial" w:hAnsi="Arial"/>
          <w:sz w:val="17"/>
          <w:szCs w:val="17"/>
          <w:color w:val="auto"/>
        </w:rPr>
        <w:t>. No amendment, termination or repeal of this Article or of the relevant provisions of the General Corporation Law of the State of Delaware or any other applicable laws shall affect or diminish in any way the rights of any Indemnitee to indemnification under the provisions hereof with respect to any action, suit, proceeding or investigation arising out of or relating to any actions, transactions or facts occurring prior to the final adoption of such amendment, termination or repeal.</w:t>
      </w:r>
    </w:p>
    <w:p>
      <w:pPr>
        <w:spacing w:after="0" w:line="72" w:lineRule="exact"/>
        <w:rPr>
          <w:rFonts w:ascii="Arial" w:cs="Arial" w:eastAsia="Arial" w:hAnsi="Arial"/>
          <w:sz w:val="17"/>
          <w:szCs w:val="17"/>
          <w:color w:val="auto"/>
        </w:rPr>
      </w:pPr>
    </w:p>
    <w:p>
      <w:pPr>
        <w:ind w:right="40" w:firstLine="441"/>
        <w:spacing w:after="0" w:line="280" w:lineRule="auto"/>
        <w:tabs>
          <w:tab w:leader="none" w:pos="644"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Other Rights</w:t>
      </w:r>
      <w:r>
        <w:rPr>
          <w:rFonts w:ascii="Arial" w:cs="Arial" w:eastAsia="Arial" w:hAnsi="Arial"/>
          <w:sz w:val="16"/>
          <w:szCs w:val="16"/>
          <w:color w:val="auto"/>
        </w:rPr>
        <w:t>. The indemnification and advancement of expenses provided by this Article shall not be deemed exclusive of any other rights to which an Indemnitee seeking indemnification or advancement of expenses may be entitled under any law (common or statutory), agreement or vote of stockholders or disinterested directors or otherwise, both as to action in his official capacity and as to action in any other capacity while holding office for the Corporation, and shall continue as to an Indemnitee who has ceased to be a director or officer, and shall inure to the benefit of the estate, heirs, executors and administrators of the Indemnitee. Nothing contained in this Article shall be deemed to prohibit, and the Corporation is specifically authorized to enter into, agreements with officers and directors providing indemnification rights and procedures different from those set forth in this Article. In addition,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01" w:name="page302"/>
    <w:bookmarkEnd w:id="301"/>
    <w:p>
      <w:pPr>
        <w:ind w:left="-40" w:right="60" w:firstLine="441"/>
        <w:spacing w:after="0" w:line="314" w:lineRule="auto"/>
        <w:tabs>
          <w:tab w:leader="none" w:pos="604" w:val="left"/>
        </w:tabs>
        <w:numPr>
          <w:ilvl w:val="1"/>
          <w:numId w:val="231"/>
        </w:numPr>
        <w:rPr>
          <w:rFonts w:ascii="Arial" w:cs="Arial" w:eastAsia="Arial" w:hAnsi="Arial"/>
          <w:sz w:val="15"/>
          <w:szCs w:val="15"/>
          <w:color w:val="auto"/>
        </w:rPr>
      </w:pPr>
      <w:r>
        <w:rPr>
          <w:rFonts w:ascii="Arial" w:cs="Arial" w:eastAsia="Arial" w:hAnsi="Arial"/>
          <w:sz w:val="15"/>
          <w:szCs w:val="15"/>
          <w:u w:val="single" w:color="auto"/>
          <w:color w:val="auto"/>
        </w:rPr>
        <w:t>Partial Indemnification</w:t>
      </w:r>
      <w:r>
        <w:rPr>
          <w:rFonts w:ascii="Arial" w:cs="Arial" w:eastAsia="Arial" w:hAnsi="Arial"/>
          <w:sz w:val="15"/>
          <w:szCs w:val="15"/>
          <w:color w:val="auto"/>
        </w:rPr>
        <w:t>. If an Indemnitee is entitled under any provision of this Article to indemnification by the Corporation for some or a portion of the expenses (including attorneys’ fees), judgments, fines or amounts paid in settlement actually and reasonably incurred by him or on his behalf in connection with any action, suit, proceeding or investigation and any appeal therefrom but not, however, for the total amount thereof, the Corporation shall nevertheless indemnify the Indemnitee for the portion of such expenses (including attorneys’ fees), judgments, fines or amounts paid in settlement to which the Indemnitee is entitled.</w:t>
      </w:r>
    </w:p>
    <w:p>
      <w:pPr>
        <w:spacing w:after="0" w:line="40" w:lineRule="exact"/>
        <w:rPr>
          <w:rFonts w:ascii="Arial" w:cs="Arial" w:eastAsia="Arial" w:hAnsi="Arial"/>
          <w:sz w:val="15"/>
          <w:szCs w:val="15"/>
          <w:color w:val="auto"/>
        </w:rPr>
      </w:pPr>
    </w:p>
    <w:p>
      <w:pPr>
        <w:ind w:left="-40" w:right="60" w:firstLine="441"/>
        <w:spacing w:after="0" w:line="267" w:lineRule="auto"/>
        <w:tabs>
          <w:tab w:leader="none" w:pos="643" w:val="left"/>
        </w:tabs>
        <w:numPr>
          <w:ilvl w:val="1"/>
          <w:numId w:val="231"/>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in any such capacity, or arising out of his status as such, whether or not the Corporation would have the power to indemnify such person against such expense, liability or loss under the General Corporation Law of the State of Delaware.</w:t>
      </w:r>
    </w:p>
    <w:p>
      <w:pPr>
        <w:spacing w:after="0" w:line="72" w:lineRule="exact"/>
        <w:rPr>
          <w:rFonts w:ascii="Arial" w:cs="Arial" w:eastAsia="Arial" w:hAnsi="Arial"/>
          <w:sz w:val="17"/>
          <w:szCs w:val="17"/>
          <w:color w:val="auto"/>
        </w:rPr>
      </w:pPr>
    </w:p>
    <w:p>
      <w:pPr>
        <w:jc w:val="both"/>
        <w:ind w:left="-40" w:right="40" w:firstLine="441"/>
        <w:spacing w:after="0" w:line="273" w:lineRule="auto"/>
        <w:tabs>
          <w:tab w:leader="none" w:pos="604" w:val="left"/>
        </w:tabs>
        <w:numPr>
          <w:ilvl w:val="1"/>
          <w:numId w:val="231"/>
        </w:numPr>
        <w:rPr>
          <w:rFonts w:ascii="Arial" w:cs="Arial" w:eastAsia="Arial" w:hAnsi="Arial"/>
          <w:sz w:val="17"/>
          <w:szCs w:val="17"/>
          <w:color w:val="auto"/>
        </w:rPr>
      </w:pPr>
      <w:r>
        <w:rPr>
          <w:rFonts w:ascii="Arial" w:cs="Arial" w:eastAsia="Arial" w:hAnsi="Arial"/>
          <w:sz w:val="17"/>
          <w:szCs w:val="17"/>
          <w:u w:val="single" w:color="auto"/>
          <w:color w:val="auto"/>
        </w:rPr>
        <w:t>Merger or Consolidation</w:t>
      </w:r>
      <w:r>
        <w:rPr>
          <w:rFonts w:ascii="Arial" w:cs="Arial" w:eastAsia="Arial" w:hAnsi="Arial"/>
          <w:sz w:val="17"/>
          <w:szCs w:val="17"/>
          <w:color w:val="auto"/>
        </w:rPr>
        <w:t>. If the Corporation is merged into or consolidated with another corporation and the Corporation is not the surviving corporation, the surviving corporation shall assume the obligations of the Corporation under this Article with respect to any action, suit, proceeding or investigation arising out of or relating to any actions, transactions or facts occurring prior to the date of such merger or consolidation.</w:t>
      </w:r>
    </w:p>
    <w:p>
      <w:pPr>
        <w:spacing w:after="0" w:line="66" w:lineRule="exact"/>
        <w:rPr>
          <w:rFonts w:ascii="Arial" w:cs="Arial" w:eastAsia="Arial" w:hAnsi="Arial"/>
          <w:sz w:val="17"/>
          <w:szCs w:val="17"/>
          <w:color w:val="auto"/>
        </w:rPr>
      </w:pPr>
    </w:p>
    <w:p>
      <w:pPr>
        <w:ind w:left="-40" w:right="20" w:firstLine="441"/>
        <w:spacing w:after="0" w:line="289" w:lineRule="auto"/>
        <w:tabs>
          <w:tab w:leader="none" w:pos="692" w:val="left"/>
        </w:tabs>
        <w:numPr>
          <w:ilvl w:val="1"/>
          <w:numId w:val="231"/>
        </w:numPr>
        <w:rPr>
          <w:rFonts w:ascii="Arial" w:cs="Arial" w:eastAsia="Arial" w:hAnsi="Arial"/>
          <w:sz w:val="16"/>
          <w:szCs w:val="16"/>
          <w:color w:val="auto"/>
        </w:rPr>
      </w:pPr>
      <w:r>
        <w:rPr>
          <w:rFonts w:ascii="Arial" w:cs="Arial" w:eastAsia="Arial" w:hAnsi="Arial"/>
          <w:sz w:val="16"/>
          <w:szCs w:val="16"/>
          <w:u w:val="single" w:color="auto"/>
          <w:color w:val="auto"/>
        </w:rPr>
        <w:t>Savings Clause</w:t>
      </w:r>
      <w:r>
        <w:rPr>
          <w:rFonts w:ascii="Arial" w:cs="Arial" w:eastAsia="Arial" w:hAnsi="Arial"/>
          <w:sz w:val="16"/>
          <w:szCs w:val="16"/>
          <w:color w:val="auto"/>
        </w:rPr>
        <w:t>. If this Article or any portion hereof shall be invalidated on any ground by any court of competent jurisdiction, then the Corporation shall nevertheless indemnify each Indemnitee as to any expenses (including attorneys’ fee), judgments, fines and amounts paid in settlement in connection with any action, suit, proceeding or investigation, whether civil, criminal or administrative, including an action by or in the right of the Corporation, to the fullest extent permitted by an applicable portion of this Article that shall not have been invalidated and to the fullest extent permitted by applicable law.</w:t>
      </w:r>
    </w:p>
    <w:p>
      <w:pPr>
        <w:spacing w:after="0" w:line="56" w:lineRule="exact"/>
        <w:rPr>
          <w:rFonts w:ascii="Arial" w:cs="Arial" w:eastAsia="Arial" w:hAnsi="Arial"/>
          <w:sz w:val="16"/>
          <w:szCs w:val="16"/>
          <w:color w:val="auto"/>
        </w:rPr>
      </w:pPr>
    </w:p>
    <w:p>
      <w:pPr>
        <w:ind w:left="-40" w:right="80" w:firstLine="441"/>
        <w:spacing w:after="0" w:line="289" w:lineRule="auto"/>
        <w:tabs>
          <w:tab w:leader="none" w:pos="643" w:val="left"/>
        </w:tabs>
        <w:numPr>
          <w:ilvl w:val="1"/>
          <w:numId w:val="231"/>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Terms used herein and defined in Section 145(h) and Section 145(i) of the General Corporation Law of the State of Delaware shall have the respective meanings assigned to such terms in such Section 145(h) and Section 145(i).</w:t>
      </w:r>
    </w:p>
    <w:p>
      <w:pPr>
        <w:spacing w:after="0" w:line="53" w:lineRule="exact"/>
        <w:rPr>
          <w:rFonts w:ascii="Arial" w:cs="Arial" w:eastAsia="Arial" w:hAnsi="Arial"/>
          <w:sz w:val="17"/>
          <w:szCs w:val="17"/>
          <w:color w:val="auto"/>
        </w:rPr>
      </w:pPr>
    </w:p>
    <w:p>
      <w:pPr>
        <w:ind w:left="-40" w:right="40" w:firstLine="441"/>
        <w:spacing w:after="0" w:line="273" w:lineRule="auto"/>
        <w:tabs>
          <w:tab w:leader="none" w:pos="643" w:val="left"/>
        </w:tabs>
        <w:numPr>
          <w:ilvl w:val="1"/>
          <w:numId w:val="231"/>
        </w:numPr>
        <w:rPr>
          <w:rFonts w:ascii="Arial" w:cs="Arial" w:eastAsia="Arial" w:hAnsi="Arial"/>
          <w:sz w:val="17"/>
          <w:szCs w:val="17"/>
          <w:color w:val="auto"/>
        </w:rPr>
      </w:pPr>
      <w:r>
        <w:rPr>
          <w:rFonts w:ascii="Arial" w:cs="Arial" w:eastAsia="Arial" w:hAnsi="Arial"/>
          <w:sz w:val="17"/>
          <w:szCs w:val="17"/>
          <w:u w:val="single" w:color="auto"/>
          <w:color w:val="auto"/>
        </w:rPr>
        <w:t>Subsequent Legislation</w:t>
      </w:r>
      <w:r>
        <w:rPr>
          <w:rFonts w:ascii="Arial" w:cs="Arial" w:eastAsia="Arial" w:hAnsi="Arial"/>
          <w:sz w:val="17"/>
          <w:szCs w:val="17"/>
          <w:color w:val="auto"/>
        </w:rPr>
        <w:t>. If the General Corporation Law of the State of Delaware is amended after adoption of this Article to expand further the indemnification permitted to Indemnitees, then the Corporation shall indemnify such persons to the fullest extent permitted by the General Corporation Law of the State of Delaware, as so amended.</w:t>
      </w:r>
    </w:p>
    <w:p>
      <w:pPr>
        <w:spacing w:after="0" w:line="66" w:lineRule="exact"/>
        <w:rPr>
          <w:rFonts w:ascii="Arial" w:cs="Arial" w:eastAsia="Arial" w:hAnsi="Arial"/>
          <w:sz w:val="17"/>
          <w:szCs w:val="17"/>
          <w:color w:val="auto"/>
        </w:rPr>
      </w:pPr>
    </w:p>
    <w:p>
      <w:pPr>
        <w:ind w:left="-40" w:firstLine="223"/>
        <w:spacing w:after="0" w:line="297" w:lineRule="auto"/>
        <w:tabs>
          <w:tab w:leader="none" w:pos="396"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Creditor and/or Stockholder Compromise or Arrangement</w:t>
      </w:r>
      <w:r>
        <w:rPr>
          <w:rFonts w:ascii="Arial" w:cs="Arial" w:eastAsia="Arial" w:hAnsi="Arial"/>
          <w:sz w:val="16"/>
          <w:szCs w:val="16"/>
          <w:color w:val="auto"/>
        </w:rPr>
        <w:t>. 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147320</wp:posOffset>
            </wp:positionV>
            <wp:extent cx="7254875" cy="209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80" w:top="913" w:right="259" w:bottom="1440" w:gutter="0" w:footer="0" w:header="0"/>
        </w:sectPr>
      </w:pPr>
    </w:p>
    <w:bookmarkStart w:id="302" w:name="page303"/>
    <w:bookmarkEnd w:id="302"/>
    <w:p>
      <w:pPr>
        <w:spacing w:after="0" w:line="281" w:lineRule="auto"/>
        <w:rPr>
          <w:sz w:val="20"/>
          <w:szCs w:val="20"/>
          <w:color w:val="auto"/>
        </w:rPr>
      </w:pPr>
      <w:r>
        <w:rPr>
          <w:rFonts w:ascii="Arial" w:cs="Arial" w:eastAsia="Arial" w:hAnsi="Arial"/>
          <w:sz w:val="16"/>
          <w:szCs w:val="16"/>
          <w:color w:val="auto"/>
        </w:rPr>
        <w:t>receivers appointed for the Corporation under §291 of Title 8 of the Delaware Code or on the application of trustees in dissolution or of any receiver or receivers appointed for the Corporation under §279 of Title 8 of the Delaware Code order a meeting of the creditors or class of creditors, and/or of the stockholders or class of stockholders of the Corporation, as the case may be, to be summoned in such manner as the said court directs. If a majority in number representing three 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63" w:lineRule="exact"/>
        <w:rPr>
          <w:sz w:val="20"/>
          <w:szCs w:val="20"/>
          <w:color w:val="auto"/>
        </w:rPr>
      </w:pPr>
    </w:p>
    <w:p>
      <w:pPr>
        <w:ind w:right="220" w:firstLine="223"/>
        <w:spacing w:after="0" w:line="267" w:lineRule="auto"/>
        <w:tabs>
          <w:tab w:leader="none" w:pos="389"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Board of Directors of the Corporation, when evaluating any offer of another party (a) to make a tender or exchange offer for any equity security of the Corporation or (b) to effect a business combination, shall, in connection with the exercise of its judgment in determining what is in the best interests of the Corporation as a whole, be authorized to give due consideration to any such factors as the Board of Directors determines to be relevant, including, without limitation:</w:t>
      </w:r>
    </w:p>
    <w:p>
      <w:pPr>
        <w:spacing w:after="0" w:line="72" w:lineRule="exact"/>
        <w:rPr>
          <w:rFonts w:ascii="Arial" w:cs="Arial" w:eastAsia="Arial" w:hAnsi="Arial"/>
          <w:sz w:val="17"/>
          <w:szCs w:val="17"/>
          <w:color w:val="auto"/>
        </w:rPr>
      </w:pPr>
    </w:p>
    <w:p>
      <w:pPr>
        <w:ind w:right="320" w:firstLine="441"/>
        <w:spacing w:after="0" w:line="289" w:lineRule="auto"/>
        <w:tabs>
          <w:tab w:leader="none" w:pos="645"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 interests of the Corporation’s stockholders, including the possibility that these interests might be best served by the continued independence of the Corporation;</w:t>
      </w:r>
    </w:p>
    <w:p>
      <w:pPr>
        <w:spacing w:after="0" w:line="53" w:lineRule="exact"/>
        <w:rPr>
          <w:rFonts w:ascii="Arial" w:cs="Arial" w:eastAsia="Arial" w:hAnsi="Arial"/>
          <w:sz w:val="17"/>
          <w:szCs w:val="17"/>
          <w:color w:val="auto"/>
        </w:rPr>
      </w:pPr>
    </w:p>
    <w:p>
      <w:pPr>
        <w:ind w:left="700" w:hanging="259"/>
        <w:spacing w:after="0"/>
        <w:tabs>
          <w:tab w:leader="none" w:pos="70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whether the proposed transaction might violate federal or state laws;</w:t>
      </w:r>
    </w:p>
    <w:p>
      <w:pPr>
        <w:spacing w:after="0" w:line="118" w:lineRule="exact"/>
        <w:rPr>
          <w:rFonts w:ascii="Arial" w:cs="Arial" w:eastAsia="Arial" w:hAnsi="Arial"/>
          <w:sz w:val="17"/>
          <w:szCs w:val="17"/>
          <w:color w:val="auto"/>
        </w:rPr>
      </w:pPr>
    </w:p>
    <w:p>
      <w:pPr>
        <w:jc w:val="both"/>
        <w:ind w:right="160" w:firstLine="441"/>
        <w:spacing w:after="0" w:line="314" w:lineRule="auto"/>
        <w:tabs>
          <w:tab w:leader="none" w:pos="742" w:val="left"/>
        </w:tabs>
        <w:numPr>
          <w:ilvl w:val="1"/>
          <w:numId w:val="233"/>
        </w:numPr>
        <w:rPr>
          <w:rFonts w:ascii="Arial" w:cs="Arial" w:eastAsia="Arial" w:hAnsi="Arial"/>
          <w:sz w:val="15"/>
          <w:szCs w:val="15"/>
          <w:color w:val="auto"/>
        </w:rPr>
      </w:pPr>
      <w:r>
        <w:rPr>
          <w:rFonts w:ascii="Arial" w:cs="Arial" w:eastAsia="Arial" w:hAnsi="Arial"/>
          <w:sz w:val="15"/>
          <w:szCs w:val="15"/>
          <w:color w:val="auto"/>
        </w:rPr>
        <w:t>not only the consideration being offered in the proposed transaction, in relation to the then current market price for the outstanding capital stock of the Corporation, but also to the market price for the capital stock of the Corporation over a period of years, the estimated price that might be achieved in a negotiated sale of the Corporation as a whole or in part or through orderly liquidation, the premiums over market price for the securities of other corporations in similar transactions, current political, economic and other factors bearing on securities prices and the Corporation’s financial condition and future prospects; and</w:t>
      </w:r>
    </w:p>
    <w:p>
      <w:pPr>
        <w:spacing w:after="0" w:line="40" w:lineRule="exact"/>
        <w:rPr>
          <w:rFonts w:ascii="Arial" w:cs="Arial" w:eastAsia="Arial" w:hAnsi="Arial"/>
          <w:sz w:val="15"/>
          <w:szCs w:val="15"/>
          <w:color w:val="auto"/>
        </w:rPr>
      </w:pPr>
    </w:p>
    <w:p>
      <w:pPr>
        <w:ind w:right="380" w:firstLine="441"/>
        <w:spacing w:after="0" w:line="289" w:lineRule="auto"/>
        <w:tabs>
          <w:tab w:leader="none" w:pos="732" w:val="left"/>
        </w:tabs>
        <w:numPr>
          <w:ilvl w:val="1"/>
          <w:numId w:val="233"/>
        </w:numPr>
        <w:rPr>
          <w:rFonts w:ascii="Arial" w:cs="Arial" w:eastAsia="Arial" w:hAnsi="Arial"/>
          <w:sz w:val="17"/>
          <w:szCs w:val="17"/>
          <w:color w:val="auto"/>
        </w:rPr>
      </w:pPr>
      <w:r>
        <w:rPr>
          <w:rFonts w:ascii="Arial" w:cs="Arial" w:eastAsia="Arial" w:hAnsi="Arial"/>
          <w:sz w:val="17"/>
          <w:szCs w:val="17"/>
          <w:color w:val="auto"/>
        </w:rPr>
        <w:t>the social, legal and economic effects upon employees, suppliers, customers, creditors and others having similar relationships with the Corporation, upon the communities in which the Corporation conducts its business and upon the economy of the state, region and nation.</w:t>
      </w:r>
    </w:p>
    <w:p>
      <w:pPr>
        <w:spacing w:after="0" w:line="53" w:lineRule="exact"/>
        <w:rPr>
          <w:sz w:val="20"/>
          <w:szCs w:val="20"/>
          <w:color w:val="auto"/>
        </w:rPr>
      </w:pPr>
    </w:p>
    <w:p>
      <w:pPr>
        <w:ind w:right="160" w:firstLine="218"/>
        <w:spacing w:after="0" w:line="289" w:lineRule="auto"/>
        <w:rPr>
          <w:sz w:val="20"/>
          <w:szCs w:val="20"/>
          <w:color w:val="auto"/>
        </w:rPr>
      </w:pPr>
      <w:r>
        <w:rPr>
          <w:rFonts w:ascii="Arial" w:cs="Arial" w:eastAsia="Arial" w:hAnsi="Arial"/>
          <w:sz w:val="17"/>
          <w:szCs w:val="17"/>
          <w:color w:val="auto"/>
        </w:rPr>
        <w:t>In connection with any such evaluation, the Board of Directors is authorized to conduct such investigations and engage in such legal proceedings as the Board of Directors may determine.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03" w:name="page304"/>
    <w:bookmarkEnd w:id="303"/>
    <w:p>
      <w:pPr>
        <w:ind w:left="220"/>
        <w:spacing w:after="0"/>
        <w:rPr>
          <w:sz w:val="20"/>
          <w:szCs w:val="20"/>
          <w:color w:val="auto"/>
        </w:rPr>
      </w:pPr>
      <w:r>
        <w:rPr>
          <w:rFonts w:ascii="Arial" w:cs="Arial" w:eastAsia="Arial" w:hAnsi="Arial"/>
          <w:sz w:val="16"/>
          <w:szCs w:val="16"/>
          <w:color w:val="auto"/>
        </w:rPr>
        <w:t>IN WITNESS WHEREOF, E</w:t>
      </w:r>
      <w:r>
        <w:rPr>
          <w:rFonts w:ascii="Arial" w:cs="Arial" w:eastAsia="Arial" w:hAnsi="Arial"/>
          <w:sz w:val="10"/>
          <w:szCs w:val="10"/>
          <w:color w:val="auto"/>
        </w:rPr>
        <w:t>MERGENT</w:t>
      </w:r>
      <w:r>
        <w:rPr>
          <w:rFonts w:ascii="Arial" w:cs="Arial" w:eastAsia="Arial" w:hAnsi="Arial"/>
          <w:sz w:val="16"/>
          <w:szCs w:val="16"/>
          <w:color w:val="auto"/>
        </w:rPr>
        <w:t xml:space="preserve"> B</w:t>
      </w:r>
      <w:r>
        <w:rPr>
          <w:rFonts w:ascii="Arial" w:cs="Arial" w:eastAsia="Arial" w:hAnsi="Arial"/>
          <w:sz w:val="10"/>
          <w:szCs w:val="10"/>
          <w:color w:val="auto"/>
        </w:rPr>
        <w:t>IO</w:t>
      </w:r>
      <w:r>
        <w:rPr>
          <w:rFonts w:ascii="Arial" w:cs="Arial" w:eastAsia="Arial" w:hAnsi="Arial"/>
          <w:sz w:val="16"/>
          <w:szCs w:val="16"/>
          <w:color w:val="auto"/>
        </w:rPr>
        <w:t>S</w:t>
      </w:r>
      <w:r>
        <w:rPr>
          <w:rFonts w:ascii="Arial" w:cs="Arial" w:eastAsia="Arial" w:hAnsi="Arial"/>
          <w:sz w:val="10"/>
          <w:szCs w:val="10"/>
          <w:color w:val="auto"/>
        </w:rPr>
        <w:t>OLUTIONS</w:t>
      </w:r>
      <w:r>
        <w:rPr>
          <w:rFonts w:ascii="Arial" w:cs="Arial" w:eastAsia="Arial" w:hAnsi="Arial"/>
          <w:sz w:val="16"/>
          <w:szCs w:val="16"/>
          <w:color w:val="auto"/>
        </w:rPr>
        <w:t xml:space="preserve"> I</w:t>
      </w:r>
      <w:r>
        <w:rPr>
          <w:rFonts w:ascii="Arial" w:cs="Arial" w:eastAsia="Arial" w:hAnsi="Arial"/>
          <w:sz w:val="10"/>
          <w:szCs w:val="10"/>
          <w:color w:val="auto"/>
        </w:rPr>
        <w:t>NC</w:t>
      </w:r>
      <w:r>
        <w:rPr>
          <w:rFonts w:ascii="Arial" w:cs="Arial" w:eastAsia="Arial" w:hAnsi="Arial"/>
          <w:sz w:val="16"/>
          <w:szCs w:val="16"/>
          <w:color w:val="auto"/>
        </w:rPr>
        <w:t>. has caused this Amended and Restated Certificate of Incorporation to be signed by Louis A.</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Bevilacqua, its Sole Incorporator, this 30th day of January, 2004.</w:t>
      </w:r>
    </w:p>
    <w:p>
      <w:pPr>
        <w:spacing w:after="0" w:line="212"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E</w:t>
      </w:r>
      <w:r>
        <w:rPr>
          <w:rFonts w:ascii="Arial" w:cs="Arial" w:eastAsia="Arial" w:hAnsi="Arial"/>
          <w:sz w:val="11"/>
          <w:szCs w:val="11"/>
          <w:color w:val="auto"/>
        </w:rPr>
        <w:t>MERGENT</w:t>
      </w:r>
      <w:r>
        <w:rPr>
          <w:rFonts w:ascii="Arial" w:cs="Arial" w:eastAsia="Arial" w:hAnsi="Arial"/>
          <w:sz w:val="17"/>
          <w:szCs w:val="17"/>
          <w:color w:val="auto"/>
        </w:rPr>
        <w:t xml:space="preserve"> B</w:t>
      </w:r>
      <w:r>
        <w:rPr>
          <w:rFonts w:ascii="Arial" w:cs="Arial" w:eastAsia="Arial" w:hAnsi="Arial"/>
          <w:sz w:val="11"/>
          <w:szCs w:val="11"/>
          <w:color w:val="auto"/>
        </w:rPr>
        <w:t>IO</w:t>
      </w:r>
      <w:r>
        <w:rPr>
          <w:rFonts w:ascii="Arial" w:cs="Arial" w:eastAsia="Arial" w:hAnsi="Arial"/>
          <w:sz w:val="17"/>
          <w:szCs w:val="17"/>
          <w:color w:val="auto"/>
        </w:rPr>
        <w:t>S</w:t>
      </w:r>
      <w:r>
        <w:rPr>
          <w:rFonts w:ascii="Arial" w:cs="Arial" w:eastAsia="Arial" w:hAnsi="Arial"/>
          <w:sz w:val="11"/>
          <w:szCs w:val="11"/>
          <w:color w:val="auto"/>
        </w:rPr>
        <w:t>OLUTIONS</w:t>
      </w:r>
      <w:r>
        <w:rPr>
          <w:rFonts w:ascii="Arial" w:cs="Arial" w:eastAsia="Arial" w:hAnsi="Arial"/>
          <w:sz w:val="17"/>
          <w:szCs w:val="17"/>
          <w:color w:val="auto"/>
        </w:rPr>
        <w:t xml:space="preserve"> I</w:t>
      </w:r>
      <w:r>
        <w:rPr>
          <w:rFonts w:ascii="Arial" w:cs="Arial" w:eastAsia="Arial" w:hAnsi="Arial"/>
          <w:sz w:val="11"/>
          <w:szCs w:val="11"/>
          <w:color w:val="auto"/>
        </w:rPr>
        <w:t>NC</w:t>
      </w:r>
      <w:r>
        <w:rPr>
          <w:rFonts w:ascii="Arial" w:cs="Arial" w:eastAsia="Arial" w:hAnsi="Arial"/>
          <w:sz w:val="17"/>
          <w:szCs w:val="17"/>
          <w:color w:val="auto"/>
        </w:rPr>
        <w:t>.</w:t>
      </w:r>
    </w:p>
    <w:p>
      <w:pPr>
        <w:spacing w:after="0" w:line="224"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By: /s/ Louis A. Bevilacqua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16510</wp:posOffset>
            </wp:positionV>
            <wp:extent cx="25692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6921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Louis A. Bevilacqua</w:t>
      </w:r>
    </w:p>
    <w:p>
      <w:pPr>
        <w:spacing w:after="0" w:line="26"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Incorporator</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Address of Incorporator: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Louis A. Bevilacqua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Thelen Reid &amp; Priest LLP</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701 Pennsylvania Ave., N.W.</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Suite 800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20004-2608</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00"/>
          </w:cols>
          <w:pgMar w:left="240" w:top="913" w:right="1059" w:bottom="1440" w:gutter="0" w:footer="0" w:header="0"/>
        </w:sectPr>
      </w:pPr>
    </w:p>
    <w:bookmarkStart w:id="304" w:name="page305"/>
    <w:bookmarkEnd w:id="304"/>
    <w:p>
      <w:pPr>
        <w:jc w:val="center"/>
        <w:ind w:right="-19"/>
        <w:spacing w:after="0"/>
        <w:rPr>
          <w:sz w:val="20"/>
          <w:szCs w:val="20"/>
          <w:color w:val="auto"/>
        </w:rPr>
      </w:pPr>
      <w:r>
        <w:rPr>
          <w:rFonts w:ascii="Arial" w:cs="Arial" w:eastAsia="Arial" w:hAnsi="Arial"/>
          <w:sz w:val="17"/>
          <w:szCs w:val="17"/>
          <w:b w:val="1"/>
          <w:bCs w:val="1"/>
          <w:color w:val="auto"/>
        </w:rPr>
        <w:t>CERTIFICATE OF AMENDMENT OF</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AND RESTATED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CERTIFICATE OF INCORPORATION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EMERGENT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192405</wp:posOffset>
            </wp:positionV>
            <wp:extent cx="187896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Section 242 of the</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183515</wp:posOffset>
            </wp:positionV>
            <wp:extent cx="18789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120" w:firstLine="218"/>
        <w:spacing w:after="0" w:line="289" w:lineRule="auto"/>
        <w:rPr>
          <w:sz w:val="20"/>
          <w:szCs w:val="20"/>
          <w:color w:val="auto"/>
        </w:rPr>
      </w:pPr>
      <w:r>
        <w:rPr>
          <w:rFonts w:ascii="Arial" w:cs="Arial" w:eastAsia="Arial" w:hAnsi="Arial"/>
          <w:sz w:val="17"/>
          <w:szCs w:val="17"/>
          <w:color w:val="auto"/>
        </w:rPr>
        <w:t>Emergent BioSolutions Inc. (the “Corporation”), a corporation organized and existing under and by virtue of the provisions of the General Corporation Law of the State of Delaware (the “General Corporation Law”), hereby certifies as follows:</w:t>
      </w:r>
    </w:p>
    <w:p>
      <w:pPr>
        <w:spacing w:after="0" w:line="53" w:lineRule="exact"/>
        <w:rPr>
          <w:sz w:val="20"/>
          <w:szCs w:val="20"/>
          <w:color w:val="auto"/>
        </w:rPr>
      </w:pPr>
    </w:p>
    <w:p>
      <w:pPr>
        <w:ind w:right="220" w:firstLine="215"/>
        <w:spacing w:after="0" w:line="285" w:lineRule="auto"/>
        <w:rPr>
          <w:sz w:val="20"/>
          <w:szCs w:val="20"/>
          <w:color w:val="auto"/>
        </w:rPr>
      </w:pPr>
      <w:r>
        <w:rPr>
          <w:rFonts w:ascii="Arial" w:cs="Arial" w:eastAsia="Arial" w:hAnsi="Arial"/>
          <w:sz w:val="16"/>
          <w:szCs w:val="16"/>
          <w:color w:val="auto"/>
        </w:rPr>
        <w:t>The Board of Directors of the Corporation pursuant to Section 242 of the General Corporation Law duly adopted resolutions setting forth a proposed amendment to the Amended and Restated Certificate of Incorporation of the Corporation and declaring said amendment advisable. The stockholders of the Corporation duly approved and adopted said proposed amendment by written consent in accordance with Sections 228 and 242 of the General Corporation Law, and written notice of such consent has been given to all stockholders who have not consented in writing and who are entitled to such notice pursuant to Section 228(e) of the General Corporation Law. The resolutions setting forth the proposed amendment are as follows:</w:t>
      </w:r>
    </w:p>
    <w:p>
      <w:pPr>
        <w:spacing w:after="0" w:line="54" w:lineRule="exact"/>
        <w:rPr>
          <w:sz w:val="20"/>
          <w:szCs w:val="20"/>
          <w:color w:val="auto"/>
        </w:rPr>
      </w:pPr>
    </w:p>
    <w:p>
      <w:pPr>
        <w:ind w:right="400" w:firstLine="218"/>
        <w:spacing w:after="0" w:line="296"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4 of the Amended and Restated Certificate of Incorporation of the Corporation be amended and restated in its entirety to read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48" w:lineRule="exact"/>
        <w:rPr>
          <w:sz w:val="20"/>
          <w:szCs w:val="20"/>
          <w:color w:val="auto"/>
        </w:rPr>
      </w:pPr>
    </w:p>
    <w:p>
      <w:pPr>
        <w:ind w:left="620" w:hanging="179"/>
        <w:spacing w:after="0"/>
        <w:tabs>
          <w:tab w:leader="none" w:pos="620"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Capital Stock</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240" w:firstLine="429"/>
        <w:spacing w:after="0" w:line="267" w:lineRule="auto"/>
        <w:tabs>
          <w:tab w:leader="none" w:pos="841"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Reclassification</w:t>
      </w:r>
      <w:r>
        <w:rPr>
          <w:rFonts w:ascii="Arial" w:cs="Arial" w:eastAsia="Arial" w:hAnsi="Arial"/>
          <w:sz w:val="17"/>
          <w:szCs w:val="17"/>
          <w:color w:val="auto"/>
        </w:rPr>
        <w:t>. Effective upon the filing of this Certificate of Amendment of Amended and Restated Certificate of Incorporation with the Secretary of State of the State of Delaware, each issued share of the Corporation’s class A voting common stock, $0.01 par value per share (the “Class A Common Stock”), shall be reclassified and changed into one share of common stock, $0.001 par value per share (the “Common Stock”), automatically and without any action by the holder thereof.</w:t>
      </w:r>
    </w:p>
    <w:p>
      <w:pPr>
        <w:spacing w:after="0" w:line="72" w:lineRule="exact"/>
        <w:rPr>
          <w:rFonts w:ascii="Arial" w:cs="Arial" w:eastAsia="Arial" w:hAnsi="Arial"/>
          <w:sz w:val="17"/>
          <w:szCs w:val="17"/>
          <w:color w:val="auto"/>
        </w:rPr>
      </w:pPr>
    </w:p>
    <w:p>
      <w:pPr>
        <w:jc w:val="both"/>
        <w:ind w:left="240" w:right="60" w:firstLine="429"/>
        <w:spacing w:after="0" w:line="267" w:lineRule="auto"/>
        <w:tabs>
          <w:tab w:leader="none" w:pos="851"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Total Number of Shares of Stock</w:t>
      </w:r>
      <w:r>
        <w:rPr>
          <w:rFonts w:ascii="Arial" w:cs="Arial" w:eastAsia="Arial" w:hAnsi="Arial"/>
          <w:sz w:val="17"/>
          <w:szCs w:val="17"/>
          <w:color w:val="auto"/>
        </w:rPr>
        <w:t>. The total number of shares of capital stock of all classes that the Corporation shall have the authority to issue is One Hundred and Five Million (105,000,000) shares. The authorized capital stock is divided into (i) Three Million (3,000,000) shares of preferred stock, $0.001 par value per share (the “Preferred Stock”); (ii) One Hundred Million (100,000,000) shares of Common Stock; and (iii) Two Million (2,000,000) shares of class B non-voting common stock, $0.01 par value per share (the “Class B Common Stock”).</w:t>
      </w:r>
    </w:p>
    <w:p>
      <w:pPr>
        <w:spacing w:after="0" w:line="72" w:lineRule="exact"/>
        <w:rPr>
          <w:rFonts w:ascii="Arial" w:cs="Arial" w:eastAsia="Arial" w:hAnsi="Arial"/>
          <w:sz w:val="17"/>
          <w:szCs w:val="17"/>
          <w:color w:val="auto"/>
        </w:rPr>
      </w:pPr>
    </w:p>
    <w:p>
      <w:pPr>
        <w:ind w:left="240" w:right="200" w:firstLine="429"/>
        <w:spacing w:after="0" w:line="289" w:lineRule="auto"/>
        <w:tabs>
          <w:tab w:leader="none" w:pos="841"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Preferred Stock may be issued from time to time in one or more series, each of such series to have such terms as stated or expressed herein and in the resolution or resolutions providing for the issue of such series adopted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346710</wp:posOffset>
            </wp:positionV>
            <wp:extent cx="7254875" cy="209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305" w:name="page306"/>
    <w:bookmarkEnd w:id="305"/>
    <w:p>
      <w:pPr>
        <w:ind w:right="160"/>
        <w:spacing w:after="0" w:line="289" w:lineRule="auto"/>
        <w:rPr>
          <w:sz w:val="20"/>
          <w:szCs w:val="20"/>
          <w:color w:val="auto"/>
        </w:rPr>
      </w:pPr>
      <w:r>
        <w:rPr>
          <w:rFonts w:ascii="Arial" w:cs="Arial" w:eastAsia="Arial" w:hAnsi="Arial"/>
          <w:sz w:val="17"/>
          <w:szCs w:val="17"/>
          <w:color w:val="auto"/>
        </w:rPr>
        <w:t>board of directors of the Corporation as hereinafter provided. Any shares of Preferred Stock that may be redeemed, purchased or acquired by the Corporation may be reissued except as otherwise provided by law.</w:t>
      </w:r>
    </w:p>
    <w:p>
      <w:pPr>
        <w:spacing w:after="0" w:line="53" w:lineRule="exact"/>
        <w:rPr>
          <w:sz w:val="20"/>
          <w:szCs w:val="20"/>
          <w:color w:val="auto"/>
        </w:rPr>
      </w:pPr>
    </w:p>
    <w:p>
      <w:pPr>
        <w:ind w:firstLine="209"/>
        <w:spacing w:after="0" w:line="302" w:lineRule="auto"/>
        <w:rPr>
          <w:sz w:val="20"/>
          <w:szCs w:val="20"/>
          <w:color w:val="auto"/>
        </w:rPr>
      </w:pPr>
      <w:r>
        <w:rPr>
          <w:rFonts w:ascii="Arial" w:cs="Arial" w:eastAsia="Arial" w:hAnsi="Arial"/>
          <w:sz w:val="15"/>
          <w:szCs w:val="15"/>
          <w:color w:val="auto"/>
        </w:rPr>
        <w:t>Authority is hereby expressly granted to the board of directors of the Corporation from time to time to issue the Preferred Stock in one or more series, and in connection with the creation of any such series, by resolution or resolutions providing for the issuance of the shares thereof,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General Corporation Law of the State of Delaware. Without limiting the generality of the foregoing, the resolutions providing for issuance of any series of Preferred Stock may provide that such series shall be superior or rank equally or be junior to the Preferred Stock of any other series to the extent permitted by law.</w:t>
      </w:r>
    </w:p>
    <w:p>
      <w:pPr>
        <w:spacing w:after="0" w:line="52" w:lineRule="exact"/>
        <w:rPr>
          <w:sz w:val="20"/>
          <w:szCs w:val="20"/>
          <w:color w:val="auto"/>
        </w:rPr>
      </w:pPr>
    </w:p>
    <w:p>
      <w:pPr>
        <w:ind w:right="20" w:firstLine="215"/>
        <w:spacing w:after="0" w:line="273" w:lineRule="auto"/>
        <w:rPr>
          <w:sz w:val="20"/>
          <w:szCs w:val="20"/>
          <w:color w:val="auto"/>
        </w:rPr>
      </w:pPr>
      <w:r>
        <w:rPr>
          <w:rFonts w:ascii="Arial" w:cs="Arial" w:eastAsia="Arial" w:hAnsi="Arial"/>
          <w:sz w:val="17"/>
          <w:szCs w:val="17"/>
          <w:color w:val="auto"/>
        </w:rPr>
        <w:t>The number of authorized shares of Preferred Stock may be increased or decreased (but not below the number of shares then outstanding) by the affirmative vote of the holders of capital stock representing a majority of the votes entitled to be cast irrespective of the provisions of Section 242(b)(2) of the General Corporation Law of the State of Delaware.</w:t>
      </w:r>
    </w:p>
    <w:p>
      <w:pPr>
        <w:spacing w:after="0" w:line="66" w:lineRule="exact"/>
        <w:rPr>
          <w:sz w:val="20"/>
          <w:szCs w:val="20"/>
          <w:color w:val="auto"/>
        </w:rPr>
      </w:pPr>
    </w:p>
    <w:p>
      <w:pPr>
        <w:jc w:val="both"/>
        <w:ind w:right="100" w:firstLine="436"/>
        <w:spacing w:after="0" w:line="273"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Common Stock</w:t>
      </w:r>
      <w:r>
        <w:rPr>
          <w:rFonts w:ascii="Arial" w:cs="Arial" w:eastAsia="Arial" w:hAnsi="Arial"/>
          <w:sz w:val="17"/>
          <w:szCs w:val="17"/>
          <w:color w:val="auto"/>
        </w:rPr>
        <w:t>. Each holder of Common Stock shall be entitled to one (1) vote for each share of Common Stock held of record by such holder on all matters, and in such manner, as may be provided by law. Each holder of Common Stock shall be entitled to notice of any stockholders’ meeting in accordance with the by-laws of the Corporation.</w:t>
      </w:r>
    </w:p>
    <w:p>
      <w:pPr>
        <w:spacing w:after="0" w:line="66" w:lineRule="exact"/>
        <w:rPr>
          <w:sz w:val="20"/>
          <w:szCs w:val="20"/>
          <w:color w:val="auto"/>
        </w:rPr>
      </w:pPr>
    </w:p>
    <w:p>
      <w:pPr>
        <w:jc w:val="both"/>
        <w:ind w:right="120" w:firstLine="436"/>
        <w:spacing w:after="0" w:line="273"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No holder of shares of Class B Common Stock shall be entitled to vote any of the shares of Class B Common Stock so held, nor shall such holders be entitled to notice of any meeting of the Corporation’s stockholders convened in accordance with the Corporation’s bylaws, except as otherwise required by law.</w:t>
      </w:r>
    </w:p>
    <w:p>
      <w:pPr>
        <w:spacing w:after="0" w:line="66" w:lineRule="exact"/>
        <w:rPr>
          <w:sz w:val="20"/>
          <w:szCs w:val="20"/>
          <w:color w:val="auto"/>
        </w:rPr>
      </w:pPr>
    </w:p>
    <w:p>
      <w:pPr>
        <w:ind w:left="580" w:hanging="151"/>
        <w:spacing w:after="0"/>
        <w:tabs>
          <w:tab w:leader="none" w:pos="580"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1000" w:right="20" w:hanging="332"/>
        <w:spacing w:after="0" w:line="297" w:lineRule="auto"/>
        <w:tabs>
          <w:tab w:leader="none" w:pos="100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Common Stock is not convertible. Each share of Class B Common Stock shall automatically convert into one (1) share of Common Stock, without any action by the Corporation or further action by the holder thereof, immediately prior to the closing of the first underwritten sale of the Corporation’s securities pursuant to an effective registration statement under the Securities Act of 1933, as amended.</w:t>
      </w:r>
    </w:p>
    <w:p>
      <w:pPr>
        <w:spacing w:after="0" w:line="63" w:lineRule="exact"/>
        <w:rPr>
          <w:rFonts w:ascii="Arial" w:cs="Arial" w:eastAsia="Arial" w:hAnsi="Arial"/>
          <w:sz w:val="16"/>
          <w:szCs w:val="16"/>
          <w:color w:val="auto"/>
        </w:rPr>
      </w:pPr>
    </w:p>
    <w:p>
      <w:pPr>
        <w:ind w:left="1000" w:hanging="332"/>
        <w:spacing w:after="0" w:line="289" w:lineRule="auto"/>
        <w:tabs>
          <w:tab w:leader="none" w:pos="1000" w:val="left"/>
        </w:tabs>
        <w:numPr>
          <w:ilvl w:val="1"/>
          <w:numId w:val="235"/>
        </w:numPr>
        <w:rPr>
          <w:rFonts w:ascii="Arial" w:cs="Arial" w:eastAsia="Arial" w:hAnsi="Arial"/>
          <w:sz w:val="17"/>
          <w:szCs w:val="17"/>
          <w:color w:val="auto"/>
        </w:rPr>
      </w:pPr>
      <w:r>
        <w:rPr>
          <w:rFonts w:ascii="Arial" w:cs="Arial" w:eastAsia="Arial" w:hAnsi="Arial"/>
          <w:sz w:val="17"/>
          <w:szCs w:val="17"/>
          <w:color w:val="auto"/>
        </w:rPr>
        <w:t>In the case of a conversion as a result of the occurrence of the event described in Section 4(f)(i) above, such conversion shall be deemed effective at the time immediately prior to the closing of</w:t>
      </w:r>
    </w:p>
    <w:p>
      <w:pPr>
        <w:spacing w:after="0" w:line="132"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147320</wp:posOffset>
            </wp:positionV>
            <wp:extent cx="7254875"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40"/>
          </w:cols>
          <w:pgMar w:left="480" w:top="913" w:right="279" w:bottom="1440" w:gutter="0" w:footer="0" w:header="0"/>
        </w:sectPr>
      </w:pPr>
    </w:p>
    <w:bookmarkStart w:id="306" w:name="page307"/>
    <w:bookmarkEnd w:id="306"/>
    <w:p>
      <w:pPr>
        <w:ind w:left="1280"/>
        <w:spacing w:after="0"/>
        <w:rPr>
          <w:sz w:val="20"/>
          <w:szCs w:val="20"/>
          <w:color w:val="auto"/>
        </w:rPr>
      </w:pPr>
      <w:r>
        <w:rPr>
          <w:rFonts w:ascii="Arial" w:cs="Arial" w:eastAsia="Arial" w:hAnsi="Arial"/>
          <w:sz w:val="17"/>
          <w:szCs w:val="17"/>
          <w:color w:val="auto"/>
        </w:rPr>
        <w:t>the underwritten sale of securities pursuant to such registration statement.</w:t>
      </w:r>
    </w:p>
    <w:p>
      <w:pPr>
        <w:spacing w:after="0" w:line="132" w:lineRule="exact"/>
        <w:rPr>
          <w:sz w:val="20"/>
          <w:szCs w:val="20"/>
          <w:color w:val="auto"/>
        </w:rPr>
      </w:pPr>
    </w:p>
    <w:p>
      <w:pPr>
        <w:ind w:left="1280" w:hanging="372"/>
        <w:spacing w:after="0" w:line="273" w:lineRule="auto"/>
        <w:tabs>
          <w:tab w:leader="none" w:pos="128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Following a conversion pursuant to this Section 4(f), the Class B Common Stock shall be eliminated, and the Corporation shall from time to time take such appropriate action as may be necessary to prohibit the reissuance thereof in accordance with the General Corporation Law of the State of Delaware.</w:t>
      </w:r>
    </w:p>
    <w:p>
      <w:pPr>
        <w:spacing w:after="0" w:line="79" w:lineRule="exact"/>
        <w:rPr>
          <w:rFonts w:ascii="Arial" w:cs="Arial" w:eastAsia="Arial" w:hAnsi="Arial"/>
          <w:sz w:val="17"/>
          <w:szCs w:val="17"/>
          <w:color w:val="auto"/>
        </w:rPr>
      </w:pPr>
    </w:p>
    <w:p>
      <w:pPr>
        <w:ind w:left="1280" w:right="160" w:hanging="372"/>
        <w:spacing w:after="0" w:line="289" w:lineRule="auto"/>
        <w:tabs>
          <w:tab w:leader="none" w:pos="128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The Corporation shall reserve and at all times keep available out of its authorized but unissued shares of Common Stock a sufficient number of shares of Common Stock to satisfy the conversion requirements contemplated by this Section 4(f).</w:t>
      </w:r>
    </w:p>
    <w:p>
      <w:pPr>
        <w:spacing w:after="0" w:line="53" w:lineRule="exact"/>
        <w:rPr>
          <w:rFonts w:ascii="Arial" w:cs="Arial" w:eastAsia="Arial" w:hAnsi="Arial"/>
          <w:sz w:val="17"/>
          <w:szCs w:val="17"/>
          <w:color w:val="auto"/>
        </w:rPr>
      </w:pPr>
    </w:p>
    <w:p>
      <w:pPr>
        <w:ind w:left="240" w:right="320" w:firstLine="429"/>
        <w:spacing w:after="0" w:line="273" w:lineRule="auto"/>
        <w:tabs>
          <w:tab w:leader="none" w:pos="851"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Dividend Rights</w:t>
      </w:r>
      <w:r>
        <w:rPr>
          <w:rFonts w:ascii="Arial" w:cs="Arial" w:eastAsia="Arial" w:hAnsi="Arial"/>
          <w:sz w:val="17"/>
          <w:szCs w:val="17"/>
          <w:color w:val="auto"/>
        </w:rPr>
        <w:t>. Holders of Common Stock and Class B Common Stock shall be entitled to receive ratably dividends payable in cash, in stock or otherwise, as and when declared by the board of directors of the Corporation out of assets legally available therefor, subject to any preferential rights of any outstanding Preferred Stock.</w:t>
      </w:r>
    </w:p>
    <w:p>
      <w:pPr>
        <w:spacing w:after="0" w:line="66" w:lineRule="exact"/>
        <w:rPr>
          <w:rFonts w:ascii="Arial" w:cs="Arial" w:eastAsia="Arial" w:hAnsi="Arial"/>
          <w:sz w:val="17"/>
          <w:szCs w:val="17"/>
          <w:color w:val="auto"/>
        </w:rPr>
      </w:pPr>
    </w:p>
    <w:p>
      <w:pPr>
        <w:jc w:val="both"/>
        <w:ind w:left="240" w:right="20" w:firstLine="429"/>
        <w:spacing w:after="0" w:line="273" w:lineRule="auto"/>
        <w:tabs>
          <w:tab w:leader="none" w:pos="851"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Other Rights</w:t>
      </w:r>
      <w:r>
        <w:rPr>
          <w:rFonts w:ascii="Arial" w:cs="Arial" w:eastAsia="Arial" w:hAnsi="Arial"/>
          <w:sz w:val="17"/>
          <w:szCs w:val="17"/>
          <w:color w:val="auto"/>
        </w:rPr>
        <w:t>. Upon liquidation, dissolution or winding up of the Corporation, after payment in full of the amounts required to be paid to the holders of any outstanding Preferred Stock, all holders of Common Stock and Class B Common Stock are entitled to receive ratably any assets available for distribution to holders thereof after the payment of all debts and other liabilities of the Corporation.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w:t>
      </w:r>
    </w:p>
    <w:p>
      <w:pPr>
        <w:spacing w:after="0" w:line="113" w:lineRule="exact"/>
        <w:rPr>
          <w:sz w:val="20"/>
          <w:szCs w:val="20"/>
          <w:color w:val="auto"/>
        </w:rPr>
      </w:pPr>
    </w:p>
    <w:p>
      <w:pPr>
        <w:jc w:val="both"/>
        <w:ind w:right="20" w:firstLine="218"/>
        <w:spacing w:after="0" w:line="276"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from and after the filing of this Certificate of Amendment of Amended and Restated Certificate of Incorporation with the Secretary of State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State of Delaware, each reference in the Amended and Restated Certificate of Incorporation of the Corporation to “Class A Common Stock” shall be deemed to be a reference to “Common Stock.”</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307" w:name="page308"/>
    <w:bookmarkEnd w:id="307"/>
    <w:p>
      <w:pPr>
        <w:ind w:firstLine="218"/>
        <w:spacing w:after="0" w:line="289" w:lineRule="auto"/>
        <w:rPr>
          <w:sz w:val="20"/>
          <w:szCs w:val="20"/>
          <w:color w:val="auto"/>
        </w:rPr>
      </w:pPr>
      <w:r>
        <w:rPr>
          <w:rFonts w:ascii="Arial" w:cs="Arial" w:eastAsia="Arial" w:hAnsi="Arial"/>
          <w:sz w:val="17"/>
          <w:szCs w:val="17"/>
          <w:color w:val="auto"/>
        </w:rPr>
        <w:t>IN WITNESS WHEREOF, this Certificate of Amendment, which has been duly adopted in accordance with Sections 228 and 242 of the General Corporation Law, has been executed by a duly authorized officer of the Corporation this 27th day of October, 2006.</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EMERGENT BIOSOLUTIONS INC.</w:t>
      </w:r>
    </w:p>
    <w:p>
      <w:pPr>
        <w:spacing w:after="0" w:line="224"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By: /s/ Fuad El-Hibri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16510</wp:posOffset>
            </wp:positionV>
            <wp:extent cx="276034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7"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Name: Fuad El-Hibri</w:t>
      </w:r>
    </w:p>
    <w:p>
      <w:pPr>
        <w:spacing w:after="0" w:line="26"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7"/>
          <w:szCs w:val="17"/>
          <w:color w:val="auto"/>
        </w:rPr>
        <w:t>Title:</w:t>
        <w:tab/>
        <w:t>President and Chief Executive Officer</w:t>
      </w:r>
    </w:p>
    <w:p>
      <w:pPr>
        <w:sectPr>
          <w:pgSz w:w="11900" w:h="16838" w:orient="portrait"/>
          <w:cols w:equalWidth="0" w:num="1">
            <w:col w:w="11240"/>
          </w:cols>
          <w:pgMar w:left="240" w:top="913" w:right="419" w:bottom="1440" w:gutter="0" w:footer="0" w:header="0"/>
        </w:sectPr>
      </w:pPr>
    </w:p>
    <w:bookmarkStart w:id="308" w:name="page309"/>
    <w:bookmarkEnd w:id="308"/>
    <w:p>
      <w:pPr>
        <w:jc w:val="right"/>
        <w:spacing w:after="0"/>
        <w:rPr>
          <w:sz w:val="20"/>
          <w:szCs w:val="20"/>
          <w:color w:val="auto"/>
        </w:rPr>
      </w:pPr>
      <w:r>
        <w:rPr>
          <w:rFonts w:ascii="Arial" w:cs="Arial" w:eastAsia="Arial" w:hAnsi="Arial"/>
          <w:sz w:val="17"/>
          <w:szCs w:val="17"/>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25400</wp:posOffset>
            </wp:positionV>
            <wp:extent cx="7250430" cy="247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476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58420</wp:posOffset>
            </wp:positionV>
            <wp:extent cx="72504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81"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RIGHTS AGREEMENT</w:t>
      </w:r>
    </w:p>
    <w:p>
      <w:pPr>
        <w:spacing w:after="0" w:line="119"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between</w:t>
      </w:r>
    </w:p>
    <w:p>
      <w:pPr>
        <w:spacing w:after="0" w:line="119"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EMERGENT BIOSOLUTIONS INC.</w:t>
      </w:r>
    </w:p>
    <w:p>
      <w:pPr>
        <w:spacing w:after="0" w:line="119"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and</w:t>
      </w:r>
    </w:p>
    <w:p>
      <w:pPr>
        <w:spacing w:after="0" w:line="119"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AMERICAN STOCK TRANSFER &amp; TRUST COMPANY,</w:t>
      </w:r>
    </w:p>
    <w:p>
      <w:pPr>
        <w:spacing w:after="0" w:line="119"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as Rights Agent</w:t>
      </w:r>
    </w:p>
    <w:p>
      <w:pPr>
        <w:spacing w:after="0" w:line="119" w:lineRule="exact"/>
        <w:rPr>
          <w:sz w:val="20"/>
          <w:szCs w:val="20"/>
          <w:color w:val="auto"/>
        </w:rPr>
      </w:pPr>
    </w:p>
    <w:p>
      <w:pPr>
        <w:ind w:left="3620"/>
        <w:spacing w:after="0"/>
        <w:tabs>
          <w:tab w:leader="none" w:pos="4960" w:val="left"/>
        </w:tabs>
        <w:rPr>
          <w:sz w:val="20"/>
          <w:szCs w:val="20"/>
          <w:color w:val="auto"/>
        </w:rPr>
      </w:pPr>
      <w:r>
        <w:rPr>
          <w:rFonts w:ascii="Arial" w:cs="Arial" w:eastAsia="Arial" w:hAnsi="Arial"/>
          <w:sz w:val="17"/>
          <w:szCs w:val="17"/>
          <w:b w:val="1"/>
          <w:bCs w:val="1"/>
          <w:color w:val="auto"/>
        </w:rPr>
        <w:t>Dated</w:t>
      </w:r>
      <w:r>
        <w:rPr>
          <w:sz w:val="20"/>
          <w:szCs w:val="20"/>
          <w:color w:val="auto"/>
        </w:rPr>
        <w:tab/>
      </w:r>
      <w:r>
        <w:rPr>
          <w:rFonts w:ascii="Arial" w:cs="Arial" w:eastAsia="Arial" w:hAnsi="Arial"/>
          <w:sz w:val="17"/>
          <w:szCs w:val="17"/>
          <w:b w:val="1"/>
          <w:bCs w:val="1"/>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145415</wp:posOffset>
            </wp:positionV>
            <wp:extent cx="725043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161925</wp:posOffset>
            </wp:positionV>
            <wp:extent cx="7250430" cy="247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476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558800</wp:posOffset>
            </wp:positionV>
            <wp:extent cx="7254875"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-3810</wp:posOffset>
            </wp:positionV>
            <wp:extent cx="5543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ectPr>
          <w:pgSz w:w="11900" w:h="16838" w:orient="portrait"/>
          <w:cols w:equalWidth="0" w:num="1">
            <w:col w:w="10220"/>
          </w:cols>
          <w:pgMar w:left="1440" w:top="913" w:right="23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9580" w:type="dxa"/>
            <w:vAlign w:val="bottom"/>
          </w:tcPr>
          <w:p>
            <w:pPr>
              <w:ind w:left="3880"/>
              <w:spacing w:after="0"/>
              <w:rPr>
                <w:sz w:val="20"/>
                <w:szCs w:val="20"/>
                <w:color w:val="auto"/>
              </w:rPr>
            </w:pPr>
            <w:r>
              <w:rPr>
                <w:rFonts w:ascii="Arial" w:cs="Arial" w:eastAsia="Arial" w:hAnsi="Arial"/>
                <w:sz w:val="17"/>
                <w:szCs w:val="17"/>
                <w:b w:val="1"/>
                <w:bCs w:val="1"/>
                <w:color w:val="auto"/>
              </w:rPr>
              <w:t>Table of Contents</w:t>
            </w:r>
          </w:p>
        </w:tc>
        <w:tc>
          <w:tcPr>
            <w:tcW w:w="660" w:type="dxa"/>
            <w:vAlign w:val="bottom"/>
          </w:tcPr>
          <w:p>
            <w:pPr>
              <w:spacing w:after="0"/>
              <w:rPr>
                <w:sz w:val="19"/>
                <w:szCs w:val="19"/>
                <w:color w:val="auto"/>
              </w:rPr>
            </w:pP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w:t>
            </w:r>
          </w:p>
        </w:tc>
        <w:tc>
          <w:tcPr>
            <w:tcW w:w="9580" w:type="dxa"/>
            <w:vAlign w:val="bottom"/>
          </w:tcPr>
          <w:p>
            <w:pPr>
              <w:ind w:left="400"/>
              <w:spacing w:after="0"/>
              <w:rPr>
                <w:sz w:val="20"/>
                <w:szCs w:val="20"/>
                <w:color w:val="auto"/>
              </w:rPr>
            </w:pPr>
            <w:r>
              <w:rPr>
                <w:rFonts w:ascii="Arial" w:cs="Arial" w:eastAsia="Arial" w:hAnsi="Arial"/>
                <w:sz w:val="17"/>
                <w:szCs w:val="17"/>
                <w:color w:val="auto"/>
              </w:rPr>
              <w:t>Certain Definitions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2</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w:t>
            </w:r>
          </w:p>
        </w:tc>
        <w:tc>
          <w:tcPr>
            <w:tcW w:w="9580" w:type="dxa"/>
            <w:vAlign w:val="bottom"/>
          </w:tcPr>
          <w:p>
            <w:pPr>
              <w:ind w:left="400"/>
              <w:spacing w:after="0"/>
              <w:rPr>
                <w:sz w:val="20"/>
                <w:szCs w:val="20"/>
                <w:color w:val="auto"/>
              </w:rPr>
            </w:pPr>
            <w:r>
              <w:rPr>
                <w:rFonts w:ascii="Arial" w:cs="Arial" w:eastAsia="Arial" w:hAnsi="Arial"/>
                <w:sz w:val="17"/>
                <w:szCs w:val="17"/>
                <w:color w:val="auto"/>
              </w:rPr>
              <w:t>Appointment of Rights Agent</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7</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3.</w:t>
            </w:r>
          </w:p>
        </w:tc>
        <w:tc>
          <w:tcPr>
            <w:tcW w:w="9580" w:type="dxa"/>
            <w:vAlign w:val="bottom"/>
          </w:tcPr>
          <w:p>
            <w:pPr>
              <w:ind w:left="400"/>
              <w:spacing w:after="0"/>
              <w:rPr>
                <w:sz w:val="20"/>
                <w:szCs w:val="20"/>
                <w:color w:val="auto"/>
              </w:rPr>
            </w:pPr>
            <w:r>
              <w:rPr>
                <w:rFonts w:ascii="Arial" w:cs="Arial" w:eastAsia="Arial" w:hAnsi="Arial"/>
                <w:sz w:val="17"/>
                <w:szCs w:val="17"/>
                <w:color w:val="auto"/>
              </w:rPr>
              <w:t>Issuance of Rights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7</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4.</w:t>
            </w:r>
          </w:p>
        </w:tc>
        <w:tc>
          <w:tcPr>
            <w:tcW w:w="9580" w:type="dxa"/>
            <w:vAlign w:val="bottom"/>
          </w:tcPr>
          <w:p>
            <w:pPr>
              <w:ind w:left="400"/>
              <w:spacing w:after="0"/>
              <w:rPr>
                <w:sz w:val="20"/>
                <w:szCs w:val="20"/>
                <w:color w:val="auto"/>
              </w:rPr>
            </w:pPr>
            <w:r>
              <w:rPr>
                <w:rFonts w:ascii="Arial" w:cs="Arial" w:eastAsia="Arial" w:hAnsi="Arial"/>
                <w:sz w:val="17"/>
                <w:szCs w:val="17"/>
                <w:color w:val="auto"/>
              </w:rPr>
              <w:t>Form of Rights Certificates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9</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5.</w:t>
            </w:r>
          </w:p>
        </w:tc>
        <w:tc>
          <w:tcPr>
            <w:tcW w:w="9580" w:type="dxa"/>
            <w:vAlign w:val="bottom"/>
          </w:tcPr>
          <w:p>
            <w:pPr>
              <w:ind w:left="400"/>
              <w:spacing w:after="0"/>
              <w:rPr>
                <w:sz w:val="20"/>
                <w:szCs w:val="20"/>
                <w:color w:val="auto"/>
              </w:rPr>
            </w:pPr>
            <w:r>
              <w:rPr>
                <w:rFonts w:ascii="Arial" w:cs="Arial" w:eastAsia="Arial" w:hAnsi="Arial"/>
                <w:sz w:val="17"/>
                <w:szCs w:val="17"/>
                <w:color w:val="auto"/>
              </w:rPr>
              <w:t>Countersignature and Registration</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10</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6.</w:t>
            </w:r>
          </w:p>
        </w:tc>
        <w:tc>
          <w:tcPr>
            <w:tcW w:w="9580" w:type="dxa"/>
            <w:vAlign w:val="bottom"/>
          </w:tcPr>
          <w:p>
            <w:pPr>
              <w:ind w:left="400"/>
              <w:spacing w:after="0"/>
              <w:rPr>
                <w:sz w:val="20"/>
                <w:szCs w:val="20"/>
                <w:color w:val="auto"/>
              </w:rPr>
            </w:pPr>
            <w:r>
              <w:rPr>
                <w:rFonts w:ascii="Arial" w:cs="Arial" w:eastAsia="Arial" w:hAnsi="Arial"/>
                <w:sz w:val="17"/>
                <w:szCs w:val="17"/>
                <w:color w:val="auto"/>
                <w:w w:val="98"/>
              </w:rPr>
              <w:t>Transfer, Split Up, Combination and Exchange of Rights Certificates; Mutilated, Destroyed, Lost or Stolen Rights Certificates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11</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7.</w:t>
            </w:r>
          </w:p>
        </w:tc>
        <w:tc>
          <w:tcPr>
            <w:tcW w:w="9580" w:type="dxa"/>
            <w:vAlign w:val="bottom"/>
          </w:tcPr>
          <w:p>
            <w:pPr>
              <w:ind w:left="400"/>
              <w:spacing w:after="0"/>
              <w:rPr>
                <w:sz w:val="20"/>
                <w:szCs w:val="20"/>
                <w:color w:val="auto"/>
              </w:rPr>
            </w:pPr>
            <w:r>
              <w:rPr>
                <w:rFonts w:ascii="Arial" w:cs="Arial" w:eastAsia="Arial" w:hAnsi="Arial"/>
                <w:sz w:val="17"/>
                <w:szCs w:val="17"/>
                <w:color w:val="auto"/>
              </w:rPr>
              <w:t>Exercise of Rights; Purchase Price; Expiration Date of Rights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12</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8.</w:t>
            </w:r>
          </w:p>
        </w:tc>
        <w:tc>
          <w:tcPr>
            <w:tcW w:w="9580" w:type="dxa"/>
            <w:vAlign w:val="bottom"/>
          </w:tcPr>
          <w:p>
            <w:pPr>
              <w:ind w:left="400"/>
              <w:spacing w:after="0"/>
              <w:rPr>
                <w:sz w:val="20"/>
                <w:szCs w:val="20"/>
                <w:color w:val="auto"/>
              </w:rPr>
            </w:pPr>
            <w:r>
              <w:rPr>
                <w:rFonts w:ascii="Arial" w:cs="Arial" w:eastAsia="Arial" w:hAnsi="Arial"/>
                <w:sz w:val="17"/>
                <w:szCs w:val="17"/>
                <w:color w:val="auto"/>
              </w:rPr>
              <w:t>Cancellation and Destruction of Rights Certificates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14</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9.</w:t>
            </w:r>
          </w:p>
        </w:tc>
        <w:tc>
          <w:tcPr>
            <w:tcW w:w="9580" w:type="dxa"/>
            <w:vAlign w:val="bottom"/>
          </w:tcPr>
          <w:p>
            <w:pPr>
              <w:ind w:left="400"/>
              <w:spacing w:after="0"/>
              <w:rPr>
                <w:sz w:val="20"/>
                <w:szCs w:val="20"/>
                <w:color w:val="auto"/>
              </w:rPr>
            </w:pPr>
            <w:r>
              <w:rPr>
                <w:rFonts w:ascii="Arial" w:cs="Arial" w:eastAsia="Arial" w:hAnsi="Arial"/>
                <w:sz w:val="17"/>
                <w:szCs w:val="17"/>
                <w:color w:val="auto"/>
              </w:rPr>
              <w:t>Reservation and Availability of Capital Stock</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14</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10.</w:t>
            </w:r>
          </w:p>
        </w:tc>
        <w:tc>
          <w:tcPr>
            <w:tcW w:w="9580" w:type="dxa"/>
            <w:vAlign w:val="bottom"/>
          </w:tcPr>
          <w:p>
            <w:pPr>
              <w:ind w:left="400"/>
              <w:spacing w:after="0"/>
              <w:rPr>
                <w:sz w:val="20"/>
                <w:szCs w:val="20"/>
                <w:color w:val="auto"/>
              </w:rPr>
            </w:pPr>
            <w:r>
              <w:rPr>
                <w:rFonts w:ascii="Arial" w:cs="Arial" w:eastAsia="Arial" w:hAnsi="Arial"/>
                <w:sz w:val="17"/>
                <w:szCs w:val="17"/>
                <w:color w:val="auto"/>
              </w:rPr>
              <w:t>Preferred Stock Record Date</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15</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11.</w:t>
            </w:r>
          </w:p>
        </w:tc>
        <w:tc>
          <w:tcPr>
            <w:tcW w:w="9580" w:type="dxa"/>
            <w:vAlign w:val="bottom"/>
          </w:tcPr>
          <w:p>
            <w:pPr>
              <w:ind w:left="400"/>
              <w:spacing w:after="0"/>
              <w:rPr>
                <w:sz w:val="20"/>
                <w:szCs w:val="20"/>
                <w:color w:val="auto"/>
              </w:rPr>
            </w:pPr>
            <w:r>
              <w:rPr>
                <w:rFonts w:ascii="Arial" w:cs="Arial" w:eastAsia="Arial" w:hAnsi="Arial"/>
                <w:sz w:val="17"/>
                <w:szCs w:val="17"/>
                <w:color w:val="auto"/>
              </w:rPr>
              <w:t>Adjustment of Purchase Price, Number and Kind of Shares or Number of Rights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16</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12.</w:t>
            </w:r>
          </w:p>
        </w:tc>
        <w:tc>
          <w:tcPr>
            <w:tcW w:w="9580" w:type="dxa"/>
            <w:vAlign w:val="bottom"/>
          </w:tcPr>
          <w:p>
            <w:pPr>
              <w:ind w:left="400"/>
              <w:spacing w:after="0"/>
              <w:rPr>
                <w:sz w:val="20"/>
                <w:szCs w:val="20"/>
                <w:color w:val="auto"/>
              </w:rPr>
            </w:pPr>
            <w:r>
              <w:rPr>
                <w:rFonts w:ascii="Arial" w:cs="Arial" w:eastAsia="Arial" w:hAnsi="Arial"/>
                <w:sz w:val="17"/>
                <w:szCs w:val="17"/>
                <w:color w:val="auto"/>
              </w:rPr>
              <w:t>Certificate of Adjusted Purchase Price or Number of Shares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23</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13.</w:t>
            </w:r>
          </w:p>
        </w:tc>
        <w:tc>
          <w:tcPr>
            <w:tcW w:w="9580" w:type="dxa"/>
            <w:vAlign w:val="bottom"/>
          </w:tcPr>
          <w:p>
            <w:pPr>
              <w:ind w:left="400"/>
              <w:spacing w:after="0"/>
              <w:rPr>
                <w:sz w:val="20"/>
                <w:szCs w:val="20"/>
                <w:color w:val="auto"/>
              </w:rPr>
            </w:pPr>
            <w:r>
              <w:rPr>
                <w:rFonts w:ascii="Arial" w:cs="Arial" w:eastAsia="Arial" w:hAnsi="Arial"/>
                <w:sz w:val="17"/>
                <w:szCs w:val="17"/>
                <w:color w:val="auto"/>
              </w:rPr>
              <w:t>Consolidation, Merger or Sale or Transfer of Assets or Earning Power</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23</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14.</w:t>
            </w:r>
          </w:p>
        </w:tc>
        <w:tc>
          <w:tcPr>
            <w:tcW w:w="9580" w:type="dxa"/>
            <w:vAlign w:val="bottom"/>
          </w:tcPr>
          <w:p>
            <w:pPr>
              <w:ind w:left="400"/>
              <w:spacing w:after="0"/>
              <w:rPr>
                <w:sz w:val="20"/>
                <w:szCs w:val="20"/>
                <w:color w:val="auto"/>
              </w:rPr>
            </w:pPr>
            <w:r>
              <w:rPr>
                <w:rFonts w:ascii="Arial" w:cs="Arial" w:eastAsia="Arial" w:hAnsi="Arial"/>
                <w:sz w:val="17"/>
                <w:szCs w:val="17"/>
                <w:color w:val="auto"/>
              </w:rPr>
              <w:t>Fractional Rights and Fractional Shares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26</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15.</w:t>
            </w:r>
          </w:p>
        </w:tc>
        <w:tc>
          <w:tcPr>
            <w:tcW w:w="9580" w:type="dxa"/>
            <w:vAlign w:val="bottom"/>
          </w:tcPr>
          <w:p>
            <w:pPr>
              <w:ind w:left="400"/>
              <w:spacing w:after="0"/>
              <w:rPr>
                <w:sz w:val="20"/>
                <w:szCs w:val="20"/>
                <w:color w:val="auto"/>
              </w:rPr>
            </w:pPr>
            <w:r>
              <w:rPr>
                <w:rFonts w:ascii="Arial" w:cs="Arial" w:eastAsia="Arial" w:hAnsi="Arial"/>
                <w:sz w:val="17"/>
                <w:szCs w:val="17"/>
                <w:color w:val="auto"/>
              </w:rPr>
              <w:t>Rights of Action</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27</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16.</w:t>
            </w:r>
          </w:p>
        </w:tc>
        <w:tc>
          <w:tcPr>
            <w:tcW w:w="9580" w:type="dxa"/>
            <w:vAlign w:val="bottom"/>
          </w:tcPr>
          <w:p>
            <w:pPr>
              <w:ind w:left="400"/>
              <w:spacing w:after="0"/>
              <w:rPr>
                <w:sz w:val="20"/>
                <w:szCs w:val="20"/>
                <w:color w:val="auto"/>
              </w:rPr>
            </w:pPr>
            <w:r>
              <w:rPr>
                <w:rFonts w:ascii="Arial" w:cs="Arial" w:eastAsia="Arial" w:hAnsi="Arial"/>
                <w:sz w:val="17"/>
                <w:szCs w:val="17"/>
                <w:color w:val="auto"/>
              </w:rPr>
              <w:t>Agreement of Rights Holders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27</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17.</w:t>
            </w:r>
          </w:p>
        </w:tc>
        <w:tc>
          <w:tcPr>
            <w:tcW w:w="9580" w:type="dxa"/>
            <w:vAlign w:val="bottom"/>
          </w:tcPr>
          <w:p>
            <w:pPr>
              <w:ind w:left="400"/>
              <w:spacing w:after="0"/>
              <w:rPr>
                <w:sz w:val="20"/>
                <w:szCs w:val="20"/>
                <w:color w:val="auto"/>
              </w:rPr>
            </w:pPr>
            <w:r>
              <w:rPr>
                <w:rFonts w:ascii="Arial" w:cs="Arial" w:eastAsia="Arial" w:hAnsi="Arial"/>
                <w:sz w:val="17"/>
                <w:szCs w:val="17"/>
                <w:color w:val="auto"/>
              </w:rPr>
              <w:t>Rights Certificate Holder Not Deemed a Stockholder</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28</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18.</w:t>
            </w:r>
          </w:p>
        </w:tc>
        <w:tc>
          <w:tcPr>
            <w:tcW w:w="9580" w:type="dxa"/>
            <w:vAlign w:val="bottom"/>
          </w:tcPr>
          <w:p>
            <w:pPr>
              <w:ind w:left="400"/>
              <w:spacing w:after="0"/>
              <w:rPr>
                <w:sz w:val="20"/>
                <w:szCs w:val="20"/>
                <w:color w:val="auto"/>
              </w:rPr>
            </w:pPr>
            <w:r>
              <w:rPr>
                <w:rFonts w:ascii="Arial" w:cs="Arial" w:eastAsia="Arial" w:hAnsi="Arial"/>
                <w:sz w:val="17"/>
                <w:szCs w:val="17"/>
                <w:color w:val="auto"/>
              </w:rPr>
              <w:t>Concerning the Rights Agent</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28</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19.</w:t>
            </w:r>
          </w:p>
        </w:tc>
        <w:tc>
          <w:tcPr>
            <w:tcW w:w="9580" w:type="dxa"/>
            <w:vAlign w:val="bottom"/>
          </w:tcPr>
          <w:p>
            <w:pPr>
              <w:ind w:left="400"/>
              <w:spacing w:after="0"/>
              <w:rPr>
                <w:sz w:val="20"/>
                <w:szCs w:val="20"/>
                <w:color w:val="auto"/>
              </w:rPr>
            </w:pPr>
            <w:r>
              <w:rPr>
                <w:rFonts w:ascii="Arial" w:cs="Arial" w:eastAsia="Arial" w:hAnsi="Arial"/>
                <w:sz w:val="17"/>
                <w:szCs w:val="17"/>
                <w:color w:val="auto"/>
              </w:rPr>
              <w:t>Merger or Consolidation or Change of Name of Rights Agent</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29</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20.</w:t>
            </w:r>
          </w:p>
        </w:tc>
        <w:tc>
          <w:tcPr>
            <w:tcW w:w="9580" w:type="dxa"/>
            <w:vAlign w:val="bottom"/>
          </w:tcPr>
          <w:p>
            <w:pPr>
              <w:ind w:left="400"/>
              <w:spacing w:after="0"/>
              <w:rPr>
                <w:sz w:val="20"/>
                <w:szCs w:val="20"/>
                <w:color w:val="auto"/>
              </w:rPr>
            </w:pPr>
            <w:r>
              <w:rPr>
                <w:rFonts w:ascii="Arial" w:cs="Arial" w:eastAsia="Arial" w:hAnsi="Arial"/>
                <w:sz w:val="17"/>
                <w:szCs w:val="17"/>
                <w:color w:val="auto"/>
              </w:rPr>
              <w:t>Duties of Rights Agent</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30</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21.</w:t>
            </w:r>
          </w:p>
        </w:tc>
        <w:tc>
          <w:tcPr>
            <w:tcW w:w="9580" w:type="dxa"/>
            <w:vAlign w:val="bottom"/>
          </w:tcPr>
          <w:p>
            <w:pPr>
              <w:ind w:left="400"/>
              <w:spacing w:after="0"/>
              <w:rPr>
                <w:sz w:val="20"/>
                <w:szCs w:val="20"/>
                <w:color w:val="auto"/>
              </w:rPr>
            </w:pPr>
            <w:r>
              <w:rPr>
                <w:rFonts w:ascii="Arial" w:cs="Arial" w:eastAsia="Arial" w:hAnsi="Arial"/>
                <w:sz w:val="17"/>
                <w:szCs w:val="17"/>
                <w:color w:val="auto"/>
              </w:rPr>
              <w:t>Change of Rights Agent</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32</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22.</w:t>
            </w:r>
          </w:p>
        </w:tc>
        <w:tc>
          <w:tcPr>
            <w:tcW w:w="9580" w:type="dxa"/>
            <w:vAlign w:val="bottom"/>
          </w:tcPr>
          <w:p>
            <w:pPr>
              <w:ind w:left="400"/>
              <w:spacing w:after="0"/>
              <w:rPr>
                <w:sz w:val="20"/>
                <w:szCs w:val="20"/>
                <w:color w:val="auto"/>
              </w:rPr>
            </w:pPr>
            <w:r>
              <w:rPr>
                <w:rFonts w:ascii="Arial" w:cs="Arial" w:eastAsia="Arial" w:hAnsi="Arial"/>
                <w:sz w:val="17"/>
                <w:szCs w:val="17"/>
                <w:color w:val="auto"/>
              </w:rPr>
              <w:t>Issuance of New Rights Certificates</w:t>
            </w: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32</w:t>
            </w:r>
          </w:p>
        </w:tc>
      </w:tr>
      <w:tr>
        <w:trPr>
          <w:trHeight w:val="393"/>
        </w:trPr>
        <w:tc>
          <w:tcPr>
            <w:tcW w:w="1180" w:type="dxa"/>
            <w:vAlign w:val="bottom"/>
          </w:tcPr>
          <w:p>
            <w:pPr>
              <w:spacing w:after="0"/>
              <w:rPr>
                <w:sz w:val="24"/>
                <w:szCs w:val="24"/>
                <w:color w:val="auto"/>
              </w:rPr>
            </w:pPr>
          </w:p>
        </w:tc>
        <w:tc>
          <w:tcPr>
            <w:tcW w:w="9580" w:type="dxa"/>
            <w:vAlign w:val="bottom"/>
          </w:tcPr>
          <w:p>
            <w:pPr>
              <w:ind w:left="4420"/>
              <w:spacing w:after="0"/>
              <w:rPr>
                <w:sz w:val="20"/>
                <w:szCs w:val="20"/>
                <w:color w:val="auto"/>
              </w:rPr>
            </w:pPr>
            <w:r>
              <w:rPr>
                <w:rFonts w:ascii="Arial" w:cs="Arial" w:eastAsia="Arial" w:hAnsi="Arial"/>
                <w:sz w:val="17"/>
                <w:szCs w:val="17"/>
                <w:color w:val="auto"/>
              </w:rPr>
              <w:t>-i -</w:t>
            </w:r>
          </w:p>
        </w:tc>
        <w:tc>
          <w:tcPr>
            <w:tcW w:w="660" w:type="dxa"/>
            <w:vAlign w:val="bottom"/>
          </w:tcPr>
          <w:p>
            <w:pPr>
              <w:spacing w:after="0"/>
              <w:rPr>
                <w:sz w:val="24"/>
                <w:szCs w:val="24"/>
                <w:color w:val="auto"/>
              </w:rPr>
            </w:pPr>
          </w:p>
        </w:tc>
      </w:tr>
      <w:tr>
        <w:trPr>
          <w:trHeight w:val="220"/>
        </w:trPr>
        <w:tc>
          <w:tcPr>
            <w:tcW w:w="1180" w:type="dxa"/>
            <w:vAlign w:val="bottom"/>
            <w:tcBorders>
              <w:bottom w:val="single" w:sz="8" w:color="808080"/>
            </w:tcBorders>
          </w:tcPr>
          <w:p>
            <w:pPr>
              <w:spacing w:after="0"/>
              <w:rPr>
                <w:sz w:val="19"/>
                <w:szCs w:val="19"/>
                <w:color w:val="auto"/>
              </w:rPr>
            </w:pPr>
          </w:p>
        </w:tc>
        <w:tc>
          <w:tcPr>
            <w:tcW w:w="9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7"/>
                <w:szCs w:val="17"/>
                <w:color w:val="auto"/>
              </w:rPr>
              <w:t>Section 23.</w:t>
            </w:r>
          </w:p>
        </w:tc>
        <w:tc>
          <w:tcPr>
            <w:tcW w:w="6260" w:type="dxa"/>
            <w:vAlign w:val="bottom"/>
          </w:tcPr>
          <w:p>
            <w:pPr>
              <w:ind w:left="400"/>
              <w:spacing w:after="0"/>
              <w:rPr>
                <w:sz w:val="20"/>
                <w:szCs w:val="20"/>
                <w:color w:val="auto"/>
              </w:rPr>
            </w:pPr>
            <w:r>
              <w:rPr>
                <w:rFonts w:ascii="Arial" w:cs="Arial" w:eastAsia="Arial" w:hAnsi="Arial"/>
                <w:sz w:val="17"/>
                <w:szCs w:val="17"/>
                <w:color w:val="auto"/>
              </w:rPr>
              <w:t>Redemption</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33</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24.</w:t>
            </w:r>
          </w:p>
        </w:tc>
        <w:tc>
          <w:tcPr>
            <w:tcW w:w="6260" w:type="dxa"/>
            <w:vAlign w:val="bottom"/>
          </w:tcPr>
          <w:p>
            <w:pPr>
              <w:ind w:left="400"/>
              <w:spacing w:after="0"/>
              <w:rPr>
                <w:sz w:val="20"/>
                <w:szCs w:val="20"/>
                <w:color w:val="auto"/>
              </w:rPr>
            </w:pPr>
            <w:r>
              <w:rPr>
                <w:rFonts w:ascii="Arial" w:cs="Arial" w:eastAsia="Arial" w:hAnsi="Arial"/>
                <w:sz w:val="17"/>
                <w:szCs w:val="17"/>
                <w:color w:val="auto"/>
              </w:rPr>
              <w:t>Exchange</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34</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25.</w:t>
            </w:r>
          </w:p>
        </w:tc>
        <w:tc>
          <w:tcPr>
            <w:tcW w:w="6260" w:type="dxa"/>
            <w:vAlign w:val="bottom"/>
          </w:tcPr>
          <w:p>
            <w:pPr>
              <w:ind w:left="400"/>
              <w:spacing w:after="0"/>
              <w:rPr>
                <w:sz w:val="20"/>
                <w:szCs w:val="20"/>
                <w:color w:val="auto"/>
              </w:rPr>
            </w:pPr>
            <w:r>
              <w:rPr>
                <w:rFonts w:ascii="Arial" w:cs="Arial" w:eastAsia="Arial" w:hAnsi="Arial"/>
                <w:sz w:val="17"/>
                <w:szCs w:val="17"/>
                <w:color w:val="auto"/>
              </w:rPr>
              <w:t>Notice of Certain Events</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35</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26.</w:t>
            </w:r>
          </w:p>
        </w:tc>
        <w:tc>
          <w:tcPr>
            <w:tcW w:w="6260" w:type="dxa"/>
            <w:vAlign w:val="bottom"/>
          </w:tcPr>
          <w:p>
            <w:pPr>
              <w:ind w:left="400"/>
              <w:spacing w:after="0"/>
              <w:rPr>
                <w:sz w:val="20"/>
                <w:szCs w:val="20"/>
                <w:color w:val="auto"/>
              </w:rPr>
            </w:pPr>
            <w:r>
              <w:rPr>
                <w:rFonts w:ascii="Arial" w:cs="Arial" w:eastAsia="Arial" w:hAnsi="Arial"/>
                <w:sz w:val="17"/>
                <w:szCs w:val="17"/>
                <w:color w:val="auto"/>
              </w:rPr>
              <w:t>Notices</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36</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27.</w:t>
            </w:r>
          </w:p>
        </w:tc>
        <w:tc>
          <w:tcPr>
            <w:tcW w:w="6260" w:type="dxa"/>
            <w:vAlign w:val="bottom"/>
          </w:tcPr>
          <w:p>
            <w:pPr>
              <w:ind w:left="400"/>
              <w:spacing w:after="0"/>
              <w:rPr>
                <w:sz w:val="20"/>
                <w:szCs w:val="20"/>
                <w:color w:val="auto"/>
              </w:rPr>
            </w:pPr>
            <w:r>
              <w:rPr>
                <w:rFonts w:ascii="Arial" w:cs="Arial" w:eastAsia="Arial" w:hAnsi="Arial"/>
                <w:sz w:val="17"/>
                <w:szCs w:val="17"/>
                <w:color w:val="auto"/>
              </w:rPr>
              <w:t>Supplements and Amendments</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36</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28.</w:t>
            </w:r>
          </w:p>
        </w:tc>
        <w:tc>
          <w:tcPr>
            <w:tcW w:w="6260" w:type="dxa"/>
            <w:vAlign w:val="bottom"/>
          </w:tcPr>
          <w:p>
            <w:pPr>
              <w:ind w:left="400"/>
              <w:spacing w:after="0"/>
              <w:rPr>
                <w:sz w:val="20"/>
                <w:szCs w:val="20"/>
                <w:color w:val="auto"/>
              </w:rPr>
            </w:pPr>
            <w:r>
              <w:rPr>
                <w:rFonts w:ascii="Arial" w:cs="Arial" w:eastAsia="Arial" w:hAnsi="Arial"/>
                <w:sz w:val="17"/>
                <w:szCs w:val="17"/>
                <w:color w:val="auto"/>
              </w:rPr>
              <w:t>Successors</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37</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29.</w:t>
            </w:r>
          </w:p>
        </w:tc>
        <w:tc>
          <w:tcPr>
            <w:tcW w:w="6260" w:type="dxa"/>
            <w:vAlign w:val="bottom"/>
          </w:tcPr>
          <w:p>
            <w:pPr>
              <w:ind w:left="400"/>
              <w:spacing w:after="0"/>
              <w:rPr>
                <w:sz w:val="20"/>
                <w:szCs w:val="20"/>
                <w:color w:val="auto"/>
              </w:rPr>
            </w:pPr>
            <w:r>
              <w:rPr>
                <w:rFonts w:ascii="Arial" w:cs="Arial" w:eastAsia="Arial" w:hAnsi="Arial"/>
                <w:sz w:val="17"/>
                <w:szCs w:val="17"/>
                <w:color w:val="auto"/>
              </w:rPr>
              <w:t>Actions by the Board, etc.</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37</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30.</w:t>
            </w:r>
          </w:p>
        </w:tc>
        <w:tc>
          <w:tcPr>
            <w:tcW w:w="6260" w:type="dxa"/>
            <w:vAlign w:val="bottom"/>
          </w:tcPr>
          <w:p>
            <w:pPr>
              <w:ind w:left="400"/>
              <w:spacing w:after="0"/>
              <w:rPr>
                <w:sz w:val="20"/>
                <w:szCs w:val="20"/>
                <w:color w:val="auto"/>
              </w:rPr>
            </w:pPr>
            <w:r>
              <w:rPr>
                <w:rFonts w:ascii="Arial" w:cs="Arial" w:eastAsia="Arial" w:hAnsi="Arial"/>
                <w:sz w:val="17"/>
                <w:szCs w:val="17"/>
                <w:color w:val="auto"/>
              </w:rPr>
              <w:t>Benefits of this Agreement</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37</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31.</w:t>
            </w:r>
          </w:p>
        </w:tc>
        <w:tc>
          <w:tcPr>
            <w:tcW w:w="6260" w:type="dxa"/>
            <w:vAlign w:val="bottom"/>
          </w:tcPr>
          <w:p>
            <w:pPr>
              <w:ind w:left="400"/>
              <w:spacing w:after="0"/>
              <w:rPr>
                <w:sz w:val="20"/>
                <w:szCs w:val="20"/>
                <w:color w:val="auto"/>
              </w:rPr>
            </w:pPr>
            <w:r>
              <w:rPr>
                <w:rFonts w:ascii="Arial" w:cs="Arial" w:eastAsia="Arial" w:hAnsi="Arial"/>
                <w:sz w:val="17"/>
                <w:szCs w:val="17"/>
                <w:color w:val="auto"/>
              </w:rPr>
              <w:t>Severability</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37</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32.</w:t>
            </w:r>
          </w:p>
        </w:tc>
        <w:tc>
          <w:tcPr>
            <w:tcW w:w="6260" w:type="dxa"/>
            <w:vAlign w:val="bottom"/>
          </w:tcPr>
          <w:p>
            <w:pPr>
              <w:ind w:left="400"/>
              <w:spacing w:after="0"/>
              <w:rPr>
                <w:sz w:val="20"/>
                <w:szCs w:val="20"/>
                <w:color w:val="auto"/>
              </w:rPr>
            </w:pPr>
            <w:r>
              <w:rPr>
                <w:rFonts w:ascii="Arial" w:cs="Arial" w:eastAsia="Arial" w:hAnsi="Arial"/>
                <w:sz w:val="17"/>
                <w:szCs w:val="17"/>
                <w:color w:val="auto"/>
              </w:rPr>
              <w:t>Governing Law</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38</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33.</w:t>
            </w:r>
          </w:p>
        </w:tc>
        <w:tc>
          <w:tcPr>
            <w:tcW w:w="6260" w:type="dxa"/>
            <w:vAlign w:val="bottom"/>
          </w:tcPr>
          <w:p>
            <w:pPr>
              <w:ind w:left="400"/>
              <w:spacing w:after="0"/>
              <w:rPr>
                <w:sz w:val="20"/>
                <w:szCs w:val="20"/>
                <w:color w:val="auto"/>
              </w:rPr>
            </w:pPr>
            <w:r>
              <w:rPr>
                <w:rFonts w:ascii="Arial" w:cs="Arial" w:eastAsia="Arial" w:hAnsi="Arial"/>
                <w:sz w:val="17"/>
                <w:szCs w:val="17"/>
                <w:color w:val="auto"/>
              </w:rPr>
              <w:t>Counterparts</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38</w:t>
            </w:r>
          </w:p>
        </w:tc>
      </w:tr>
      <w:tr>
        <w:trPr>
          <w:trHeight w:val="419"/>
        </w:trPr>
        <w:tc>
          <w:tcPr>
            <w:tcW w:w="1180" w:type="dxa"/>
            <w:vAlign w:val="bottom"/>
          </w:tcPr>
          <w:p>
            <w:pPr>
              <w:spacing w:after="0"/>
              <w:rPr>
                <w:sz w:val="20"/>
                <w:szCs w:val="20"/>
                <w:color w:val="auto"/>
              </w:rPr>
            </w:pPr>
            <w:r>
              <w:rPr>
                <w:rFonts w:ascii="Arial" w:cs="Arial" w:eastAsia="Arial" w:hAnsi="Arial"/>
                <w:sz w:val="17"/>
                <w:szCs w:val="17"/>
                <w:color w:val="auto"/>
              </w:rPr>
              <w:t>Section 34.</w:t>
            </w:r>
          </w:p>
        </w:tc>
        <w:tc>
          <w:tcPr>
            <w:tcW w:w="6260" w:type="dxa"/>
            <w:vAlign w:val="bottom"/>
          </w:tcPr>
          <w:p>
            <w:pPr>
              <w:ind w:left="400"/>
              <w:spacing w:after="0"/>
              <w:rPr>
                <w:sz w:val="20"/>
                <w:szCs w:val="20"/>
                <w:color w:val="auto"/>
              </w:rPr>
            </w:pPr>
            <w:r>
              <w:rPr>
                <w:rFonts w:ascii="Arial" w:cs="Arial" w:eastAsia="Arial" w:hAnsi="Arial"/>
                <w:sz w:val="17"/>
                <w:szCs w:val="17"/>
                <w:color w:val="auto"/>
              </w:rPr>
              <w:t>Descriptive Headings</w:t>
            </w:r>
          </w:p>
        </w:tc>
        <w:tc>
          <w:tcPr>
            <w:tcW w:w="3980" w:type="dxa"/>
            <w:vAlign w:val="bottom"/>
          </w:tcPr>
          <w:p>
            <w:pPr>
              <w:jc w:val="right"/>
              <w:ind w:right="13"/>
              <w:spacing w:after="0"/>
              <w:rPr>
                <w:sz w:val="20"/>
                <w:szCs w:val="20"/>
                <w:color w:val="auto"/>
              </w:rPr>
            </w:pPr>
            <w:r>
              <w:rPr>
                <w:rFonts w:ascii="Arial" w:cs="Arial" w:eastAsia="Arial" w:hAnsi="Arial"/>
                <w:sz w:val="17"/>
                <w:szCs w:val="17"/>
                <w:color w:val="auto"/>
              </w:rPr>
              <w:t>38</w:t>
            </w:r>
          </w:p>
        </w:tc>
      </w:tr>
      <w:tr>
        <w:trPr>
          <w:trHeight w:val="612"/>
        </w:trPr>
        <w:tc>
          <w:tcPr>
            <w:tcW w:w="1180" w:type="dxa"/>
            <w:vAlign w:val="bottom"/>
            <w:tcBorders>
              <w:bottom w:val="single" w:sz="8" w:color="808080"/>
            </w:tcBorders>
          </w:tcPr>
          <w:p>
            <w:pPr>
              <w:spacing w:after="0"/>
              <w:rPr>
                <w:sz w:val="24"/>
                <w:szCs w:val="24"/>
                <w:color w:val="auto"/>
              </w:rPr>
            </w:pPr>
          </w:p>
        </w:tc>
        <w:tc>
          <w:tcPr>
            <w:tcW w:w="626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22" w:right="23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22"/>
        </w:trPr>
        <w:tc>
          <w:tcPr>
            <w:tcW w:w="2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0" w:type="dxa"/>
            <w:vAlign w:val="bottom"/>
          </w:tcPr>
          <w:p>
            <w:pPr>
              <w:ind w:left="1940"/>
              <w:spacing w:after="0"/>
              <w:rPr>
                <w:sz w:val="20"/>
                <w:szCs w:val="20"/>
                <w:color w:val="auto"/>
              </w:rPr>
            </w:pPr>
            <w:r>
              <w:rPr>
                <w:rFonts w:ascii="Arial" w:cs="Arial" w:eastAsia="Arial" w:hAnsi="Arial"/>
                <w:sz w:val="17"/>
                <w:szCs w:val="17"/>
                <w:color w:val="auto"/>
              </w:rPr>
              <w:t>RIGHTS AGREEMENT</w:t>
            </w:r>
          </w:p>
        </w:tc>
      </w:tr>
      <w:tr>
        <w:trPr>
          <w:trHeight w:val="275"/>
        </w:trPr>
        <w:tc>
          <w:tcPr>
            <w:tcW w:w="2260" w:type="dxa"/>
            <w:vAlign w:val="bottom"/>
          </w:tcPr>
          <w:p>
            <w:pPr>
              <w:spacing w:after="0"/>
              <w:rPr>
                <w:sz w:val="20"/>
                <w:szCs w:val="20"/>
                <w:color w:val="auto"/>
              </w:rPr>
            </w:pPr>
            <w:r>
              <w:rPr>
                <w:rFonts w:ascii="Arial" w:cs="Arial" w:eastAsia="Arial" w:hAnsi="Arial"/>
                <w:sz w:val="17"/>
                <w:szCs w:val="17"/>
                <w:color w:val="auto"/>
                <w:w w:val="97"/>
              </w:rPr>
              <w:t>RIGHTS AGREEMENT, dated</w:t>
            </w:r>
          </w:p>
        </w:tc>
        <w:tc>
          <w:tcPr>
            <w:tcW w:w="640" w:type="dxa"/>
            <w:vAlign w:val="bottom"/>
            <w:tcBorders>
              <w:bottom w:val="single" w:sz="8" w:color="auto"/>
            </w:tcBorders>
          </w:tcPr>
          <w:p>
            <w:pPr>
              <w:spacing w:after="0"/>
              <w:rPr>
                <w:sz w:val="23"/>
                <w:szCs w:val="23"/>
                <w:color w:val="auto"/>
              </w:rPr>
            </w:pPr>
          </w:p>
        </w:tc>
        <w:tc>
          <w:tcPr>
            <w:tcW w:w="7800" w:type="dxa"/>
            <w:vAlign w:val="bottom"/>
          </w:tcPr>
          <w:p>
            <w:pPr>
              <w:spacing w:after="0"/>
              <w:rPr>
                <w:sz w:val="20"/>
                <w:szCs w:val="20"/>
                <w:color w:val="auto"/>
              </w:rPr>
            </w:pPr>
            <w:r>
              <w:rPr>
                <w:rFonts w:ascii="Arial" w:cs="Arial" w:eastAsia="Arial" w:hAnsi="Arial"/>
                <w:sz w:val="17"/>
                <w:szCs w:val="17"/>
                <w:color w:val="auto"/>
                <w:w w:val="94"/>
              </w:rPr>
              <w:t>, 2006 (this “Agreement”), between Emergent BioSolutions Inc., a Delaware corporation (the “Company”), and</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American Stock Transfer &amp; Trust Company, as Rights Agent (the “Rights Agent”).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WITNESSETH</w:t>
      </w:r>
    </w:p>
    <w:p>
      <w:pPr>
        <w:spacing w:after="0" w:line="11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 xml:space="preserve">WHEREAS, on September 20, 2006, the Board of Directors of the Company (the “Board”) (1) approved the adoption by the Company of a stockholder rights plan to become effective prior to the closing of the Company’s initial public offering (the “IPO”), including certain terms and conditions of this Agreement and of rights each initially representing the right to purchase one one-thousandth of a share of Series A Junior Preferred Stock (as defined below) upon the terms and subject to the conditions of this Agreement (the “Rights”); (2) authorized the filing of a Certificate of Designations setting forth the rights, powers and preferences of the Series A Junior Participating Preferred Stock, $0.001 par value per share, as set forth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(the “Series A Junior Preferred Stock”);</w:t>
      </w:r>
    </w:p>
    <w:p>
      <w:pPr>
        <w:spacing w:after="0" w:line="2" w:lineRule="exact"/>
        <w:rPr>
          <w:sz w:val="20"/>
          <w:szCs w:val="20"/>
          <w:color w:val="auto"/>
        </w:rPr>
      </w:pPr>
    </w:p>
    <w:p>
      <w:pPr>
        <w:ind w:right="40" w:firstLine="5"/>
        <w:spacing w:after="0" w:line="284" w:lineRule="auto"/>
        <w:tabs>
          <w:tab w:leader="none" w:pos="247" w:val="left"/>
        </w:tabs>
        <w:numPr>
          <w:ilvl w:val="0"/>
          <w:numId w:val="238"/>
        </w:numPr>
        <w:rPr>
          <w:rFonts w:ascii="Arial" w:cs="Arial" w:eastAsia="Arial" w:hAnsi="Arial"/>
          <w:sz w:val="16"/>
          <w:szCs w:val="16"/>
          <w:color w:val="auto"/>
        </w:rPr>
      </w:pPr>
      <w:r>
        <w:rPr>
          <w:rFonts w:ascii="Arial" w:cs="Arial" w:eastAsia="Arial" w:hAnsi="Arial"/>
          <w:sz w:val="16"/>
          <w:szCs w:val="16"/>
          <w:color w:val="auto"/>
        </w:rPr>
        <w:t>delegated to the Pricing Committee of the Board the authority to (a) determine the remaining terms of this Agreement, including the initial exercise price of the Rights, (b) declare a dividend distribution of one Right for each share of Common Stock (as hereinafter defined) of the Company outstanding, (c) fix the record date for such dividend and (d) take such other actions as the Pricing Committee deems necessary or appropriate to adopt and implement the shareholder rights plan and (4) recommended to stockholders that they approve the adoption by the Company of the stockholder rights plan;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80" w:type="dxa"/>
            <w:vAlign w:val="bottom"/>
            <w:gridSpan w:val="2"/>
          </w:tcPr>
          <w:p>
            <w:pPr>
              <w:spacing w:after="0"/>
              <w:rPr>
                <w:sz w:val="20"/>
                <w:szCs w:val="20"/>
                <w:color w:val="auto"/>
              </w:rPr>
            </w:pPr>
            <w:r>
              <w:rPr>
                <w:rFonts w:ascii="Arial" w:cs="Arial" w:eastAsia="Arial" w:hAnsi="Arial"/>
                <w:sz w:val="17"/>
                <w:szCs w:val="17"/>
                <w:color w:val="auto"/>
                <w:w w:val="98"/>
              </w:rPr>
              <w:t>WHEREAS, effective</w:t>
            </w:r>
          </w:p>
        </w:tc>
        <w:tc>
          <w:tcPr>
            <w:tcW w:w="220" w:type="dxa"/>
            <w:vAlign w:val="bottom"/>
          </w:tcPr>
          <w:p>
            <w:pPr>
              <w:spacing w:after="0"/>
              <w:rPr>
                <w:sz w:val="16"/>
                <w:szCs w:val="16"/>
                <w:color w:val="auto"/>
              </w:rPr>
            </w:pPr>
          </w:p>
        </w:tc>
        <w:tc>
          <w:tcPr>
            <w:tcW w:w="9560" w:type="dxa"/>
            <w:vAlign w:val="bottom"/>
            <w:gridSpan w:val="2"/>
          </w:tcPr>
          <w:p>
            <w:pPr>
              <w:ind w:left="440"/>
              <w:spacing w:after="0"/>
              <w:rPr>
                <w:sz w:val="20"/>
                <w:szCs w:val="20"/>
                <w:color w:val="auto"/>
              </w:rPr>
            </w:pPr>
            <w:r>
              <w:rPr>
                <w:rFonts w:ascii="Arial" w:cs="Arial" w:eastAsia="Arial" w:hAnsi="Arial"/>
                <w:sz w:val="17"/>
                <w:szCs w:val="17"/>
                <w:color w:val="auto"/>
                <w:w w:val="93"/>
              </w:rPr>
              <w:t>, 2006, the stockholders of the Company approved the adoption by the Board of a stockholder rights plan, substantially in the form</w:t>
            </w:r>
          </w:p>
        </w:tc>
      </w:tr>
      <w:tr>
        <w:trPr>
          <w:trHeight w:val="228"/>
        </w:trPr>
        <w:tc>
          <w:tcPr>
            <w:tcW w:w="1580" w:type="dxa"/>
            <w:vAlign w:val="bottom"/>
            <w:gridSpan w:val="2"/>
          </w:tcPr>
          <w:p>
            <w:pPr>
              <w:spacing w:after="0"/>
              <w:rPr>
                <w:sz w:val="20"/>
                <w:szCs w:val="20"/>
                <w:color w:val="auto"/>
              </w:rPr>
            </w:pPr>
            <w:r>
              <w:rPr>
                <w:rFonts w:ascii="Arial" w:cs="Arial" w:eastAsia="Arial" w:hAnsi="Arial"/>
                <w:sz w:val="17"/>
                <w:szCs w:val="17"/>
                <w:color w:val="auto"/>
              </w:rPr>
              <w:t>of this Agreement;</w:t>
            </w: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120" w:type="dxa"/>
            <w:vAlign w:val="bottom"/>
          </w:tcPr>
          <w:p>
            <w:pPr>
              <w:spacing w:after="0"/>
              <w:rPr>
                <w:sz w:val="19"/>
                <w:szCs w:val="19"/>
                <w:color w:val="auto"/>
              </w:rPr>
            </w:pPr>
          </w:p>
        </w:tc>
      </w:tr>
      <w:tr>
        <w:trPr>
          <w:trHeight w:val="275"/>
        </w:trPr>
        <w:tc>
          <w:tcPr>
            <w:tcW w:w="1160" w:type="dxa"/>
            <w:vAlign w:val="bottom"/>
          </w:tcPr>
          <w:p>
            <w:pPr>
              <w:spacing w:after="0"/>
              <w:rPr>
                <w:sz w:val="20"/>
                <w:szCs w:val="20"/>
                <w:color w:val="auto"/>
              </w:rPr>
            </w:pPr>
            <w:r>
              <w:rPr>
                <w:rFonts w:ascii="Arial" w:cs="Arial" w:eastAsia="Arial" w:hAnsi="Arial"/>
                <w:sz w:val="17"/>
                <w:szCs w:val="17"/>
                <w:color w:val="auto"/>
                <w:w w:val="99"/>
              </w:rPr>
              <w:t>WHEREAS, on</w:t>
            </w:r>
          </w:p>
        </w:tc>
        <w:tc>
          <w:tcPr>
            <w:tcW w:w="4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560" w:type="dxa"/>
            <w:vAlign w:val="bottom"/>
            <w:gridSpan w:val="2"/>
          </w:tcPr>
          <w:p>
            <w:pPr>
              <w:spacing w:after="0"/>
              <w:rPr>
                <w:sz w:val="20"/>
                <w:szCs w:val="20"/>
                <w:color w:val="auto"/>
              </w:rPr>
            </w:pPr>
            <w:r>
              <w:rPr>
                <w:rFonts w:ascii="Arial" w:cs="Arial" w:eastAsia="Arial" w:hAnsi="Arial"/>
                <w:sz w:val="17"/>
                <w:szCs w:val="17"/>
                <w:color w:val="auto"/>
                <w:w w:val="93"/>
              </w:rPr>
              <w:t>, 2006, pursuant to the authority previously delegated to it by the Board, the Pricing Committee (1) approved the terms and conditions of</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including the initial exercise price of the Rights, (2) authorized and declared a dividend distribution of one Right for each share of Common Stock</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20"/>
                <w:szCs w:val="20"/>
                <w:color w:val="auto"/>
              </w:rPr>
            </w:pPr>
            <w:r>
              <w:rPr>
                <w:rFonts w:ascii="Arial" w:cs="Arial" w:eastAsia="Arial" w:hAnsi="Arial"/>
                <w:sz w:val="17"/>
                <w:szCs w:val="17"/>
                <w:color w:val="auto"/>
                <w:w w:val="92"/>
              </w:rPr>
              <w:t>of the Company outstanding at the close of business on</w:t>
            </w:r>
          </w:p>
        </w:tc>
        <w:tc>
          <w:tcPr>
            <w:tcW w:w="660" w:type="dxa"/>
            <w:vAlign w:val="bottom"/>
            <w:tcBorders>
              <w:bottom w:val="single" w:sz="8" w:color="auto"/>
            </w:tcBorders>
          </w:tcPr>
          <w:p>
            <w:pPr>
              <w:spacing w:after="0"/>
              <w:rPr>
                <w:sz w:val="16"/>
                <w:szCs w:val="16"/>
                <w:color w:val="auto"/>
              </w:rPr>
            </w:pPr>
          </w:p>
        </w:tc>
        <w:tc>
          <w:tcPr>
            <w:tcW w:w="6860" w:type="dxa"/>
            <w:vAlign w:val="bottom"/>
          </w:tcPr>
          <w:p>
            <w:pPr>
              <w:spacing w:after="0"/>
              <w:rPr>
                <w:sz w:val="20"/>
                <w:szCs w:val="20"/>
                <w:color w:val="auto"/>
              </w:rPr>
            </w:pPr>
            <w:r>
              <w:rPr>
                <w:rFonts w:ascii="Arial" w:cs="Arial" w:eastAsia="Arial" w:hAnsi="Arial"/>
                <w:sz w:val="17"/>
                <w:szCs w:val="17"/>
                <w:color w:val="auto"/>
                <w:w w:val="96"/>
              </w:rPr>
              <w:t>, 2006 (the “Record Date”), and (3) authorized the issuance of one Right (as such number may</w:t>
            </w:r>
          </w:p>
        </w:tc>
      </w:tr>
      <w:tr>
        <w:trPr>
          <w:trHeight w:val="228"/>
        </w:trPr>
        <w:tc>
          <w:tcPr>
            <w:tcW w:w="4560" w:type="dxa"/>
            <w:vAlign w:val="bottom"/>
            <w:gridSpan w:val="2"/>
          </w:tcPr>
          <w:p>
            <w:pPr>
              <w:spacing w:after="0"/>
              <w:rPr>
                <w:sz w:val="20"/>
                <w:szCs w:val="20"/>
                <w:color w:val="auto"/>
              </w:rPr>
            </w:pPr>
            <w:r>
              <w:rPr>
                <w:rFonts w:ascii="Arial" w:cs="Arial" w:eastAsia="Arial" w:hAnsi="Arial"/>
                <w:sz w:val="17"/>
                <w:szCs w:val="17"/>
                <w:color w:val="auto"/>
              </w:rPr>
              <w:t>hereinafter be adjusted pursuant to the provisions of Section</w:t>
            </w:r>
          </w:p>
        </w:tc>
        <w:tc>
          <w:tcPr>
            <w:tcW w:w="6860" w:type="dxa"/>
            <w:vAlign w:val="bottom"/>
          </w:tcPr>
          <w:p>
            <w:pPr>
              <w:spacing w:after="0"/>
              <w:rPr>
                <w:sz w:val="19"/>
                <w:szCs w:val="19"/>
                <w:color w:val="auto"/>
              </w:rPr>
            </w:pPr>
          </w:p>
        </w:tc>
      </w:tr>
      <w:tr>
        <w:trPr>
          <w:trHeight w:val="612"/>
        </w:trPr>
        <w:tc>
          <w:tcPr>
            <w:tcW w:w="39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39" w:right="239" w:bottom="1440" w:gutter="0" w:footer="0" w:header="0"/>
        </w:sectPr>
      </w:pPr>
    </w:p>
    <w:bookmarkStart w:id="312" w:name="page313"/>
    <w:bookmarkEnd w:id="312"/>
    <w:p>
      <w:pPr>
        <w:ind w:right="160"/>
        <w:spacing w:after="0" w:line="289" w:lineRule="auto"/>
        <w:rPr>
          <w:sz w:val="20"/>
          <w:szCs w:val="20"/>
          <w:color w:val="auto"/>
        </w:rPr>
      </w:pPr>
      <w:r>
        <w:rPr>
          <w:rFonts w:ascii="Arial" w:cs="Arial" w:eastAsia="Arial" w:hAnsi="Arial"/>
          <w:sz w:val="17"/>
          <w:szCs w:val="17"/>
          <w:color w:val="auto"/>
        </w:rPr>
        <w:t>11(i) or Section 11(p) hereof) for each share of Common Stock of the Company issued between the Record Date (whether originally issued or delivered from the Company’s treasury) and the earlier of the Distribution Date or the Expiration Date;</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premises and the mutual agreements herein set forth, the parties hereby agree as follows: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Agreement, the following terms have the meanings indicated:</w:t>
      </w:r>
    </w:p>
    <w:p>
      <w:pPr>
        <w:spacing w:after="0" w:line="119" w:lineRule="exact"/>
        <w:rPr>
          <w:sz w:val="20"/>
          <w:szCs w:val="20"/>
          <w:color w:val="auto"/>
        </w:rPr>
      </w:pPr>
    </w:p>
    <w:p>
      <w:pPr>
        <w:ind w:firstLine="223"/>
        <w:spacing w:after="0" w:line="276" w:lineRule="auto"/>
        <w:tabs>
          <w:tab w:leader="none" w:pos="45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“Acquiring Person” shall mean any Person who or which, together with all Affiliates and Associates of such Person, shall be the Beneficial Owner of 15% or more of the shares of Common Stock then outstanding, but shall not include (i) the Company, (ii) any Subsidiary of the Company, (iii) any employee benefit plan of the Company or of any Subsidiary of the Company, (iv) any Person organized, appointed or established by the Company for or pursuant to the terms of any such plan or (v) an Exempted Person. Notwithstanding the foregoing, (x) no Person shall become an “Acquiring Person” as the result of an acquisition of Common Stock by the Company which, by reducing the number of shares outstanding, increases the proportionate number of shares beneficially owned by such Person to 15% or more of the shares of Common Stock of the Company then outstanding; provided, however that if a Person shall become the Beneficial Owner of 15% or more of the shares of Common Stock of the Company then outstanding as the result of an acquisition of Common Stock by the Company and shall, following written notice from, or public disclosure by the Company of such share purchases by the Company become the Beneficial Owner of any additional Common Stock of the Company and shall then beneficially own 15% or more of the shares of Common Stock then outstanding, then such Person shall be deemed to be an “Acquiring Person” and (y) if the Board determines in good faith that a Person who would otherwise be an “Acquiring Person,” as defined pursuant to the foregoing provisions of this paragraph (a), has become such inadvertently, and such Person divests as promptly as practicable (as determined in good faith by the Board of Directors), but in any event within 15 Business Days, following receipt of written notice from the Company of such event, of Beneficial Ownership of a sufficient number of shares of Common Stock so that such Person would no longer be an “Acquiring Person,” as defined pursuant to the foregoing provisions of this paragraph (a), then such Person shall not be deemed to be an “Acquiring Person” for any purposes of this Agreement unless and until such Person shall again become an “Acquiring Person.”</w:t>
      </w:r>
    </w:p>
    <w:p>
      <w:pPr>
        <w:spacing w:after="0" w:line="73" w:lineRule="exact"/>
        <w:rPr>
          <w:rFonts w:ascii="Arial" w:cs="Arial" w:eastAsia="Arial" w:hAnsi="Arial"/>
          <w:sz w:val="16"/>
          <w:szCs w:val="16"/>
          <w:color w:val="auto"/>
        </w:rPr>
      </w:pPr>
    </w:p>
    <w:p>
      <w:pPr>
        <w:ind w:left="480" w:hanging="257"/>
        <w:spacing w:after="0"/>
        <w:tabs>
          <w:tab w:leader="none" w:pos="48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“Act” shall mean the Securities Act of 1933, as amended.</w:t>
      </w:r>
    </w:p>
    <w:p>
      <w:pPr>
        <w:spacing w:after="0" w:line="118" w:lineRule="exact"/>
        <w:rPr>
          <w:rFonts w:ascii="Arial" w:cs="Arial" w:eastAsia="Arial" w:hAnsi="Arial"/>
          <w:sz w:val="17"/>
          <w:szCs w:val="17"/>
          <w:color w:val="auto"/>
        </w:rPr>
      </w:pPr>
    </w:p>
    <w:p>
      <w:pPr>
        <w:ind w:left="460" w:hanging="237"/>
        <w:spacing w:after="0"/>
        <w:tabs>
          <w:tab w:leader="none" w:pos="4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“Adjustment Shares” shall have the meaning set forth in Section 11(a)(ii).</w:t>
      </w:r>
    </w:p>
    <w:p>
      <w:pPr>
        <w:spacing w:after="0" w:line="118" w:lineRule="exact"/>
        <w:rPr>
          <w:rFonts w:ascii="Arial" w:cs="Arial" w:eastAsia="Arial" w:hAnsi="Arial"/>
          <w:sz w:val="17"/>
          <w:szCs w:val="17"/>
          <w:color w:val="auto"/>
        </w:rPr>
      </w:pPr>
    </w:p>
    <w:p>
      <w:pPr>
        <w:ind w:right="600" w:firstLine="223"/>
        <w:spacing w:after="0" w:line="289" w:lineRule="auto"/>
        <w:tabs>
          <w:tab w:leader="none" w:pos="46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“Affiliate” and “Associate” shall have the respective meanings ascribed to such terms in Rule 12b-2 of the General Rules and Regulations under the Securities Exchange Act of 1934, as amended (the “Exchange Act”) as in effect on the date of this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13" w:name="page314"/>
    <w:bookmarkEnd w:id="313"/>
    <w:p>
      <w:pPr>
        <w:ind w:left="455" w:hanging="237"/>
        <w:spacing w:after="0"/>
        <w:tabs>
          <w:tab w:leader="none" w:pos="455" w:val="left"/>
        </w:tabs>
        <w:numPr>
          <w:ilvl w:val="1"/>
          <w:numId w:val="240"/>
        </w:numPr>
        <w:rPr>
          <w:rFonts w:ascii="Arial" w:cs="Arial" w:eastAsia="Arial" w:hAnsi="Arial"/>
          <w:sz w:val="17"/>
          <w:szCs w:val="17"/>
          <w:color w:val="auto"/>
        </w:rPr>
      </w:pPr>
      <w:r>
        <w:rPr>
          <w:rFonts w:ascii="Arial" w:cs="Arial" w:eastAsia="Arial" w:hAnsi="Arial"/>
          <w:sz w:val="17"/>
          <w:szCs w:val="17"/>
          <w:color w:val="auto"/>
        </w:rPr>
        <w:t>A Person shall be deemed the “Beneficial Owner” of, and shall be deemed to “beneficially own,” any securities:</w:t>
      </w:r>
    </w:p>
    <w:p>
      <w:pPr>
        <w:spacing w:after="0" w:line="118" w:lineRule="exact"/>
        <w:rPr>
          <w:rFonts w:ascii="Arial" w:cs="Arial" w:eastAsia="Arial" w:hAnsi="Arial"/>
          <w:sz w:val="17"/>
          <w:szCs w:val="17"/>
          <w:color w:val="auto"/>
        </w:rPr>
      </w:pPr>
    </w:p>
    <w:p>
      <w:pPr>
        <w:ind w:left="-5" w:right="20" w:firstLine="441"/>
        <w:spacing w:after="0" w:line="294" w:lineRule="auto"/>
        <w:tabs>
          <w:tab w:leader="none" w:pos="640" w:val="left"/>
        </w:tabs>
        <w:numPr>
          <w:ilvl w:val="2"/>
          <w:numId w:val="240"/>
        </w:numPr>
        <w:rPr>
          <w:rFonts w:ascii="Arial" w:cs="Arial" w:eastAsia="Arial" w:hAnsi="Arial"/>
          <w:sz w:val="15"/>
          <w:szCs w:val="15"/>
          <w:color w:val="auto"/>
        </w:rPr>
      </w:pPr>
      <w:r>
        <w:rPr>
          <w:rFonts w:ascii="Arial" w:cs="Arial" w:eastAsia="Arial" w:hAnsi="Arial"/>
          <w:sz w:val="15"/>
          <w:szCs w:val="15"/>
          <w:color w:val="auto"/>
        </w:rPr>
        <w:t xml:space="preserve">which such Person or any of such Person’s Affiliates or Associates, directly or indirectly, owns or has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agreements with or between Persons and the Company with respect to any other bona fide issuance of securities by the Company to such Persons for resale within 40 days, including without limitation pursuant to Section 4(2) of the Act or Rule 144A or Regulation S promulgated under the Act), whether or not in writing, or upon the exercise of conversion rights, exchange rights, other rights, warrants or options, or otherwise;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Person shall not be deemed the “Beneficial Owner” of, or to “beneficially own,”</w:t>
      </w:r>
    </w:p>
    <w:p>
      <w:pPr>
        <w:spacing w:after="0" w:line="1" w:lineRule="exact"/>
        <w:rPr>
          <w:rFonts w:ascii="Arial" w:cs="Arial" w:eastAsia="Arial" w:hAnsi="Arial"/>
          <w:sz w:val="15"/>
          <w:szCs w:val="15"/>
          <w:color w:val="auto"/>
        </w:rPr>
      </w:pPr>
    </w:p>
    <w:p>
      <w:pPr>
        <w:ind w:left="-5" w:right="40" w:firstLine="5"/>
        <w:spacing w:after="0" w:line="260" w:lineRule="auto"/>
        <w:tabs>
          <w:tab w:leader="none" w:pos="281" w:val="left"/>
        </w:tabs>
        <w:numPr>
          <w:ilvl w:val="0"/>
          <w:numId w:val="241"/>
        </w:numPr>
        <w:rPr>
          <w:rFonts w:ascii="Arial" w:cs="Arial" w:eastAsia="Arial" w:hAnsi="Arial"/>
          <w:sz w:val="17"/>
          <w:szCs w:val="17"/>
          <w:color w:val="auto"/>
        </w:rPr>
      </w:pPr>
      <w:r>
        <w:rPr>
          <w:rFonts w:ascii="Arial" w:cs="Arial" w:eastAsia="Arial" w:hAnsi="Arial"/>
          <w:sz w:val="17"/>
          <w:szCs w:val="17"/>
          <w:color w:val="auto"/>
        </w:rPr>
        <w:t>securities tendered pursuant to a tender or exchange offer made pursuant to, and in accordance with, the applicable provisions of the General Rules and Regulations under the Exchange Act by or on behalf of such Person or any of such Person’s Affiliates or Associates until such tendered securities are accepted for purchase or exchange, (B) securities issuable upon exercise of Rights at any time prior to the occurrence of a Triggering Event, or (C) securities issuable upon exercise of Rights from and after the occurrence of a Triggering Event which Rights were acquired by such Person or any of such Person’s Affiliates or Associates prior to the Distribution Date or pursuant to Section 3(a) or Section 22 hereof (the “Original Rights”) or pursuant to Section 11(i) hereof in connection with an adjustment made with respect to any Original Rights;</w:t>
      </w:r>
    </w:p>
    <w:p>
      <w:pPr>
        <w:spacing w:after="0" w:line="79" w:lineRule="exact"/>
        <w:rPr>
          <w:rFonts w:ascii="Arial" w:cs="Arial" w:eastAsia="Arial" w:hAnsi="Arial"/>
          <w:sz w:val="17"/>
          <w:szCs w:val="17"/>
          <w:color w:val="auto"/>
        </w:rPr>
      </w:pPr>
    </w:p>
    <w:p>
      <w:pPr>
        <w:ind w:left="-5" w:firstLine="441"/>
        <w:spacing w:after="0" w:line="293" w:lineRule="auto"/>
        <w:tabs>
          <w:tab w:leader="none" w:pos="688" w:val="left"/>
        </w:tabs>
        <w:numPr>
          <w:ilvl w:val="2"/>
          <w:numId w:val="241"/>
        </w:numPr>
        <w:rPr>
          <w:rFonts w:ascii="Arial" w:cs="Arial" w:eastAsia="Arial" w:hAnsi="Arial"/>
          <w:sz w:val="15"/>
          <w:szCs w:val="15"/>
          <w:color w:val="auto"/>
        </w:rPr>
      </w:pPr>
      <w:r>
        <w:rPr>
          <w:rFonts w:ascii="Arial" w:cs="Arial" w:eastAsia="Arial" w:hAnsi="Arial"/>
          <w:sz w:val="15"/>
          <w:szCs w:val="15"/>
          <w:color w:val="auto"/>
        </w:rPr>
        <w:t xml:space="preserve">which such Person or any of such Person’s Affiliates or Associates, directly or indirectly, has the right to vote or dispose of or has “beneficial ownership” of (as determined pursuant to Rule 13d-3 of the General Rules and Regulations under the Exchange Act, or any comparable or successor rule), including pursuant to any agreement, arrangement or understanding (other than customary agreements with and between underwriters and selling group members with respect to a bona fide public offering of securities or agreements with or between Persons and the Company with respect to any other bona fide issuance of securities by the Company to such Persons for resale within 40 days, including without limitation pursuant to Section 4(2) of the Act or Rule 144A or Regulation S promulgated under the Act), whether or not in writing;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Person shall not be deemed the “Beneficial Owner” of, or to “beneficially own,” any security under this subparagraph (ii) as a result of an agreement, arrangement or understanding to vote such security if such agreement, arrangement or understanding:</w:t>
      </w:r>
    </w:p>
    <w:p>
      <w:pPr>
        <w:spacing w:after="0" w:line="4" w:lineRule="exact"/>
        <w:rPr>
          <w:rFonts w:ascii="Arial" w:cs="Arial" w:eastAsia="Arial" w:hAnsi="Arial"/>
          <w:sz w:val="15"/>
          <w:szCs w:val="15"/>
          <w:color w:val="auto"/>
        </w:rPr>
      </w:pPr>
    </w:p>
    <w:p>
      <w:pPr>
        <w:ind w:left="-5" w:right="340" w:firstLine="5"/>
        <w:spacing w:after="0" w:line="265" w:lineRule="auto"/>
        <w:tabs>
          <w:tab w:leader="none" w:pos="28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arises solely from a revocable proxy or consent given in response to a public proxy or consent solicitation made pursuant to, and in accordance with, the applicable provisions of the General Rules and Regulations under the Exchange Act, and (B) is not then reportable by such Person on Schedule 13D under the Exchange Act (or any comparable or successor report); or</w:t>
      </w:r>
    </w:p>
    <w:p>
      <w:pPr>
        <w:spacing w:after="0" w:line="73" w:lineRule="exact"/>
        <w:rPr>
          <w:rFonts w:ascii="Arial" w:cs="Arial" w:eastAsia="Arial" w:hAnsi="Arial"/>
          <w:sz w:val="17"/>
          <w:szCs w:val="17"/>
          <w:color w:val="auto"/>
        </w:rPr>
      </w:pPr>
    </w:p>
    <w:p>
      <w:pPr>
        <w:ind w:left="-5" w:right="160" w:firstLine="441"/>
        <w:spacing w:after="0" w:line="289" w:lineRule="auto"/>
        <w:tabs>
          <w:tab w:leader="none" w:pos="737" w:val="left"/>
        </w:tabs>
        <w:numPr>
          <w:ilvl w:val="2"/>
          <w:numId w:val="242"/>
        </w:numPr>
        <w:rPr>
          <w:rFonts w:ascii="Arial" w:cs="Arial" w:eastAsia="Arial" w:hAnsi="Arial"/>
          <w:sz w:val="17"/>
          <w:szCs w:val="17"/>
          <w:color w:val="auto"/>
        </w:rPr>
      </w:pPr>
      <w:r>
        <w:rPr>
          <w:rFonts w:ascii="Arial" w:cs="Arial" w:eastAsia="Arial" w:hAnsi="Arial"/>
          <w:sz w:val="17"/>
          <w:szCs w:val="17"/>
          <w:color w:val="auto"/>
        </w:rPr>
        <w:t>which are beneficially owned, directly or indirectly, by any other Person with which such Person (or any of such Person’s Affiliates or Associates) has any agreement, arrangement or understanding (other than customary agreements with and between underwriters</w:t>
      </w:r>
    </w:p>
    <w:p>
      <w:pPr>
        <w:spacing w:after="0" w:line="132"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875" cy="209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95"/>
          </w:cols>
          <w:pgMar w:left="245" w:top="913" w:right="259" w:bottom="1440" w:gutter="0" w:footer="0" w:header="0"/>
        </w:sectPr>
      </w:pPr>
    </w:p>
    <w:bookmarkStart w:id="314" w:name="page315"/>
    <w:bookmarkEnd w:id="314"/>
    <w:p>
      <w:pPr>
        <w:ind w:right="20"/>
        <w:spacing w:after="0" w:line="289" w:lineRule="auto"/>
        <w:rPr>
          <w:sz w:val="20"/>
          <w:szCs w:val="20"/>
          <w:color w:val="auto"/>
        </w:rPr>
      </w:pPr>
      <w:r>
        <w:rPr>
          <w:rFonts w:ascii="Arial" w:cs="Arial" w:eastAsia="Arial" w:hAnsi="Arial"/>
          <w:sz w:val="16"/>
          <w:szCs w:val="16"/>
          <w:color w:val="auto"/>
        </w:rPr>
        <w:t>and selling group members with respect to a bona fide public offering of securities or agreements with or between Persons and the Company with respect to any other bona fide issuance of securities by the Company to such Persons for resale within 40 days, including without limitation pursuant to Section 4(2) of the Act or Rule 144A or Regulation S promulgated under the Act) whether or not in writing, for the purpose of acquiring, holding, voting (except pursuant to a revocable proxy or consent as described in the proviso to subparagraph (ii) of this paragraph (e)) or disposing of any voting securities of the Company.</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13d-3(d)(l)(i) of the General Rules and Regulations under the Exchange Act.</w:t>
      </w:r>
    </w:p>
    <w:p>
      <w:pPr>
        <w:spacing w:after="0" w:line="66" w:lineRule="exact"/>
        <w:rPr>
          <w:sz w:val="20"/>
          <w:szCs w:val="20"/>
          <w:color w:val="auto"/>
        </w:rPr>
      </w:pPr>
    </w:p>
    <w:p>
      <w:pPr>
        <w:ind w:left="440" w:hanging="217"/>
        <w:spacing w:after="0"/>
        <w:tabs>
          <w:tab w:leader="none" w:pos="4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“Board” shall have the meaning set forth in the WHEREAS clause at the beginning of this Agreement.</w:t>
      </w:r>
    </w:p>
    <w:p>
      <w:pPr>
        <w:spacing w:after="0" w:line="118" w:lineRule="exact"/>
        <w:rPr>
          <w:rFonts w:ascii="Arial" w:cs="Arial" w:eastAsia="Arial" w:hAnsi="Arial"/>
          <w:sz w:val="17"/>
          <w:szCs w:val="17"/>
          <w:color w:val="auto"/>
        </w:rPr>
      </w:pPr>
    </w:p>
    <w:p>
      <w:pPr>
        <w:ind w:right="580" w:firstLine="223"/>
        <w:spacing w:after="0" w:line="289" w:lineRule="auto"/>
        <w:tabs>
          <w:tab w:leader="none" w:pos="46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“Business Day” shall mean any day other than a Saturday, Sunday or a day on which banking institutions in the State of New York are authorized or obligated by law or executive order to close.</w:t>
      </w:r>
    </w:p>
    <w:p>
      <w:pPr>
        <w:spacing w:after="0" w:line="53" w:lineRule="exact"/>
        <w:rPr>
          <w:rFonts w:ascii="Arial" w:cs="Arial" w:eastAsia="Arial" w:hAnsi="Arial"/>
          <w:sz w:val="17"/>
          <w:szCs w:val="17"/>
          <w:color w:val="auto"/>
        </w:rPr>
      </w:pPr>
    </w:p>
    <w:p>
      <w:pPr>
        <w:ind w:firstLine="223"/>
        <w:spacing w:after="0" w:line="289" w:lineRule="auto"/>
        <w:tabs>
          <w:tab w:leader="none" w:pos="46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“Close of business” on any given date shall mean 5:00 p.m., New York time,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date is not a Business Day it shall mean 5:00 p.m., New York time, on the next succeeding Business Day.</w:t>
      </w:r>
    </w:p>
    <w:p>
      <w:pPr>
        <w:spacing w:after="0" w:line="53" w:lineRule="exact"/>
        <w:rPr>
          <w:rFonts w:ascii="Arial" w:cs="Arial" w:eastAsia="Arial" w:hAnsi="Arial"/>
          <w:sz w:val="17"/>
          <w:szCs w:val="17"/>
          <w:color w:val="auto"/>
        </w:rPr>
      </w:pPr>
    </w:p>
    <w:p>
      <w:pPr>
        <w:ind w:firstLine="223"/>
        <w:spacing w:after="0" w:line="261" w:lineRule="auto"/>
        <w:tabs>
          <w:tab w:leader="none" w:pos="426" w:val="left"/>
        </w:tabs>
        <w:numPr>
          <w:ilvl w:val="0"/>
          <w:numId w:val="243"/>
        </w:numPr>
        <w:rPr>
          <w:rFonts w:ascii="Arial" w:cs="Arial" w:eastAsia="Arial" w:hAnsi="Arial"/>
          <w:sz w:val="17"/>
          <w:szCs w:val="17"/>
          <w:color w:val="auto"/>
        </w:rPr>
      </w:pPr>
      <w:r>
        <w:rPr>
          <w:rFonts w:ascii="Arial" w:cs="Arial" w:eastAsia="Arial" w:hAnsi="Arial"/>
          <w:sz w:val="17"/>
          <w:szCs w:val="17"/>
          <w:color w:val="auto"/>
        </w:rPr>
        <w:t>“Common Stock” shall mean the common stock, $.001 par value, of the Company, except that “Common Stock” when used with reference to any Person other than the Company shall mean the capital stock of such Person with the greatest voting power, or the equity securities or other equity interest having power to control or direct the management, of such Person. Prior to the closing of the Company’s IPO, references to Common Stock shall include both the Company’s common stock, par value $.001 per share, and the Company’s class B non-voting common stock, par value $.01 per share. For avoidance of doubt, notwithstanding any other provision of this Agreement, immediately prior to the closing of the Company’s IPO (at which point, pursuant to the Company’s Certificate of Incorporation, each outstanding share of class B non-voting common stock shall automatically convert into one share of the Company’s common stock), the Right theretofore attached to each share of class B non-voting common stock shall be cancelled and each share of common stock issued upon conversion of the class B non-voting common stock shall have attached to it one Right.</w:t>
      </w:r>
    </w:p>
    <w:p>
      <w:pPr>
        <w:spacing w:after="0" w:line="80" w:lineRule="exact"/>
        <w:rPr>
          <w:rFonts w:ascii="Arial" w:cs="Arial" w:eastAsia="Arial" w:hAnsi="Arial"/>
          <w:sz w:val="17"/>
          <w:szCs w:val="17"/>
          <w:color w:val="auto"/>
        </w:rPr>
      </w:pPr>
    </w:p>
    <w:p>
      <w:pPr>
        <w:ind w:left="440" w:hanging="217"/>
        <w:spacing w:after="0"/>
        <w:tabs>
          <w:tab w:leader="none" w:pos="4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“Common stock equivalents” shall have the meaning set forth in Section 11(a)(iii) hereof.</w:t>
      </w:r>
    </w:p>
    <w:p>
      <w:pPr>
        <w:spacing w:after="0" w:line="118" w:lineRule="exact"/>
        <w:rPr>
          <w:rFonts w:ascii="Arial" w:cs="Arial" w:eastAsia="Arial" w:hAnsi="Arial"/>
          <w:sz w:val="17"/>
          <w:szCs w:val="17"/>
          <w:color w:val="auto"/>
        </w:rPr>
      </w:pPr>
    </w:p>
    <w:p>
      <w:pPr>
        <w:ind w:left="480" w:hanging="257"/>
        <w:spacing w:after="0"/>
        <w:tabs>
          <w:tab w:leader="none" w:pos="4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“Company” shall have the meaning set forth in the introductory paragraph hereof.</w:t>
      </w:r>
    </w:p>
    <w:p>
      <w:pPr>
        <w:spacing w:after="0" w:line="118" w:lineRule="exact"/>
        <w:rPr>
          <w:rFonts w:ascii="Arial" w:cs="Arial" w:eastAsia="Arial" w:hAnsi="Arial"/>
          <w:sz w:val="17"/>
          <w:szCs w:val="17"/>
          <w:color w:val="auto"/>
        </w:rPr>
      </w:pPr>
    </w:p>
    <w:p>
      <w:pPr>
        <w:ind w:left="440" w:hanging="217"/>
        <w:spacing w:after="0"/>
        <w:tabs>
          <w:tab w:leader="none" w:pos="4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“Current market price” shall have the meaning set forth in Section 11(d)(i) 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15" w:name="page316"/>
    <w:bookmarkEnd w:id="315"/>
    <w:p>
      <w:pPr>
        <w:ind w:left="520" w:hanging="297"/>
        <w:spacing w:after="0"/>
        <w:tabs>
          <w:tab w:leader="none" w:pos="52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“Current Value” shall have the meaning set forth in Section 11(a)(iii) hereof.</w:t>
      </w:r>
    </w:p>
    <w:p>
      <w:pPr>
        <w:spacing w:after="0" w:line="118" w:lineRule="exact"/>
        <w:rPr>
          <w:rFonts w:ascii="Arial" w:cs="Arial" w:eastAsia="Arial" w:hAnsi="Arial"/>
          <w:sz w:val="17"/>
          <w:szCs w:val="17"/>
          <w:color w:val="auto"/>
        </w:rPr>
      </w:pPr>
    </w:p>
    <w:p>
      <w:pPr>
        <w:ind w:left="480" w:hanging="257"/>
        <w:spacing w:after="0"/>
        <w:tabs>
          <w:tab w:leader="none" w:pos="4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“Distribution Date” shall have the meaning set forth in Section 3(a) hereof.</w:t>
      </w:r>
    </w:p>
    <w:p>
      <w:pPr>
        <w:spacing w:after="0" w:line="118" w:lineRule="exact"/>
        <w:rPr>
          <w:rFonts w:ascii="Arial" w:cs="Arial" w:eastAsia="Arial" w:hAnsi="Arial"/>
          <w:sz w:val="17"/>
          <w:szCs w:val="17"/>
          <w:color w:val="auto"/>
        </w:rPr>
      </w:pPr>
    </w:p>
    <w:p>
      <w:pPr>
        <w:ind w:left="480" w:hanging="257"/>
        <w:spacing w:after="0"/>
        <w:tabs>
          <w:tab w:leader="none" w:pos="4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“Equivalent Preferred Stock” shall have the meaning set forth in Section 11(b) hereof.</w:t>
      </w:r>
    </w:p>
    <w:p>
      <w:pPr>
        <w:spacing w:after="0" w:line="118" w:lineRule="exact"/>
        <w:rPr>
          <w:rFonts w:ascii="Arial" w:cs="Arial" w:eastAsia="Arial" w:hAnsi="Arial"/>
          <w:sz w:val="17"/>
          <w:szCs w:val="17"/>
          <w:color w:val="auto"/>
        </w:rPr>
      </w:pPr>
    </w:p>
    <w:p>
      <w:pPr>
        <w:ind w:left="480" w:hanging="257"/>
        <w:spacing w:after="0"/>
        <w:tabs>
          <w:tab w:leader="none" w:pos="4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“Exchange Act” shall have the meaning set forth in Section 1(c) hereof.</w:t>
      </w:r>
    </w:p>
    <w:p>
      <w:pPr>
        <w:spacing w:after="0" w:line="118" w:lineRule="exact"/>
        <w:rPr>
          <w:rFonts w:ascii="Arial" w:cs="Arial" w:eastAsia="Arial" w:hAnsi="Arial"/>
          <w:sz w:val="17"/>
          <w:szCs w:val="17"/>
          <w:color w:val="auto"/>
        </w:rPr>
      </w:pPr>
    </w:p>
    <w:p>
      <w:pPr>
        <w:ind w:left="480" w:hanging="257"/>
        <w:spacing w:after="0"/>
        <w:tabs>
          <w:tab w:leader="none" w:pos="48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“Exchange Ratio” shall have the meaning set forth in Section 24(a) hereof.</w:t>
      </w:r>
    </w:p>
    <w:p>
      <w:pPr>
        <w:spacing w:after="0" w:line="118" w:lineRule="exact"/>
        <w:rPr>
          <w:rFonts w:ascii="Arial" w:cs="Arial" w:eastAsia="Arial" w:hAnsi="Arial"/>
          <w:sz w:val="17"/>
          <w:szCs w:val="17"/>
          <w:color w:val="auto"/>
        </w:rPr>
      </w:pPr>
    </w:p>
    <w:p>
      <w:pPr>
        <w:ind w:right="180" w:firstLine="223"/>
        <w:spacing w:after="0" w:line="281" w:lineRule="auto"/>
        <w:tabs>
          <w:tab w:leader="none" w:pos="436" w:val="left"/>
        </w:tabs>
        <w:numPr>
          <w:ilvl w:val="0"/>
          <w:numId w:val="244"/>
        </w:numPr>
        <w:rPr>
          <w:rFonts w:ascii="Arial" w:cs="Arial" w:eastAsia="Arial" w:hAnsi="Arial"/>
          <w:sz w:val="16"/>
          <w:szCs w:val="16"/>
          <w:color w:val="auto"/>
        </w:rPr>
      </w:pPr>
      <w:r>
        <w:rPr>
          <w:rFonts w:ascii="Arial" w:cs="Arial" w:eastAsia="Arial" w:hAnsi="Arial"/>
          <w:sz w:val="16"/>
          <w:szCs w:val="16"/>
          <w:color w:val="auto"/>
        </w:rPr>
        <w:t>“Exempted Person” shall mean (i) Fuad El-Hibri, Nancy El-Hibri and any Person controlled by Fuad El-Hibri or Nancy El-Hibri, (ii) Microscience Investments Limited (“Microscience”), unless and until such time as Microscience, together with its Affiliates and Associates, directly or indirectly, becomes the Beneficial Owner of any additional shares of Common Stock (other than under circumstances described in the second sentence of Section 1(a) hereof and disregarding any shares Microscience is or becomes the Beneficial Owner of solely as a result of the fact that it is a party to any of the pre-IPO stockholder arrangements described in the Company’s Registration Statement on Form S-1 relating to its IPO), and (iii) each other holder of the Company’s Common Stock immediately prior to the IPO to the extent such person’s Beneficial Ownership exceeds 15% solely as a result of the fact that such person is a party to any of the pre-IPO stockholder arrangements described in the Company’s Registration Statement on Form S-1 relating to its IPO.</w:t>
      </w:r>
    </w:p>
    <w:p>
      <w:pPr>
        <w:spacing w:after="0" w:line="63" w:lineRule="exact"/>
        <w:rPr>
          <w:rFonts w:ascii="Arial" w:cs="Arial" w:eastAsia="Arial" w:hAnsi="Arial"/>
          <w:sz w:val="16"/>
          <w:szCs w:val="16"/>
          <w:color w:val="auto"/>
        </w:rPr>
      </w:pPr>
    </w:p>
    <w:p>
      <w:pPr>
        <w:ind w:left="460" w:hanging="237"/>
        <w:spacing w:after="0"/>
        <w:tabs>
          <w:tab w:leader="none" w:pos="4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“Expiration Date” shall have the meaning set forth in Section 7(a) hereof.</w:t>
      </w:r>
    </w:p>
    <w:p>
      <w:pPr>
        <w:spacing w:after="0" w:line="106"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4420" w:type="dxa"/>
            <w:vAlign w:val="bottom"/>
          </w:tcPr>
          <w:p>
            <w:pPr>
              <w:spacing w:after="0"/>
              <w:rPr>
                <w:sz w:val="20"/>
                <w:szCs w:val="20"/>
                <w:color w:val="auto"/>
              </w:rPr>
            </w:pPr>
            <w:r>
              <w:rPr>
                <w:rFonts w:ascii="Arial" w:cs="Arial" w:eastAsia="Arial" w:hAnsi="Arial"/>
                <w:sz w:val="17"/>
                <w:szCs w:val="17"/>
                <w:color w:val="auto"/>
                <w:w w:val="94"/>
              </w:rPr>
              <w:t>(t) “Final Expiration Date” shall mean the close of business on</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 2016.</w:t>
            </w:r>
          </w:p>
        </w:tc>
      </w:tr>
      <w:tr>
        <w:trPr>
          <w:trHeight w:val="20"/>
        </w:trPr>
        <w:tc>
          <w:tcPr>
            <w:tcW w:w="4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19" w:lineRule="exact"/>
        <w:rPr>
          <w:sz w:val="20"/>
          <w:szCs w:val="20"/>
          <w:color w:val="auto"/>
        </w:rPr>
      </w:pPr>
    </w:p>
    <w:p>
      <w:pPr>
        <w:ind w:firstLine="223"/>
        <w:spacing w:after="0" w:line="285" w:lineRule="auto"/>
        <w:tabs>
          <w:tab w:leader="none" w:pos="46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“Permitted Offer” shall mean a tender offer or an exchange offer for all outstanding shares of Common Stock at a price and on terms determined, prior to the consummation of such tender offer or exchange offer, by directors constituting at least 75% of all of the members of the Board, after receiving advice from a nationally recognized investment banking firm selected by the Board, to be (a) at a price that is fair to stockholders (taking into account all factors which such members of the Board deem relevant including, without limitation, prices which could reasonably be achieved if the Company or its assets were sold on an orderly basis designed to realize maximum value) and (b) otherwise in the best interests of the Company and its stockholders.</w:t>
      </w:r>
    </w:p>
    <w:p>
      <w:pPr>
        <w:spacing w:after="0" w:line="59" w:lineRule="exact"/>
        <w:rPr>
          <w:rFonts w:ascii="Arial" w:cs="Arial" w:eastAsia="Arial" w:hAnsi="Arial"/>
          <w:sz w:val="16"/>
          <w:szCs w:val="16"/>
          <w:color w:val="auto"/>
        </w:rPr>
      </w:pPr>
    </w:p>
    <w:p>
      <w:pPr>
        <w:ind w:right="20" w:firstLine="223"/>
        <w:spacing w:after="0" w:line="289" w:lineRule="auto"/>
        <w:tabs>
          <w:tab w:leader="none" w:pos="46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“Person” shall mean any individual, firm, corporation, partnership, limited liability company, limited liability partnership, trust, syndicate or other entity and includes,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16" w:name="page317"/>
    <w:bookmarkEnd w:id="316"/>
    <w:p>
      <w:pPr>
        <w:ind w:right="340"/>
        <w:spacing w:after="0" w:line="289" w:lineRule="auto"/>
        <w:rPr>
          <w:sz w:val="20"/>
          <w:szCs w:val="20"/>
          <w:color w:val="auto"/>
        </w:rPr>
      </w:pPr>
      <w:r>
        <w:rPr>
          <w:rFonts w:ascii="Arial" w:cs="Arial" w:eastAsia="Arial" w:hAnsi="Arial"/>
          <w:sz w:val="17"/>
          <w:szCs w:val="17"/>
          <w:color w:val="auto"/>
        </w:rPr>
        <w:t>without limitation, an unincorporated group of persons who, by formal or informal agreement or arrangement (whether or not in writing), have embarked on a common purpose or act.</w:t>
      </w:r>
    </w:p>
    <w:p>
      <w:pPr>
        <w:spacing w:after="0" w:line="53" w:lineRule="exact"/>
        <w:rPr>
          <w:sz w:val="20"/>
          <w:szCs w:val="20"/>
          <w:color w:val="auto"/>
        </w:rPr>
      </w:pPr>
    </w:p>
    <w:p>
      <w:pPr>
        <w:ind w:firstLine="223"/>
        <w:spacing w:after="0" w:line="267" w:lineRule="auto"/>
        <w:tabs>
          <w:tab w:leader="none" w:pos="504" w:val="left"/>
        </w:tabs>
        <w:numPr>
          <w:ilvl w:val="0"/>
          <w:numId w:val="246"/>
        </w:numPr>
        <w:rPr>
          <w:rFonts w:ascii="Arial" w:cs="Arial" w:eastAsia="Arial" w:hAnsi="Arial"/>
          <w:sz w:val="17"/>
          <w:szCs w:val="17"/>
          <w:color w:val="auto"/>
        </w:rPr>
      </w:pPr>
      <w:r>
        <w:rPr>
          <w:rFonts w:ascii="Arial" w:cs="Arial" w:eastAsia="Arial" w:hAnsi="Arial"/>
          <w:sz w:val="17"/>
          <w:szCs w:val="17"/>
          <w:color w:val="auto"/>
        </w:rPr>
        <w:t>“Preferred Stock” shall mean shares of Series A Junior Preferred Stock (as defined in the WHEREAS clause at the beginning of this Agreement) and, to the extent that there is not a sufficient number of shares of Series A Junior Preferred Stock authorized to permit the full exercise of the Rights, any other series of Preferred Stock, $.001 par value, of the Company designated for such purpose containing terms substantially similar to the terms of the Series A Junior Preferred Stock.</w:t>
      </w:r>
    </w:p>
    <w:p>
      <w:pPr>
        <w:spacing w:after="0" w:line="72" w:lineRule="exact"/>
        <w:rPr>
          <w:rFonts w:ascii="Arial" w:cs="Arial" w:eastAsia="Arial" w:hAnsi="Arial"/>
          <w:sz w:val="17"/>
          <w:szCs w:val="17"/>
          <w:color w:val="auto"/>
        </w:rPr>
      </w:pPr>
    </w:p>
    <w:p>
      <w:pPr>
        <w:ind w:left="480" w:hanging="257"/>
        <w:spacing w:after="0"/>
        <w:tabs>
          <w:tab w:leader="none" w:pos="4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“Principal Party” shall have the meaning set forth in Section 13(b) hereof.</w:t>
      </w:r>
    </w:p>
    <w:p>
      <w:pPr>
        <w:spacing w:after="0" w:line="118" w:lineRule="exact"/>
        <w:rPr>
          <w:rFonts w:ascii="Arial" w:cs="Arial" w:eastAsia="Arial" w:hAnsi="Arial"/>
          <w:sz w:val="17"/>
          <w:szCs w:val="17"/>
          <w:color w:val="auto"/>
        </w:rPr>
      </w:pPr>
    </w:p>
    <w:p>
      <w:pPr>
        <w:ind w:left="480" w:hanging="257"/>
        <w:spacing w:after="0"/>
        <w:tabs>
          <w:tab w:leader="none" w:pos="48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“Purchase Price” shall have the meaning set forth in Section 4(a) hereof.</w:t>
      </w:r>
    </w:p>
    <w:p>
      <w:pPr>
        <w:spacing w:after="0" w:line="118" w:lineRule="exact"/>
        <w:rPr>
          <w:rFonts w:ascii="Arial" w:cs="Arial" w:eastAsia="Arial" w:hAnsi="Arial"/>
          <w:sz w:val="17"/>
          <w:szCs w:val="17"/>
          <w:color w:val="auto"/>
        </w:rPr>
      </w:pPr>
    </w:p>
    <w:p>
      <w:pPr>
        <w:ind w:left="460" w:hanging="237"/>
        <w:spacing w:after="0"/>
        <w:tabs>
          <w:tab w:leader="none" w:pos="4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“Record Date” shall have the meaning set forth in the WHEREAS clause at the beginning of this Agreement.</w:t>
      </w:r>
    </w:p>
    <w:p>
      <w:pPr>
        <w:spacing w:after="0" w:line="119" w:lineRule="exact"/>
        <w:rPr>
          <w:sz w:val="20"/>
          <w:szCs w:val="20"/>
          <w:color w:val="auto"/>
        </w:rPr>
      </w:pPr>
    </w:p>
    <w:p>
      <w:pPr>
        <w:ind w:left="540" w:hanging="317"/>
        <w:spacing w:after="0"/>
        <w:tabs>
          <w:tab w:leader="none" w:pos="54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“Redemption Date” shall have the meaning set forth in Section 7(a) hereof.</w:t>
      </w:r>
    </w:p>
    <w:p>
      <w:pPr>
        <w:spacing w:after="0" w:line="118" w:lineRule="exact"/>
        <w:rPr>
          <w:rFonts w:ascii="Arial" w:cs="Arial" w:eastAsia="Arial" w:hAnsi="Arial"/>
          <w:sz w:val="17"/>
          <w:szCs w:val="17"/>
          <w:color w:val="auto"/>
        </w:rPr>
      </w:pPr>
    </w:p>
    <w:p>
      <w:pPr>
        <w:ind w:left="560" w:hanging="337"/>
        <w:spacing w:after="0"/>
        <w:tabs>
          <w:tab w:leader="none" w:pos="56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“Redemption Price” shall have the meaning set forth in Section 23(a) hereof.</w:t>
      </w:r>
    </w:p>
    <w:p>
      <w:pPr>
        <w:spacing w:after="0" w:line="118" w:lineRule="exact"/>
        <w:rPr>
          <w:rFonts w:ascii="Arial" w:cs="Arial" w:eastAsia="Arial" w:hAnsi="Arial"/>
          <w:sz w:val="17"/>
          <w:szCs w:val="17"/>
          <w:color w:val="auto"/>
        </w:rPr>
      </w:pPr>
    </w:p>
    <w:p>
      <w:pPr>
        <w:ind w:left="540" w:hanging="317"/>
        <w:spacing w:after="0"/>
        <w:tabs>
          <w:tab w:leader="none" w:pos="54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“Rights” shall have the meaning set forth in the WHEREAS clause at the beginning of this Agreement.</w:t>
      </w:r>
    </w:p>
    <w:p>
      <w:pPr>
        <w:spacing w:after="0" w:line="118" w:lineRule="exact"/>
        <w:rPr>
          <w:rFonts w:ascii="Arial" w:cs="Arial" w:eastAsia="Arial" w:hAnsi="Arial"/>
          <w:sz w:val="17"/>
          <w:szCs w:val="17"/>
          <w:color w:val="auto"/>
        </w:rPr>
      </w:pPr>
    </w:p>
    <w:p>
      <w:pPr>
        <w:ind w:left="560" w:hanging="337"/>
        <w:spacing w:after="0"/>
        <w:tabs>
          <w:tab w:leader="none" w:pos="56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“Rights Agent” shall have the meaning set forth in the introductory paragraph hereof.</w:t>
      </w:r>
    </w:p>
    <w:p>
      <w:pPr>
        <w:spacing w:after="0" w:line="118" w:lineRule="exact"/>
        <w:rPr>
          <w:rFonts w:ascii="Arial" w:cs="Arial" w:eastAsia="Arial" w:hAnsi="Arial"/>
          <w:sz w:val="17"/>
          <w:szCs w:val="17"/>
          <w:color w:val="auto"/>
        </w:rPr>
      </w:pPr>
    </w:p>
    <w:p>
      <w:pPr>
        <w:ind w:left="540" w:hanging="317"/>
        <w:spacing w:after="0"/>
        <w:tabs>
          <w:tab w:leader="none" w:pos="54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“Rights Certificates” shall have the meaning set forth in Section 3(a) hereof.</w:t>
      </w:r>
    </w:p>
    <w:p>
      <w:pPr>
        <w:spacing w:after="0" w:line="118" w:lineRule="exact"/>
        <w:rPr>
          <w:rFonts w:ascii="Arial" w:cs="Arial" w:eastAsia="Arial" w:hAnsi="Arial"/>
          <w:sz w:val="17"/>
          <w:szCs w:val="17"/>
          <w:color w:val="auto"/>
        </w:rPr>
      </w:pPr>
    </w:p>
    <w:p>
      <w:pPr>
        <w:ind w:left="500" w:hanging="277"/>
        <w:spacing w:after="0"/>
        <w:tabs>
          <w:tab w:leader="none" w:pos="50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“Section 11(a)(ii) Event” shall mean an acquisition of Common Stock described in the first sentence of Section 11(a)(ii) hereof.</w:t>
      </w:r>
    </w:p>
    <w:p>
      <w:pPr>
        <w:spacing w:after="0" w:line="118" w:lineRule="exact"/>
        <w:rPr>
          <w:rFonts w:ascii="Arial" w:cs="Arial" w:eastAsia="Arial" w:hAnsi="Arial"/>
          <w:sz w:val="17"/>
          <w:szCs w:val="17"/>
          <w:color w:val="auto"/>
        </w:rPr>
      </w:pPr>
    </w:p>
    <w:p>
      <w:pPr>
        <w:ind w:left="560" w:hanging="337"/>
        <w:spacing w:after="0"/>
        <w:tabs>
          <w:tab w:leader="none" w:pos="56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“Section 11(a)(ii) Trigger Date” shall have the meaning set forth in Section 11(a)(iii) hereof.</w:t>
      </w:r>
    </w:p>
    <w:p>
      <w:pPr>
        <w:spacing w:after="0" w:line="118" w:lineRule="exact"/>
        <w:rPr>
          <w:rFonts w:ascii="Arial" w:cs="Arial" w:eastAsia="Arial" w:hAnsi="Arial"/>
          <w:sz w:val="17"/>
          <w:szCs w:val="17"/>
          <w:color w:val="auto"/>
        </w:rPr>
      </w:pPr>
    </w:p>
    <w:p>
      <w:pPr>
        <w:ind w:left="560" w:hanging="337"/>
        <w:spacing w:after="0"/>
        <w:tabs>
          <w:tab w:leader="none" w:pos="56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“Section 13 Event” shall mean any event described in clauses (x), (y) or (z) of Section 13(a) hereof.</w:t>
      </w:r>
    </w:p>
    <w:p>
      <w:pPr>
        <w:spacing w:after="0" w:line="118" w:lineRule="exact"/>
        <w:rPr>
          <w:rFonts w:ascii="Arial" w:cs="Arial" w:eastAsia="Arial" w:hAnsi="Arial"/>
          <w:sz w:val="17"/>
          <w:szCs w:val="17"/>
          <w:color w:val="auto"/>
        </w:rPr>
      </w:pPr>
    </w:p>
    <w:p>
      <w:pPr>
        <w:ind w:left="480" w:hanging="257"/>
        <w:spacing w:after="0"/>
        <w:tabs>
          <w:tab w:leader="none" w:pos="48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“Spread” shall have the meaning set forth in Section 11(a)(iii) hereof.</w:t>
      </w:r>
    </w:p>
    <w:p>
      <w:pPr>
        <w:spacing w:after="0" w:line="118" w:lineRule="exact"/>
        <w:rPr>
          <w:rFonts w:ascii="Arial" w:cs="Arial" w:eastAsia="Arial" w:hAnsi="Arial"/>
          <w:sz w:val="17"/>
          <w:szCs w:val="17"/>
          <w:color w:val="auto"/>
        </w:rPr>
      </w:pPr>
    </w:p>
    <w:p>
      <w:pPr>
        <w:ind w:right="40" w:firstLine="223"/>
        <w:spacing w:after="0" w:line="299" w:lineRule="auto"/>
        <w:tabs>
          <w:tab w:leader="none" w:pos="475" w:val="left"/>
        </w:tabs>
        <w:numPr>
          <w:ilvl w:val="1"/>
          <w:numId w:val="247"/>
        </w:numPr>
        <w:rPr>
          <w:rFonts w:ascii="Arial" w:cs="Arial" w:eastAsia="Arial" w:hAnsi="Arial"/>
          <w:sz w:val="15"/>
          <w:szCs w:val="15"/>
          <w:color w:val="auto"/>
        </w:rPr>
      </w:pPr>
      <w:r>
        <w:rPr>
          <w:rFonts w:ascii="Arial" w:cs="Arial" w:eastAsia="Arial" w:hAnsi="Arial"/>
          <w:sz w:val="15"/>
          <w:szCs w:val="15"/>
          <w:color w:val="auto"/>
        </w:rPr>
        <w:t>“Stock Acquisition Date” shall mean the later of (i) the first date of public announcement (which, for purposes of this definition, shall include, without limitation, a report filed pursuant to Section 13(d) under the Exchange Act) by the Company or an Acquiring Person that an Acquiring Person has become such or</w:t>
      </w:r>
    </w:p>
    <w:p>
      <w:pPr>
        <w:spacing w:after="0" w:line="1" w:lineRule="exact"/>
        <w:rPr>
          <w:rFonts w:ascii="Arial" w:cs="Arial" w:eastAsia="Arial" w:hAnsi="Arial"/>
          <w:sz w:val="15"/>
          <w:szCs w:val="15"/>
          <w:color w:val="auto"/>
        </w:rPr>
      </w:pPr>
    </w:p>
    <w:p>
      <w:pPr>
        <w:ind w:left="260" w:hanging="255"/>
        <w:spacing w:after="0"/>
        <w:tabs>
          <w:tab w:leader="none" w:pos="2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 xml:space="preserve">the first date on which an executive officer of the Company has actual knowledge that an Acquiring Person has become such; </w:t>
      </w:r>
      <w:r>
        <w:rPr>
          <w:rFonts w:ascii="Arial" w:cs="Arial" w:eastAsia="Arial" w:hAnsi="Arial"/>
          <w:sz w:val="17"/>
          <w:szCs w:val="17"/>
          <w:u w:val="single" w:color="auto"/>
          <w:color w:val="auto"/>
        </w:rPr>
        <w:t>provided</w:t>
      </w:r>
      <w:r>
        <w:rPr>
          <w:rFonts w:ascii="Arial" w:cs="Arial" w:eastAsia="Arial" w:hAnsi="Arial"/>
          <w:sz w:val="17"/>
          <w:szCs w:val="17"/>
          <w:color w:val="auto"/>
        </w:rPr>
        <w: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2" w:right="279" w:bottom="1440" w:gutter="0" w:footer="0" w:header="0"/>
        </w:sectPr>
      </w:pPr>
    </w:p>
    <w:bookmarkStart w:id="317" w:name="page318"/>
    <w:bookmarkEnd w:id="317"/>
    <w:p>
      <w:pPr>
        <w:ind w:right="140"/>
        <w:spacing w:after="0" w:line="289" w:lineRule="auto"/>
        <w:rPr>
          <w:sz w:val="20"/>
          <w:szCs w:val="20"/>
          <w:color w:val="auto"/>
        </w:rPr>
      </w:pP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such Person is deemed not to be an Acquiring Person pursuant to clause (y) of Section 1(a) hereof, no Stock Acquisition Date shall be deemed to have occurred.</w:t>
      </w:r>
    </w:p>
    <w:p>
      <w:pPr>
        <w:spacing w:after="0" w:line="53" w:lineRule="exact"/>
        <w:rPr>
          <w:sz w:val="20"/>
          <w:szCs w:val="20"/>
          <w:color w:val="auto"/>
        </w:rPr>
      </w:pPr>
    </w:p>
    <w:p>
      <w:pPr>
        <w:ind w:right="120" w:firstLine="223"/>
        <w:spacing w:after="0" w:line="273" w:lineRule="auto"/>
        <w:tabs>
          <w:tab w:leader="none" w:pos="553" w:val="left"/>
        </w:tabs>
        <w:numPr>
          <w:ilvl w:val="0"/>
          <w:numId w:val="249"/>
        </w:numPr>
        <w:rPr>
          <w:rFonts w:ascii="Arial" w:cs="Arial" w:eastAsia="Arial" w:hAnsi="Arial"/>
          <w:sz w:val="17"/>
          <w:szCs w:val="17"/>
          <w:color w:val="auto"/>
        </w:rPr>
      </w:pPr>
      <w:r>
        <w:rPr>
          <w:rFonts w:ascii="Arial" w:cs="Arial" w:eastAsia="Arial" w:hAnsi="Arial"/>
          <w:sz w:val="17"/>
          <w:szCs w:val="17"/>
          <w:color w:val="auto"/>
        </w:rPr>
        <w:t>“Subsidiary” shall mean, with reference to any Person, any corporation or other entity of which an amount of voting securities sufficient to elect at least a majority of the directors (or comparable body) of such corporation or other entity is beneficially owned, directly or indirectly, by such Person, or otherwise controlled by such Person.</w:t>
      </w:r>
    </w:p>
    <w:p>
      <w:pPr>
        <w:spacing w:after="0" w:line="66" w:lineRule="exact"/>
        <w:rPr>
          <w:rFonts w:ascii="Arial" w:cs="Arial" w:eastAsia="Arial" w:hAnsi="Arial"/>
          <w:sz w:val="17"/>
          <w:szCs w:val="17"/>
          <w:color w:val="auto"/>
        </w:rPr>
      </w:pPr>
    </w:p>
    <w:p>
      <w:pPr>
        <w:ind w:left="480" w:hanging="257"/>
        <w:spacing w:after="0"/>
        <w:tabs>
          <w:tab w:leader="none" w:pos="4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“Substitution Period” shall have the meaning set forth in Section 11(a)(iii) hereof.</w:t>
      </w:r>
    </w:p>
    <w:p>
      <w:pPr>
        <w:spacing w:after="0" w:line="118" w:lineRule="exact"/>
        <w:rPr>
          <w:rFonts w:ascii="Arial" w:cs="Arial" w:eastAsia="Arial" w:hAnsi="Arial"/>
          <w:sz w:val="17"/>
          <w:szCs w:val="17"/>
          <w:color w:val="auto"/>
        </w:rPr>
      </w:pPr>
    </w:p>
    <w:p>
      <w:pPr>
        <w:ind w:left="660" w:hanging="437"/>
        <w:spacing w:after="0"/>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“Trading Day” shall have the meaning set forth in Section 11(d)(i) hereof.</w:t>
      </w:r>
    </w:p>
    <w:p>
      <w:pPr>
        <w:spacing w:after="0" w:line="118" w:lineRule="exact"/>
        <w:rPr>
          <w:rFonts w:ascii="Arial" w:cs="Arial" w:eastAsia="Arial" w:hAnsi="Arial"/>
          <w:sz w:val="17"/>
          <w:szCs w:val="17"/>
          <w:color w:val="auto"/>
        </w:rPr>
      </w:pPr>
    </w:p>
    <w:p>
      <w:pPr>
        <w:ind w:left="560" w:hanging="337"/>
        <w:spacing w:after="0"/>
        <w:tabs>
          <w:tab w:leader="none" w:pos="5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“Triggering Event” shall mean any Section 11(a)(ii) Event or any Section 13 Event.</w:t>
      </w:r>
    </w:p>
    <w:p>
      <w:pPr>
        <w:spacing w:after="0" w:line="119" w:lineRule="exact"/>
        <w:rPr>
          <w:sz w:val="20"/>
          <w:szCs w:val="20"/>
          <w:color w:val="auto"/>
        </w:rPr>
      </w:pPr>
    </w:p>
    <w:p>
      <w:pPr>
        <w:ind w:firstLine="218"/>
        <w:spacing w:after="0" w:line="26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Appointment of Rights Agent</w:t>
      </w:r>
      <w:r>
        <w:rPr>
          <w:rFonts w:ascii="Arial" w:cs="Arial" w:eastAsia="Arial" w:hAnsi="Arial"/>
          <w:sz w:val="17"/>
          <w:szCs w:val="17"/>
          <w:color w:val="auto"/>
        </w:rPr>
        <w:t>. The Company hereby appoints the Rights Agent to act as agent for the Company and the holders of the Rights (who, in accordance with Section 3 hereof,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 upon ten (10) days’ prior written notice to the Rights Agent. The Rights Agent shall have no duty to supervise, and shall in no event be liable for, the acts or omissions of any such Co-Rights Agent.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Issuance of Rights</w:t>
      </w:r>
      <w:r>
        <w:rPr>
          <w:rFonts w:ascii="Arial" w:cs="Arial" w:eastAsia="Arial" w:hAnsi="Arial"/>
          <w:sz w:val="17"/>
          <w:szCs w:val="17"/>
          <w:color w:val="auto"/>
        </w:rPr>
        <w:t>.</w:t>
      </w:r>
    </w:p>
    <w:p>
      <w:pPr>
        <w:spacing w:after="0" w:line="119" w:lineRule="exact"/>
        <w:rPr>
          <w:sz w:val="20"/>
          <w:szCs w:val="20"/>
          <w:color w:val="auto"/>
        </w:rPr>
      </w:pPr>
    </w:p>
    <w:p>
      <w:pPr>
        <w:ind w:right="140" w:firstLine="223"/>
        <w:spacing w:after="0" w:line="260" w:lineRule="auto"/>
        <w:tabs>
          <w:tab w:leader="none" w:pos="45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Until the earlier of (i) the close of business on the tenth Business Day (or such later date as may be determined by the Board) after the Stock Acquisition Date (or, if the tenth Business Day after the Stock Acquisition Date occurs before the Record Date, the close of business on the Record Date), or (ii) the close of business on the tenth Business Day (or such later date as may be determined by action of the Board) after the date that a tender or exchange offer (other than a Permitted Offer) by any Person (other than the Company, any Subsidiary of the Company, any employee benefit plan of the Company or of any Subsidiary of the Company, or any Person organized, appointed or established by the Company for or pursuant to the terms of any such plan) is first published or sent or given within the meaning of Rule 14d-2 of the General Rules and Regulations under the Exchange Act, if upon consummation thereof, such Person would become an Acquiring Person, (the earlier of (i) and (ii) being herein referred to as the “Distribution Date”), (x) the Rights will be evidenced by the certificates for the Common Stock registered in the names of the holders of the Common Stock (which certificates for Common Stock shall be deemed also to be certificates for Rights) and not by separate certificates, and (y) the Rights will be transferable only in connection with the transfer of the underlying shares of Common Stock (including a transfer to the Company). As soon as practicable after the Distribution Date, the Rights Agent will send by first-class, insured, postage prepaid mail, to each record holder of the Common Stock as of the close of business on the Distribution Date, at the address of such holder shown on the records of the Company, one or</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18" w:name="page319"/>
    <w:bookmarkEnd w:id="318"/>
    <w:p>
      <w:pPr>
        <w:ind w:right="20"/>
        <w:spacing w:after="0" w:line="277" w:lineRule="auto"/>
        <w:rPr>
          <w:sz w:val="20"/>
          <w:szCs w:val="20"/>
          <w:color w:val="auto"/>
        </w:rPr>
      </w:pPr>
      <w:r>
        <w:rPr>
          <w:rFonts w:ascii="Arial" w:cs="Arial" w:eastAsia="Arial" w:hAnsi="Arial"/>
          <w:sz w:val="16"/>
          <w:szCs w:val="16"/>
          <w:color w:val="auto"/>
        </w:rPr>
        <w:t xml:space="preserve">more rights certificates,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“Rights Certificates”), evidencing one Right for each share of Common Stock so held, subject to adjustment as provided herein. With respect to certificates for the Common Stock outstanding as of the close of business on the Record Date, until the Distribution Date, the Rights will be evidenced by such certificates for the Common Stock and the registered holders of the Common Stock shall also be the registered holders of the associated Rights. In addition, in connection with the issuance or sale of shares of Common Stock following the Distribution Date and prior to the redemption or expiration of the Rights, the Company (i) shall, with respect to shares of Common Stock so issued or sold pursuant to the exercise of stock options or under any employee benefit plan or arrangement, or upon the exercise, conversion or exchange of securities granted or issued by the Company prior to the Distribution Date, and (ii) may, in any other case, if deemed necessary or appropriate by the Board, issue Rights Certificates representing the appropriate number of Rights in connection with such issuance or sale; provided, however, that (x) no such Rights Certificate shall be issued if, and to the extent that, the Company shall be advised by counsel that such issuance would create a significant risk of material adverse tax consequences to the Company or the Person to whom such Rights Certificate would be issued, and (y) no such Rights Certificate shall be issued if, and to the extent that, appropriate adjustment shall otherwise have been made in lieu of the issuance thereof. In the event that an adjustment in the number of Rights per share of Common Stock has been made pursuant to Sections 11(i) or 11(p) hereof, at the time of distribution of the Rights Certificates, the Company shall make the necessary and appropriate rounding adjustments (in accordance with Section 14(a) hereof) so that Rights Certificates representing only whole numbers of Rights are distributed and cash is paid in lieu of any fractional Rights. As of and after the Distribution Date, the Rights will be evidenced solely by such Rights Certificates.</w:t>
      </w:r>
    </w:p>
    <w:p>
      <w:pPr>
        <w:spacing w:after="0" w:line="65" w:lineRule="exact"/>
        <w:rPr>
          <w:sz w:val="20"/>
          <w:szCs w:val="20"/>
          <w:color w:val="auto"/>
        </w:rPr>
      </w:pPr>
    </w:p>
    <w:p>
      <w:pPr>
        <w:ind w:firstLine="223"/>
        <w:spacing w:after="0" w:line="285" w:lineRule="auto"/>
        <w:tabs>
          <w:tab w:leader="none" w:pos="45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As promptly as practicable following the Record Date, the Company will send a copy of a Summary of Rights to Purchase Preferred Stock,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by first-class, postage prepaid mail, to each record holder of the Common Stock as of the close of business on the Record Date, at the address of such holder shown on the records of the Company. The failure to send a copy of the Summary of Rights shall not affect the enforceability of any part of this Rights Agreement or the rights of any holder of the Rights. Notwithstanding the foregoing, the Company shall not be required to send a copy of such summary to any purchaser of Common Stock in the IPO if a substantially similar summary is included in the final prospectus relating to the IPO.</w:t>
      </w:r>
    </w:p>
    <w:p>
      <w:pPr>
        <w:spacing w:after="0" w:line="59" w:lineRule="exact"/>
        <w:rPr>
          <w:rFonts w:ascii="Arial" w:cs="Arial" w:eastAsia="Arial" w:hAnsi="Arial"/>
          <w:sz w:val="16"/>
          <w:szCs w:val="16"/>
          <w:color w:val="auto"/>
        </w:rPr>
      </w:pPr>
    </w:p>
    <w:p>
      <w:pPr>
        <w:ind w:right="20" w:firstLine="223"/>
        <w:spacing w:after="0" w:line="283" w:lineRule="auto"/>
        <w:tabs>
          <w:tab w:leader="none" w:pos="45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Rights shall be issued (i) in respect of all shares of Common Stock that are issued (either as an original issuance or from the Company’s treasury) after the Record Date but prior to the earlier of the Distribution Date or the Expiration Date and (ii) in connection with the issuance or sale of shares of Common Stock following the Distribution Date and prior to the redemption or expiration of the Rights (x) with respect to shares of Common Stock so issued or sold pursuant to the exercise of stock options or under any employee benefit plan or arrangement, or upon the exercise, conversion or exchange of securities, granted or issued by the Company prior to the Distribution Date and (y) with respect to shares of Common Stock so issued or sold in any other case, if deemed necessary or appropriate by the Board. Certificates representing such shares of Common Stock (including, without limitation, certificates issued upon transfer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19" w:name="page320"/>
    <w:bookmarkEnd w:id="319"/>
    <w:p>
      <w:pPr>
        <w:spacing w:after="0"/>
        <w:rPr>
          <w:sz w:val="20"/>
          <w:szCs w:val="20"/>
          <w:color w:val="auto"/>
        </w:rPr>
      </w:pPr>
      <w:r>
        <w:rPr>
          <w:rFonts w:ascii="Arial" w:cs="Arial" w:eastAsia="Arial" w:hAnsi="Arial"/>
          <w:sz w:val="17"/>
          <w:szCs w:val="17"/>
          <w:color w:val="auto"/>
        </w:rPr>
        <w:t>exchange of Common Stock) shall also be deemed to be certificates for Rights, and shall bear the following legend:</w:t>
      </w:r>
    </w:p>
    <w:p>
      <w:pPr>
        <w:spacing w:after="0" w:line="1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certificate also evidences and entitles the holder hereof to certain Rights as set forth in the Rights Agreement between Emergent BioSolutions Inc.</w:t>
      </w:r>
    </w:p>
    <w:p>
      <w:pPr>
        <w:spacing w:after="0" w:line="38" w:lineRule="exact"/>
        <w:rPr>
          <w:sz w:val="20"/>
          <w:szCs w:val="20"/>
          <w:color w:val="auto"/>
        </w:rPr>
      </w:pPr>
    </w:p>
    <w:p>
      <w:pPr>
        <w:ind w:left="680" w:right="40"/>
        <w:spacing w:after="0" w:line="278" w:lineRule="auto"/>
        <w:rPr>
          <w:sz w:val="20"/>
          <w:szCs w:val="20"/>
          <w:color w:val="auto"/>
        </w:rPr>
      </w:pPr>
      <w:r>
        <w:rPr>
          <w:rFonts w:ascii="Arial" w:cs="Arial" w:eastAsia="Arial" w:hAnsi="Arial"/>
          <w:sz w:val="16"/>
          <w:szCs w:val="16"/>
          <w:color w:val="auto"/>
        </w:rPr>
        <w:t>(the “Company”) and American Stock Transfer &amp; Trust Company (the “Rights Agent”) dated , 2006, as the same may be amended, restated or renewed from time to time (the “Rights Agreement”), the terms of which are hereby incorporated herein by reference and a copy of which is on file at the principal offices of the Company. Under certain circumstances, as set forth in the Rights Agreement, such Rights will be evidenced by separate certificates and will no longer be evidenced by this certificate. The Company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 thereof (as such terms are defined in the Rights Agreement), whether currently held by or on behalf of such Person or by any subsequent holder, may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4610735</wp:posOffset>
            </wp:positionH>
            <wp:positionV relativeFrom="paragraph">
              <wp:posOffset>-838200</wp:posOffset>
            </wp:positionV>
            <wp:extent cx="5543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48"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With respect to such certificates containing the foregoing legend, until the earlier of (i) the Distribution Date and (ii) the Expiration Date, the Rights associated with the Common Stock represented by such certificates shall be evidenced by such certificates alone and registered holders of Common Stock shall also be the registered holders of the associated Rights. Notwithstanding this Section 3(c), the omission of a legend shall not affect the enforceability of any part of this Rights Agreement or the rights of any holder of the Rights.</w:t>
      </w:r>
    </w:p>
    <w:p>
      <w:pPr>
        <w:spacing w:after="0" w:line="73" w:lineRule="exact"/>
        <w:rPr>
          <w:sz w:val="20"/>
          <w:szCs w:val="20"/>
          <w:color w:val="auto"/>
        </w:rPr>
      </w:pPr>
    </w:p>
    <w:p>
      <w:pPr>
        <w:ind w:right="140" w:firstLine="223"/>
        <w:spacing w:after="0" w:line="265" w:lineRule="auto"/>
        <w:tabs>
          <w:tab w:leader="none" w:pos="46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Until the earlier of the Distribution Date and the Expiration Date, the transfer of any certificates representing shares of Common Stock in respect of which Rights have been issued shall also constitute the transfer of the Rights associated with such shares of Common Stock. In the event that the Company purchases or acquires any shares of Common Stock after the Record Date but prior to the Distribution Date, any Rights associated with such shares of Common Stock shall be deemed cancelled and retired so that the Company shall not be entitled to exercise any Rights associated with the shares of Common Stock which are no longer outstanding.</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Form of Rights Certificates.</w:t>
      </w:r>
    </w:p>
    <w:p>
      <w:pPr>
        <w:spacing w:after="0" w:line="119" w:lineRule="exact"/>
        <w:rPr>
          <w:sz w:val="20"/>
          <w:szCs w:val="20"/>
          <w:color w:val="auto"/>
        </w:rPr>
      </w:pPr>
    </w:p>
    <w:p>
      <w:pPr>
        <w:ind w:firstLine="223"/>
        <w:spacing w:after="0" w:line="273" w:lineRule="auto"/>
        <w:tabs>
          <w:tab w:leader="none" w:pos="45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The Rights Certificates (and the forms of election to purchase, certification and assignment to be printed on the reverse thereof) shall each be substantially in the form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may have such marks of identification or designation and such legends, summaries or endorsements printed thereon as the Company may deem appropriate and as are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20" w:name="page321"/>
    <w:bookmarkEnd w:id="320"/>
    <w:p>
      <w:pPr>
        <w:spacing w:after="0" w:line="263" w:lineRule="auto"/>
        <w:rPr>
          <w:sz w:val="20"/>
          <w:szCs w:val="20"/>
          <w:color w:val="auto"/>
        </w:rPr>
      </w:pPr>
      <w:r>
        <w:rPr>
          <w:rFonts w:ascii="Arial" w:cs="Arial" w:eastAsia="Arial" w:hAnsi="Arial"/>
          <w:sz w:val="17"/>
          <w:szCs w:val="17"/>
          <w:color w:val="auto"/>
        </w:rPr>
        <w:t>not inconsistent with the provisions of this Agreement, or as may be required to comply with any applicable law or with any rule or regulation made pursuant thereto or with any rule or regulation of any stock exchange or over-the-counter market on which the Rights may from time to time be listed, or to conform to usage. Subject to the provisions of Sections 7, 11 and 22 hereof, the Rights Certificates, whenever distributed, shall entitle the holders thereof to purchase such number of one one-thousandths of a share of Preferred Stock as shall be set forth therein at the price set forth therein (such exercise price per one one-thousandth of a share, the “Purchase Price”), but the amount and type of securities purchasable upon the exercise of each Right and the Purchase Price thereof shall be subject to adjustment as provided herein.</w:t>
      </w:r>
    </w:p>
    <w:p>
      <w:pPr>
        <w:spacing w:after="0" w:line="77" w:lineRule="exact"/>
        <w:rPr>
          <w:sz w:val="20"/>
          <w:szCs w:val="20"/>
          <w:color w:val="auto"/>
        </w:rPr>
      </w:pPr>
    </w:p>
    <w:p>
      <w:pPr>
        <w:ind w:left="460" w:hanging="237"/>
        <w:spacing w:after="0"/>
        <w:tabs>
          <w:tab w:leader="none" w:pos="46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Any Rights Certificate issued pursuant to Section 3, Section 11(i) or Section 22 hereof that represents Rights beneficially owned by persons known to be:</w:t>
      </w:r>
    </w:p>
    <w:p>
      <w:pPr>
        <w:spacing w:after="0" w:line="37" w:lineRule="exact"/>
        <w:rPr>
          <w:rFonts w:ascii="Arial" w:cs="Arial" w:eastAsia="Arial" w:hAnsi="Arial"/>
          <w:sz w:val="16"/>
          <w:szCs w:val="16"/>
          <w:color w:val="auto"/>
        </w:rPr>
      </w:pPr>
    </w:p>
    <w:p>
      <w:pPr>
        <w:ind w:firstLine="5"/>
        <w:spacing w:after="0" w:line="278" w:lineRule="auto"/>
        <w:tabs>
          <w:tab w:leader="none" w:pos="208"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(whether or not in writing) regarding the transferred Rights or (B) a transfer which the Board has determined is part of a plan, arrangement or understanding (whether or not in writing) that has as a primary purpose or effect avoidance of Section 7(e) hereof, and any Rights Certificate issued pursuant to Section 6 or Section 11 hereof upon transfer, exchange, replacement or adjustment of any other Rights Certificate referred to in this sentence, shall contain (to the extent feasible) the following legend:</w:t>
      </w:r>
    </w:p>
    <w:p>
      <w:pPr>
        <w:spacing w:after="0" w:line="64" w:lineRule="exact"/>
        <w:rPr>
          <w:sz w:val="20"/>
          <w:szCs w:val="20"/>
          <w:color w:val="auto"/>
        </w:rPr>
      </w:pPr>
    </w:p>
    <w:p>
      <w:pPr>
        <w:ind w:left="680" w:right="60"/>
        <w:spacing w:after="0" w:line="273" w:lineRule="auto"/>
        <w:rPr>
          <w:sz w:val="20"/>
          <w:szCs w:val="20"/>
          <w:color w:val="auto"/>
        </w:rPr>
      </w:pPr>
      <w:r>
        <w:rPr>
          <w:rFonts w:ascii="Arial" w:cs="Arial" w:eastAsia="Arial" w:hAnsi="Arial"/>
          <w:sz w:val="17"/>
          <w:szCs w:val="17"/>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Section 7(e) hereof shall be operative whether or not the foregoing legend is contained on any such Rights Certificate.</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Countersignature and Registration.</w:t>
      </w:r>
    </w:p>
    <w:p>
      <w:pPr>
        <w:spacing w:after="0" w:line="119" w:lineRule="exact"/>
        <w:rPr>
          <w:sz w:val="20"/>
          <w:szCs w:val="20"/>
          <w:color w:val="auto"/>
        </w:rPr>
      </w:pPr>
    </w:p>
    <w:p>
      <w:pPr>
        <w:ind w:right="100" w:firstLine="223"/>
        <w:spacing w:after="0" w:line="267" w:lineRule="auto"/>
        <w:tabs>
          <w:tab w:leader="none" w:pos="45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Rights Certificates shall be executed on behalf of the Company by its Chairman of the Board,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Rights Certificates shall be countersigned by the Rights Agent, either manually or by facsimile signature, and shall not be valid for any purpose unless so</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913" w:right="319" w:bottom="1440" w:gutter="0" w:footer="0" w:header="0"/>
        </w:sectPr>
      </w:pPr>
    </w:p>
    <w:bookmarkStart w:id="321" w:name="page322"/>
    <w:bookmarkEnd w:id="321"/>
    <w:p>
      <w:pPr>
        <w:spacing w:after="0" w:line="263" w:lineRule="auto"/>
        <w:rPr>
          <w:sz w:val="20"/>
          <w:szCs w:val="20"/>
          <w:color w:val="auto"/>
        </w:rPr>
      </w:pPr>
      <w:r>
        <w:rPr>
          <w:rFonts w:ascii="Arial" w:cs="Arial" w:eastAsia="Arial" w:hAnsi="Arial"/>
          <w:sz w:val="17"/>
          <w:szCs w:val="17"/>
          <w:color w:val="auto"/>
        </w:rPr>
        <w:t>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and any Rights Certificates may be signed on behalf of the Company by any person who, at the actual date of the execution of such Rights Certificate, shall be a proper officer of the Company to sign such Rights Certificate, although at the date of the execution of this Rights Agreement any such person was not such an officer.</w:t>
      </w:r>
    </w:p>
    <w:p>
      <w:pPr>
        <w:spacing w:after="0" w:line="77" w:lineRule="exact"/>
        <w:rPr>
          <w:sz w:val="20"/>
          <w:szCs w:val="20"/>
          <w:color w:val="auto"/>
        </w:rPr>
      </w:pPr>
    </w:p>
    <w:p>
      <w:pPr>
        <w:ind w:right="140" w:firstLine="223"/>
        <w:spacing w:after="0" w:line="267" w:lineRule="auto"/>
        <w:tabs>
          <w:tab w:leader="none" w:pos="46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Following the Distribution Date, the Rights Agent shall keep or cause to be kept, at its office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the Rights Certificate number and the date of each of the Rights Certificates.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Transfer, Split Up, Combination and Exchange of Rights Certificates; Mutilated, Destroyed, Lost or Stolen Rights Certificates.</w:t>
      </w:r>
    </w:p>
    <w:p>
      <w:pPr>
        <w:spacing w:after="0" w:line="119" w:lineRule="exact"/>
        <w:rPr>
          <w:sz w:val="20"/>
          <w:szCs w:val="20"/>
          <w:color w:val="auto"/>
        </w:rPr>
      </w:pPr>
    </w:p>
    <w:p>
      <w:pPr>
        <w:ind w:firstLine="223"/>
        <w:spacing w:after="0" w:line="296" w:lineRule="auto"/>
        <w:tabs>
          <w:tab w:leader="none" w:pos="455" w:val="left"/>
        </w:tabs>
        <w:numPr>
          <w:ilvl w:val="0"/>
          <w:numId w:val="258"/>
        </w:numPr>
        <w:rPr>
          <w:rFonts w:ascii="Arial" w:cs="Arial" w:eastAsia="Arial" w:hAnsi="Arial"/>
          <w:sz w:val="15"/>
          <w:szCs w:val="15"/>
          <w:color w:val="auto"/>
        </w:rPr>
      </w:pPr>
      <w:r>
        <w:rPr>
          <w:rFonts w:ascii="Arial" w:cs="Arial" w:eastAsia="Arial" w:hAnsi="Arial"/>
          <w:sz w:val="15"/>
          <w:szCs w:val="15"/>
          <w:color w:val="auto"/>
        </w:rPr>
        <w:t>Subject to the provisions of Section 4(b), Section 7(e) and Section 14 hereof, at any time after the close of business on the Distribution Date, and at or prior to the close of business on the Expiration Date, any Rights Certificate or Certificates (other than Rights Certificates representing Rights that have become void pursuant to Section 7(e) hereof or that have been exchanged pursuant to Section 24 hereof) may be transferred, split up, combined or exchanged for another Rights Certificate or Certificates, entitling the registered holder to purchase a like number of one one-thousandths of a share of Preferred Stock (or, following a Triggering Event, Common Stock, other securities, cash or other assets, as the case may be) as the Rights Certificate or Certificates surrendered then entitled such holder (or former holder in the case of a transfer) to purchase. Any registered holder desiring to transfer, split up, combine or exchange any Rights Certificate or Certificates shall make such request in writing delivered to the Rights Agent, and shall surrender the Rights Certificate or Certificates to be transferred, split up, combined or exchanged, with the form of assignment and certificate appropriately executed, at the office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22" w:name="page323"/>
    <w:bookmarkEnd w:id="322"/>
    <w:p>
      <w:pPr>
        <w:ind w:left="-40" w:right="200" w:firstLine="223"/>
        <w:spacing w:after="0" w:line="265" w:lineRule="auto"/>
        <w:tabs>
          <w:tab w:leader="none" w:pos="425" w:val="left"/>
        </w:tabs>
        <w:numPr>
          <w:ilvl w:val="0"/>
          <w:numId w:val="259"/>
        </w:numPr>
        <w:rPr>
          <w:rFonts w:ascii="Arial" w:cs="Arial" w:eastAsia="Arial" w:hAnsi="Arial"/>
          <w:sz w:val="17"/>
          <w:szCs w:val="17"/>
          <w:color w:val="auto"/>
        </w:rPr>
      </w:pPr>
      <w:r>
        <w:rPr>
          <w:rFonts w:ascii="Arial" w:cs="Arial" w:eastAsia="Arial" w:hAnsi="Arial"/>
          <w:sz w:val="17"/>
          <w:szCs w:val="17"/>
          <w:color w:val="auto"/>
        </w:rPr>
        <w:t>Upon receipt by the Company and the Rights Agent of evidence reasonably satisfactory to them of the loss, theft, destruction or mutilation of a Rights Certificate,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owner in lieu of the Rights Certificate so lost, stolen, destroyed or mutilated.</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Exercise of Rights; Purchase Price; Expiration Date of Rights.</w:t>
      </w:r>
    </w:p>
    <w:p>
      <w:pPr>
        <w:spacing w:after="0" w:line="119" w:lineRule="exact"/>
        <w:rPr>
          <w:sz w:val="20"/>
          <w:szCs w:val="20"/>
          <w:color w:val="auto"/>
        </w:rPr>
      </w:pPr>
    </w:p>
    <w:p>
      <w:pPr>
        <w:ind w:left="-40" w:right="60" w:firstLine="223"/>
        <w:spacing w:after="0" w:line="280" w:lineRule="auto"/>
        <w:tabs>
          <w:tab w:leader="none" w:pos="41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Subject to Section 7(e) hereof, the registered holder of any Rights Certificate may exercise the Rights evidenced thereby (except as otherwise provided herein including, without limitation, the restrictions on exercisability set forth in Section 9(c), Section 11(a)(iii) and Section 23 hereof) in whole or in part at any time after the Distribution Date upon surrender of the Rights Certificate, with the form of election to purchase and the certificate on the reverse side thereof duly executed, to the Rights Agent at the office of the Rights Agent designated for such purpose, together with payment of the aggregate Purchase Price with respect to the total number of one one-thousandths of a share of Preferred Stock (or other shares, securities, cash or other assets, as the case may be) as to which such surrendered Rights are then exercisable, at or prior to the earliest of (i) the Final Expiration Date, (ii) the time at which the Rights expire as provided in Section 13(d) hereof, (iii) the time at which the Rights are redeemed as provided in Section 23 hereof (the “Redemption Date”) and (iv) the time at which such Rights are exchanged as provided in Section 24 hereof (the earliest of (i), (ii), (iii) and (iv) being herein referred to as the “Expiration Date”).</w:t>
      </w:r>
    </w:p>
    <w:p>
      <w:pPr>
        <w:spacing w:after="0" w:line="63" w:lineRule="exact"/>
        <w:rPr>
          <w:rFonts w:ascii="Arial" w:cs="Arial" w:eastAsia="Arial" w:hAnsi="Arial"/>
          <w:sz w:val="16"/>
          <w:szCs w:val="16"/>
          <w:color w:val="auto"/>
        </w:rPr>
      </w:pPr>
    </w:p>
    <w:p>
      <w:pPr>
        <w:ind w:left="-40" w:right="100" w:firstLine="223"/>
        <w:spacing w:after="0" w:line="273" w:lineRule="auto"/>
        <w:tabs>
          <w:tab w:leader="none" w:pos="422"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Purchase Price for each one one-thousandth of a share of Preferred Stock pursuant to the exercise of a Right shall initially be $___ and shall be subject to adjustment from time to time as provided in Sections 11 and 13(a) hereof and shall be payable in lawful money of the United States of America in accordance with paragraph (c) below.</w:t>
      </w:r>
    </w:p>
    <w:p>
      <w:pPr>
        <w:spacing w:after="0" w:line="66" w:lineRule="exact"/>
        <w:rPr>
          <w:rFonts w:ascii="Arial" w:cs="Arial" w:eastAsia="Arial" w:hAnsi="Arial"/>
          <w:sz w:val="17"/>
          <w:szCs w:val="17"/>
          <w:color w:val="auto"/>
        </w:rPr>
      </w:pPr>
    </w:p>
    <w:p>
      <w:pPr>
        <w:ind w:left="-40" w:firstLine="223"/>
        <w:spacing w:after="0" w:line="283" w:lineRule="auto"/>
        <w:tabs>
          <w:tab w:leader="none" w:pos="41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Upon receipt of a Rights Certificate representing exercisable Rights, with the form of election to purchase and the certificate duly executed, accompanied by payment, with respect to each Right so exercised, of the Purchase Price per one one-thousandth of a share of Preferred Stock (or other shares, securities, cash or other assets, as the case may be) to be purchased and an amount equal to any applicable transfer tax, the Rights Agent shall, subject to Section 20(k) hereof, thereupon promptly (i) (A) requisition from any transfer agent of the shares of Preferred Stock (or make available, if the Rights Agent is the transfer agent for such shares) certificates for the total number of one one-thousandths of a share of Preferred Stock to be purchased and the Company hereby authorizes its transfer agent to comply with such requests, or (B) if the Company shall have elected to deposit the total number of shares of Preferred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147320</wp:posOffset>
            </wp:positionV>
            <wp:extent cx="7254875" cy="209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80" w:top="913" w:right="259" w:bottom="1440" w:gutter="0" w:footer="0" w:header="0"/>
        </w:sectPr>
      </w:pPr>
    </w:p>
    <w:bookmarkStart w:id="323" w:name="page324"/>
    <w:bookmarkEnd w:id="323"/>
    <w:p>
      <w:pPr>
        <w:spacing w:after="0" w:line="278" w:lineRule="auto"/>
        <w:rPr>
          <w:sz w:val="20"/>
          <w:szCs w:val="20"/>
          <w:color w:val="auto"/>
        </w:rPr>
      </w:pPr>
      <w:r>
        <w:rPr>
          <w:rFonts w:ascii="Arial" w:cs="Arial" w:eastAsia="Arial" w:hAnsi="Arial"/>
          <w:sz w:val="16"/>
          <w:szCs w:val="16"/>
          <w:color w:val="auto"/>
        </w:rPr>
        <w:t>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hereby directs the depositary agent to comply with such requests, (ii) requisition from the Company the amount of cash, if any, to be paid in lieu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Purchase Price (as such amount may be reduced pursuant to Section 11(a)(iii) hereof) may be made in cash or by certified bank check or money order payable to the order of the Company. In the event that the Company is obligated to issue other securities (including Common Stock) of the Company, pay cash and/or distribute other property pursuant to Section 11(a) hereof, the Company shall make all arrangements necessary so that such other securities, cash and/or other property are available for distribution by the Rights Agent, if and when appropriate.</w:t>
      </w:r>
    </w:p>
    <w:p>
      <w:pPr>
        <w:spacing w:after="0" w:line="69" w:lineRule="exact"/>
        <w:rPr>
          <w:sz w:val="20"/>
          <w:szCs w:val="20"/>
          <w:color w:val="auto"/>
        </w:rPr>
      </w:pPr>
    </w:p>
    <w:p>
      <w:pPr>
        <w:ind w:right="220" w:firstLine="223"/>
        <w:spacing w:after="0" w:line="297" w:lineRule="auto"/>
        <w:tabs>
          <w:tab w:leader="none" w:pos="46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In case the registered holder of any Rights Certificate shall exercise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the provisions of Section 14 hereof.</w:t>
      </w:r>
    </w:p>
    <w:p>
      <w:pPr>
        <w:spacing w:after="0" w:line="50" w:lineRule="exact"/>
        <w:rPr>
          <w:rFonts w:ascii="Arial" w:cs="Arial" w:eastAsia="Arial" w:hAnsi="Arial"/>
          <w:sz w:val="16"/>
          <w:szCs w:val="16"/>
          <w:color w:val="auto"/>
        </w:rPr>
      </w:pPr>
    </w:p>
    <w:p>
      <w:pPr>
        <w:ind w:right="60" w:firstLine="223"/>
        <w:spacing w:after="0" w:line="259" w:lineRule="auto"/>
        <w:tabs>
          <w:tab w:leader="none" w:pos="45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from and after the first occurrence of a Section 11(a)(ii) Event, any Rights beneficially owned by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(whether or not in writing) regarding the transferred Rights or (B) a transfer which the Board has determined is part of a plan, arrangement or understanding (whether or not in writing) that has as a primary purpose or effect avoidance of this Section 7(e), shall become null and void without any further action and no holder of such Rights shall have any rights whatsoever with respect to such Rights, whether under any provision of this Agreement or otherwise. No Rights Certificate shall be issued at any time upon the transfer of any Rights to an Acquiring Person whose Rights would be void pursuant to the preceding sentence or any Associate or Affiliate thereof or to any nominee of such Acquiring Person, Associate or Affiliate; and any Rights Certificate delivered to the Rights Agent for transfer to an Acquiring Person whose Rights would be void pursuant to the preceding sentence shall be cancelled. The Company shall use all reasonable efforts to insure that the provisions of this Section 7(e) and Section 4(b) hereof are complied with, but shall have no liability to any holder of Rights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24" w:name="page325"/>
    <w:bookmarkEnd w:id="324"/>
    <w:p>
      <w:pPr>
        <w:ind w:right="380"/>
        <w:spacing w:after="0" w:line="289" w:lineRule="auto"/>
        <w:rPr>
          <w:sz w:val="20"/>
          <w:szCs w:val="20"/>
          <w:color w:val="auto"/>
        </w:rPr>
      </w:pPr>
      <w:r>
        <w:rPr>
          <w:rFonts w:ascii="Arial" w:cs="Arial" w:eastAsia="Arial" w:hAnsi="Arial"/>
          <w:sz w:val="17"/>
          <w:szCs w:val="17"/>
          <w:color w:val="auto"/>
        </w:rPr>
        <w:t>Certificates or other Person as a result of its failure to make any determinations with respect to an Acquiring Person or its Affiliates, Associates or transferees hereunder.</w:t>
      </w:r>
    </w:p>
    <w:p>
      <w:pPr>
        <w:spacing w:after="0" w:line="53" w:lineRule="exact"/>
        <w:rPr>
          <w:sz w:val="20"/>
          <w:szCs w:val="20"/>
          <w:color w:val="auto"/>
        </w:rPr>
      </w:pPr>
    </w:p>
    <w:p>
      <w:pPr>
        <w:ind w:right="420" w:firstLine="223"/>
        <w:spacing w:after="0" w:line="299" w:lineRule="auto"/>
        <w:tabs>
          <w:tab w:leader="none" w:pos="436" w:val="left"/>
        </w:tabs>
        <w:numPr>
          <w:ilvl w:val="1"/>
          <w:numId w:val="262"/>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neither the Rights Agent nor the Company shall be obligated to undertake any action with respect to a registered holder upon the occurrence of any purported transfer or exercise as set forth in this Section 7 unless such registered holder shall have</w:t>
      </w:r>
    </w:p>
    <w:p>
      <w:pPr>
        <w:spacing w:after="0" w:line="1" w:lineRule="exact"/>
        <w:rPr>
          <w:rFonts w:ascii="Arial" w:cs="Arial" w:eastAsia="Arial" w:hAnsi="Arial"/>
          <w:sz w:val="15"/>
          <w:szCs w:val="15"/>
          <w:color w:val="auto"/>
        </w:rPr>
      </w:pPr>
    </w:p>
    <w:p>
      <w:pPr>
        <w:jc w:val="both"/>
        <w:ind w:right="80" w:firstLine="5"/>
        <w:spacing w:after="0" w:line="265" w:lineRule="auto"/>
        <w:tabs>
          <w:tab w:leader="none" w:pos="20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completed and signed the certificate following the form of assignment or election to purchase set forth on the reverse side of the Rights Certificate surrendered for such assignment or exercise, and (ii) provided such additional evidence of the identity of the Beneficial Owner (or former Beneficial Owner) or any Affiliates or Associates thereof as the Company shall reasonably request.</w:t>
      </w:r>
    </w:p>
    <w:p>
      <w:pPr>
        <w:spacing w:after="0" w:line="74" w:lineRule="exact"/>
        <w:rPr>
          <w:sz w:val="20"/>
          <w:szCs w:val="20"/>
          <w:color w:val="auto"/>
        </w:rPr>
      </w:pPr>
    </w:p>
    <w:p>
      <w:pPr>
        <w:ind w:right="40" w:firstLine="218"/>
        <w:spacing w:after="0" w:line="262"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Cancellation and Destruction of Rights Certificates</w:t>
      </w:r>
      <w:r>
        <w:rPr>
          <w:rFonts w:ascii="Arial" w:cs="Arial" w:eastAsia="Arial" w:hAnsi="Arial"/>
          <w:sz w:val="17"/>
          <w:szCs w:val="17"/>
          <w:color w:val="auto"/>
        </w:rPr>
        <w:t>. All Rights Certificates surrendered for the purpose of exercise, transfer, split 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cancelled Rights Certificates to the Company, or shall, at the written request of the Company, destroy such cancelled Rights Certificates, and in such case shall deliver a certificate of destruction thereof to the Company.</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Reservation and Availability of Capital Stock.</w:t>
      </w:r>
    </w:p>
    <w:p>
      <w:pPr>
        <w:spacing w:after="0" w:line="119" w:lineRule="exact"/>
        <w:rPr>
          <w:sz w:val="20"/>
          <w:szCs w:val="20"/>
          <w:color w:val="auto"/>
        </w:rPr>
      </w:pPr>
    </w:p>
    <w:p>
      <w:pPr>
        <w:jc w:val="both"/>
        <w:ind w:right="280" w:firstLine="223"/>
        <w:spacing w:after="0" w:line="314" w:lineRule="auto"/>
        <w:tabs>
          <w:tab w:leader="none" w:pos="452" w:val="left"/>
        </w:tabs>
        <w:numPr>
          <w:ilvl w:val="0"/>
          <w:numId w:val="264"/>
        </w:numPr>
        <w:rPr>
          <w:rFonts w:ascii="Arial" w:cs="Arial" w:eastAsia="Arial" w:hAnsi="Arial"/>
          <w:sz w:val="15"/>
          <w:szCs w:val="15"/>
          <w:color w:val="auto"/>
        </w:rPr>
      </w:pPr>
      <w:r>
        <w:rPr>
          <w:rFonts w:ascii="Arial" w:cs="Arial" w:eastAsia="Arial" w:hAnsi="Arial"/>
          <w:sz w:val="15"/>
          <w:szCs w:val="15"/>
          <w:color w:val="auto"/>
        </w:rPr>
        <w:t>The Company covenants and agrees that it will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that, as provided in this Agreement including Section 11(a)(iii) hereof, will be sufficient to permit the exercise in full of all outstanding Rights.</w:t>
      </w:r>
    </w:p>
    <w:p>
      <w:pPr>
        <w:spacing w:after="0" w:line="40" w:lineRule="exact"/>
        <w:rPr>
          <w:rFonts w:ascii="Arial" w:cs="Arial" w:eastAsia="Arial" w:hAnsi="Arial"/>
          <w:sz w:val="15"/>
          <w:szCs w:val="15"/>
          <w:color w:val="auto"/>
        </w:rPr>
      </w:pPr>
    </w:p>
    <w:p>
      <w:pPr>
        <w:ind w:firstLine="223"/>
        <w:spacing w:after="0" w:line="267" w:lineRule="auto"/>
        <w:tabs>
          <w:tab w:leader="none" w:pos="46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So long as the shares of Preferred Stock (and, following the occurrence of a Section 11(a)(ii) Event, Common Stock and/or other securities) issuable and deliverable upon the exercise of the Rights may be listed on any national securities exchange or automated quotation system, the Company shall use its best efforts to cause, from and after such time as the Rights become exercisable, all shares reserved for such issuance to be so listed upon official notice of issuance upon such exercise.</w:t>
      </w:r>
    </w:p>
    <w:p>
      <w:pPr>
        <w:spacing w:after="0" w:line="72" w:lineRule="exact"/>
        <w:rPr>
          <w:rFonts w:ascii="Arial" w:cs="Arial" w:eastAsia="Arial" w:hAnsi="Arial"/>
          <w:sz w:val="17"/>
          <w:szCs w:val="17"/>
          <w:color w:val="auto"/>
        </w:rPr>
      </w:pPr>
    </w:p>
    <w:p>
      <w:pPr>
        <w:ind w:right="120" w:firstLine="223"/>
        <w:spacing w:after="0" w:line="273" w:lineRule="auto"/>
        <w:tabs>
          <w:tab w:leader="none" w:pos="45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Company shall use its best efforts to (i) file, as soon as practicable following the earliest date after the first occurrence of a Section 11(a)(ii) Event on which the consideration to be delivered by the Company upon exercise of the Rights has been determined in accordance with Section 11(a)(iii) hereof, or as soon as is required by law following the Distribution Date, as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325" w:name="page326"/>
    <w:bookmarkEnd w:id="325"/>
    <w:p>
      <w:pPr>
        <w:ind w:right="20"/>
        <w:spacing w:after="0" w:line="294" w:lineRule="auto"/>
        <w:rPr>
          <w:sz w:val="20"/>
          <w:szCs w:val="20"/>
          <w:color w:val="auto"/>
        </w:rPr>
      </w:pPr>
      <w:r>
        <w:rPr>
          <w:rFonts w:ascii="Arial" w:cs="Arial" w:eastAsia="Arial" w:hAnsi="Arial"/>
          <w:sz w:val="15"/>
          <w:szCs w:val="15"/>
          <w:color w:val="auto"/>
        </w:rPr>
        <w:t>the case may be, a registration statement under the Act, with respect to the securities purchasable upon exercise of the Rights on an appropriate form, (ii) cause such registration statement to become effective as soon as practicable after such filing, (iii) cause such registration statement to remain effective (with a prospectus at all times meeting the requirements of the Act) until the earlier of (A) the date as of which the Rights are no longer exercisable for such securities, and (B) the Expiration Date, and (iv) obtain such other regulatory approvals as may be necessary for it to issue securities purchasable upon the exercise of the Rights.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days after the date set forth in clause</w:t>
      </w:r>
    </w:p>
    <w:p>
      <w:pPr>
        <w:spacing w:after="0" w:line="1" w:lineRule="exact"/>
        <w:rPr>
          <w:sz w:val="20"/>
          <w:szCs w:val="20"/>
          <w:color w:val="auto"/>
        </w:rPr>
      </w:pPr>
    </w:p>
    <w:p>
      <w:pPr>
        <w:ind w:firstLine="5"/>
        <w:spacing w:after="0" w:line="261" w:lineRule="auto"/>
        <w:tabs>
          <w:tab w:leader="none" w:pos="208" w:val="left"/>
        </w:tabs>
        <w:numPr>
          <w:ilvl w:val="0"/>
          <w:numId w:val="265"/>
        </w:numPr>
        <w:rPr>
          <w:rFonts w:ascii="Arial" w:cs="Arial" w:eastAsia="Arial" w:hAnsi="Arial"/>
          <w:sz w:val="17"/>
          <w:szCs w:val="17"/>
          <w:color w:val="auto"/>
        </w:rPr>
      </w:pPr>
      <w:r>
        <w:rPr>
          <w:rFonts w:ascii="Arial" w:cs="Arial" w:eastAsia="Arial" w:hAnsi="Arial"/>
          <w:sz w:val="17"/>
          <w:szCs w:val="17"/>
          <w:color w:val="auto"/>
        </w:rPr>
        <w:t>of the first sentence of this Section 9(c), the exercisability of the Rights in order to prepare and file such registration statement and permit it to become effective or to obtain any other required regulatory approval in connection with the exercisability of the Rights. Upon any such suspension, the Company shall issue a public announcement stating that the exercisability of the Rights has been temporarily suspended, as well as a public announcement at such time as the suspension is no longer in effect. Notwithstanding any provision of this Agreement to the contrary, the Rights shall not be exercisable in any jurisdiction unless the requisite registration or qualification in such jurisdiction shall have been effected or obtained.</w:t>
      </w:r>
    </w:p>
    <w:p>
      <w:pPr>
        <w:spacing w:after="0" w:line="77" w:lineRule="exact"/>
        <w:rPr>
          <w:rFonts w:ascii="Arial" w:cs="Arial" w:eastAsia="Arial" w:hAnsi="Arial"/>
          <w:sz w:val="17"/>
          <w:szCs w:val="17"/>
          <w:color w:val="auto"/>
        </w:rPr>
      </w:pPr>
    </w:p>
    <w:p>
      <w:pPr>
        <w:jc w:val="both"/>
        <w:ind w:right="40" w:firstLine="223"/>
        <w:spacing w:after="0" w:line="325" w:lineRule="auto"/>
        <w:tabs>
          <w:tab w:leader="none" w:pos="462" w:val="left"/>
        </w:tabs>
        <w:numPr>
          <w:ilvl w:val="1"/>
          <w:numId w:val="265"/>
        </w:numPr>
        <w:rPr>
          <w:rFonts w:ascii="Arial" w:cs="Arial" w:eastAsia="Arial" w:hAnsi="Arial"/>
          <w:sz w:val="15"/>
          <w:szCs w:val="15"/>
          <w:color w:val="auto"/>
        </w:rPr>
      </w:pPr>
      <w:r>
        <w:rPr>
          <w:rFonts w:ascii="Arial" w:cs="Arial" w:eastAsia="Arial" w:hAnsi="Arial"/>
          <w:sz w:val="15"/>
          <w:szCs w:val="15"/>
          <w:color w:val="auto"/>
        </w:rPr>
        <w:t>The Company covenants and agrees that it will take all such action as may be necessary to ensure that all one one-thousandths of a share of Preferred Stock (and, following the occurrence of a Triggering Event, Common Stock and/or other securities) delivered upon exercise of Rights shall, at the time of delivery of the certificates for such shares (subject to payment of the Purchase Price), be duly and validly authorized and issued and fully paid and nonassessable.</w:t>
      </w:r>
    </w:p>
    <w:p>
      <w:pPr>
        <w:spacing w:after="0" w:line="32" w:lineRule="exact"/>
        <w:rPr>
          <w:rFonts w:ascii="Arial" w:cs="Arial" w:eastAsia="Arial" w:hAnsi="Arial"/>
          <w:sz w:val="15"/>
          <w:szCs w:val="15"/>
          <w:color w:val="auto"/>
        </w:rPr>
      </w:pPr>
    </w:p>
    <w:p>
      <w:pPr>
        <w:ind w:firstLine="223"/>
        <w:spacing w:after="0" w:line="261" w:lineRule="auto"/>
        <w:tabs>
          <w:tab w:leader="none" w:pos="452"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Company further covenants and agrees that it will pay when due and payable any and all federal and state transfer taxes and charges that may be payable in respect of the issuance or delivery of the Rights Certificates and of any certificates for a number of one one-thousandths of a share of Preferred Stock (or Common Stock and/or other securities, as the case may be) upon the exercise of Rights. The Company shall not, however, be required (i) to pay any transfer tax that may be payable in respect of any transfer or delivery of Rights Certificates to a Person other than, or the issuance or delivery of a number of one one-thousandths of a share of Preferred Stock (or Common Stock and/or other securities, as the case may be) in respect of a name other than that of, the registered holder of the Rights Certificate evidencing Rights surrendered for exercise or (ii) to issue or deliver any certificates for a number of one one-thousandths of a share of Preferred Stock (or Common Stock and/or other securities, as the case may be) in a name other than that of the registered holder upon the exercise of any Rights until such tax shall have been paid (any such tax being payable by the holder of such Rights Certificate at the time of surrender) or until it has been established to the Company’s satisfaction that no such tax is due.</w:t>
      </w:r>
    </w:p>
    <w:p>
      <w:pPr>
        <w:spacing w:after="0" w:line="77" w:lineRule="exact"/>
        <w:rPr>
          <w:sz w:val="20"/>
          <w:szCs w:val="20"/>
          <w:color w:val="auto"/>
        </w:rPr>
      </w:pPr>
    </w:p>
    <w:p>
      <w:pPr>
        <w:ind w:right="340" w:firstLine="218"/>
        <w:spacing w:after="0" w:line="28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Preferred Stock Record Date</w:t>
      </w:r>
      <w:r>
        <w:rPr>
          <w:rFonts w:ascii="Arial" w:cs="Arial" w:eastAsia="Arial" w:hAnsi="Arial"/>
          <w:sz w:val="17"/>
          <w:szCs w:val="17"/>
          <w:color w:val="auto"/>
        </w:rPr>
        <w:t>. Each Person in whose name any certificate for a number of one one-thousandths of a share of Preferred Stock (or Common Stock and/or other securities, as the case may be) is issued upon the exercise of Rights shall for all purposes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26" w:name="page327"/>
    <w:bookmarkEnd w:id="326"/>
    <w:p>
      <w:pPr>
        <w:ind w:right="20"/>
        <w:spacing w:after="0" w:line="300" w:lineRule="auto"/>
        <w:rPr>
          <w:sz w:val="20"/>
          <w:szCs w:val="20"/>
          <w:color w:val="auto"/>
        </w:rPr>
      </w:pPr>
      <w:r>
        <w:rPr>
          <w:rFonts w:ascii="Arial" w:cs="Arial" w:eastAsia="Arial" w:hAnsi="Arial"/>
          <w:sz w:val="15"/>
          <w:szCs w:val="15"/>
          <w:color w:val="auto"/>
        </w:rPr>
        <w:t>be deemed to have become the holder of record of such fractional shares of Preferred Stock (or Common Stock and/or other securities, as the case may be) represented thereby on, and such certificate shall be dated, the date upon which the Rights Certificate evidencing such Rights was duly surrendered with the forms of election and certification duly executed and payment of the Purchase Price (and all applicable transfer taxes) was made; provided, however, that if the date of such surrender and payment is a date upon which the Preferred Stock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Rights Certificate, as such, shall not be entitled to any rights of a stockholder of the Company with respect to securities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50" w:lineRule="exact"/>
        <w:rPr>
          <w:sz w:val="20"/>
          <w:szCs w:val="20"/>
          <w:color w:val="auto"/>
        </w:rPr>
      </w:pPr>
    </w:p>
    <w:p>
      <w:pPr>
        <w:ind w:right="300" w:firstLine="218"/>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Adjustment of Purchase Price, Number and Kind of Shares or Number of Rights</w:t>
      </w:r>
      <w:r>
        <w:rPr>
          <w:rFonts w:ascii="Arial" w:cs="Arial" w:eastAsia="Arial" w:hAnsi="Arial"/>
          <w:sz w:val="17"/>
          <w:szCs w:val="17"/>
          <w:color w:val="auto"/>
        </w:rPr>
        <w:t>. The Purchase Price, the number and kind of shares covered by each Right and the number of Rights outstanding are subject to adjustment from time to time as provided in this Section 11.</w:t>
      </w:r>
    </w:p>
    <w:p>
      <w:pPr>
        <w:spacing w:after="0" w:line="53" w:lineRule="exact"/>
        <w:rPr>
          <w:sz w:val="20"/>
          <w:szCs w:val="20"/>
          <w:color w:val="auto"/>
        </w:rPr>
      </w:pPr>
    </w:p>
    <w:p>
      <w:pPr>
        <w:ind w:firstLine="223"/>
        <w:spacing w:after="0" w:line="278" w:lineRule="auto"/>
        <w:tabs>
          <w:tab w:leader="none" w:pos="45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 In the event the Company shall at any time after the date of this Agreement (A) declare a dividend on the Preferred Stock payable in shares of Preferred Stock, (B) subdivide the outstanding Preferred Stock, (C) 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 of such subdivision, combination or reclassification, and the number and kind of shares of Preferred Stock or capital stock, as the case may be, issuable on such date, shall be proportionately adjusted so that the holder of any Right exercised after such time shall be entitled to receive, upon payment of the Purchase Price then in effect, the aggregate number and kind of shares of Preferred Stock or capital stock, as the case may be, which, if such Right had been exercised immediately prior to such date and at a time when the Preferred Stock transfer books of the Company were open, such holder would have owned upon such exercise and been entitled to receive by virtue of such dividend, subdivision, combination or reclassification. If an event occurs that would require an adjustment under both this Section 11(a)(i) and Section 11(a)(ii) hereof, the adjustment provided for in this Section 11(a)(i) shall be in addition to, and shall be made prior to, any adjustment required pursuant to Section 11(a)(ii) hereof.</w:t>
      </w:r>
    </w:p>
    <w:p>
      <w:pPr>
        <w:spacing w:after="0" w:line="65" w:lineRule="exact"/>
        <w:rPr>
          <w:rFonts w:ascii="Arial" w:cs="Arial" w:eastAsia="Arial" w:hAnsi="Arial"/>
          <w:sz w:val="16"/>
          <w:szCs w:val="16"/>
          <w:color w:val="auto"/>
        </w:rPr>
      </w:pPr>
    </w:p>
    <w:p>
      <w:pPr>
        <w:ind w:right="200" w:firstLine="441"/>
        <w:spacing w:after="0" w:line="289" w:lineRule="auto"/>
        <w:tabs>
          <w:tab w:leader="none" w:pos="693" w:val="left"/>
        </w:tabs>
        <w:numPr>
          <w:ilvl w:val="1"/>
          <w:numId w:val="266"/>
        </w:numPr>
        <w:rPr>
          <w:rFonts w:ascii="Arial" w:cs="Arial" w:eastAsia="Arial" w:hAnsi="Arial"/>
          <w:sz w:val="17"/>
          <w:szCs w:val="17"/>
          <w:color w:val="auto"/>
        </w:rPr>
      </w:pPr>
      <w:r>
        <w:rPr>
          <w:rFonts w:ascii="Arial" w:cs="Arial" w:eastAsia="Arial" w:hAnsi="Arial"/>
          <w:sz w:val="17"/>
          <w:szCs w:val="17"/>
          <w:color w:val="auto"/>
        </w:rPr>
        <w:t>Subject to Section 24 of this Agreement, in the event that any Person, alone or together with its Affiliates or Associates, becomes an Acquiring Person (other than pursuant to a Permitted Offer), then, promptly following the first occurrence of such event,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27" w:name="page328"/>
    <w:bookmarkEnd w:id="327"/>
    <w:p>
      <w:pPr>
        <w:spacing w:after="0" w:line="281" w:lineRule="auto"/>
        <w:rPr>
          <w:sz w:val="20"/>
          <w:szCs w:val="20"/>
          <w:color w:val="auto"/>
        </w:rPr>
      </w:pPr>
      <w:r>
        <w:rPr>
          <w:rFonts w:ascii="Arial" w:cs="Arial" w:eastAsia="Arial" w:hAnsi="Arial"/>
          <w:sz w:val="16"/>
          <w:szCs w:val="16"/>
          <w:color w:val="auto"/>
        </w:rPr>
        <w:t>proper provision shall be made so that each holder of a Right (except as provided below and in Section 7(e) hereof) shall thereafter have the right to receive (subject to the last sentence of Section 23(a)), upon exercise thereof at the then current Purchase Price in accordance with the terms of this Agreement, in lieu of a number of one one-thousandths of a share of Preferred Stock, such number of shares of Common Stock of the Company that equals the result obtained by (x) multiplying the then current Purchase Price by the then number of one one-thousandths of a share of Preferred Stock for which a Right was exercisable immediately prior to the first occurrence of a Section 11(a)(ii) Event, and (y) dividing that product (which, following such first occurrence, shall thereafter be referred to as the “Purchase Price” for each Right and for all purposes of this Agreement) by 50% of the current market price (determined pursuant to Section 11(d) hereof) per share of Common Stock on the date of such first occurrence (such number of shares, the “Adjustment Shares”).</w:t>
      </w:r>
    </w:p>
    <w:p>
      <w:pPr>
        <w:spacing w:after="0" w:line="63" w:lineRule="exact"/>
        <w:rPr>
          <w:sz w:val="20"/>
          <w:szCs w:val="20"/>
          <w:color w:val="auto"/>
        </w:rPr>
      </w:pPr>
    </w:p>
    <w:p>
      <w:pPr>
        <w:ind w:right="20" w:firstLine="441"/>
        <w:spacing w:after="0" w:line="276" w:lineRule="auto"/>
        <w:tabs>
          <w:tab w:leader="none" w:pos="74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In the event that the number of shares of Common Stock that are authorized by the Company’s Certificate of Incorporation but not outstanding or reserved for issuance for purposes other than upon exercise of the Rights are not sufficient to permit the exercise in full of the Rights in accordance with the foregoing subparagraph (ii) of this Section 11(a), the Company shall: (A) determine the excess of (1) the value of the Adjustment Shares issuable upon the exercise of a Right (the “Current Value”) over (2) the Purchase Price (such excess, the “Spread”), and (B) with respect to each Right, make adequate provision to substitute for the Adjustment Shares, upon payment of the applicable Purchase Price, (1) cash, (2) a reduction in the Purchase Price, (3) Common Stock or other equity securities of the Company (including, without limitation, shares, or units of shares, of preferred stock which the Board has deemed to have the same value as shares of Common Stock (such shares of preferred stock, “common stock equivalents”)), (4) debt securities of the Company, (5) other assets, or (6) any combination of the foregoing, having an aggregate value equal to the Current Value, where such aggregate value has been determined by the Board based upon the advice of a nationally recognized investment banking firm selected by the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Company shall not have made adequate provision to deliver value pursuant to clause (B) above within thirty (30) days following the later of (x) the first occurrence of a Section 11(a)(ii) Event and (y) the date on which the Company’s right of redemption pursuant to Section 23(a) expires (the later of (x) and (y) being referred to herein as the “Section 11(a)(ii) Trigger Date”), then the Company shall be obligated to deliver, upon the surrender for exercise of a Right and without requiring payment of the Purchase Price, shares of Common Stock (to the extent available) and then, if necessary, cash, which shares and/or cash have an aggregate value equal to the Spread. If the Board shall determine in good faith that it is likely that sufficient additional shares of Common Stock could be authorized for issuance upon exercise in full of the Rights, the thirty (30) day period set forth above may be extended to the extent necessary, but not more than ninety (90) days after the Section 11(a)(ii) Trigger Date, in order that the Company may seek shareholder approval for the authorization of such additional shares (such period, as it may be extended in accordance with this sentence until up to ninety (90) days after the Section 11(a)(ii) Trigger Date, the “Substitution Period”). To the extent that the Company determines that some action need be taken pursuant to the first and/or second sentences of this Section 11(a)(iii), the Company (x) shall provide, subject to Section 7(e) hereof, that such action shall apply uniformly to all outstanding Rights, and (y) may suspend the exercisability of the Rights until the expiration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28" w:name="page329"/>
    <w:bookmarkEnd w:id="328"/>
    <w:p>
      <w:pPr>
        <w:spacing w:after="0" w:line="263" w:lineRule="auto"/>
        <w:rPr>
          <w:sz w:val="20"/>
          <w:szCs w:val="20"/>
          <w:color w:val="auto"/>
        </w:rPr>
      </w:pPr>
      <w:r>
        <w:rPr>
          <w:rFonts w:ascii="Arial" w:cs="Arial" w:eastAsia="Arial" w:hAnsi="Arial"/>
          <w:sz w:val="17"/>
          <w:szCs w:val="17"/>
          <w:color w:val="auto"/>
        </w:rPr>
        <w:t>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(as determined pursuant to Section 11(d) hereof) per share of the Common Stock on the Section 11(a)(ii) Trigger Date and the value of any “common stock equivalent” shall be deemed to have the same value as the Common Stock on such date.</w:t>
      </w:r>
    </w:p>
    <w:p>
      <w:pPr>
        <w:spacing w:after="0" w:line="77" w:lineRule="exact"/>
        <w:rPr>
          <w:sz w:val="20"/>
          <w:szCs w:val="20"/>
          <w:color w:val="auto"/>
        </w:rPr>
      </w:pPr>
    </w:p>
    <w:p>
      <w:pPr>
        <w:ind w:firstLine="223"/>
        <w:spacing w:after="0" w:line="276" w:lineRule="auto"/>
        <w:tabs>
          <w:tab w:leader="none" w:pos="46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In case the Company shall fix a record date for the issuance of rights, options or warrants to all holders of Preferred Stock entitling them to subscribe for or purchase (for a period expiring within forty-five (45) calendar days after such record date) Preferred Stock (or shares having the same rights, privileges and preferences as the shares of Preferred Stock (“equivalent preferred stock”))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(as determined pursuant to Section 11(d) hereof) per share of Preferred Stock on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whose determination shall be described in a statement filed with the Rights Agent and shall be conclusive for all purposes. Shares of Preferred Stock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71" w:lineRule="exact"/>
        <w:rPr>
          <w:rFonts w:ascii="Arial" w:cs="Arial" w:eastAsia="Arial" w:hAnsi="Arial"/>
          <w:sz w:val="16"/>
          <w:szCs w:val="16"/>
          <w:color w:val="auto"/>
        </w:rPr>
      </w:pPr>
    </w:p>
    <w:p>
      <w:pPr>
        <w:ind w:right="120" w:firstLine="223"/>
        <w:spacing w:after="0" w:line="265" w:lineRule="auto"/>
        <w:tabs>
          <w:tab w:leader="none" w:pos="45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In case the Company shall fix a record date for a distribution to all holders of Preferred Stock (including any such distribution made in connection with a consolidation or merger in which the Company is the continuing corporation) of evidences of indebtedness, cash (other than a regular quarterly cash dividend out of the earnings or retained earnings of the Company), assets (other than a dividend payable in Preferred Stock, but including any dividend payable in stock other than Preferred Stock) or subscription rights or warrants (excluding those referred to in Section 11(b) hereof), the Purchase Price to be in effect after such record date shall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29" w:name="page330"/>
    <w:bookmarkEnd w:id="329"/>
    <w:p>
      <w:pPr>
        <w:ind w:right="60"/>
        <w:spacing w:after="0" w:line="281" w:lineRule="auto"/>
        <w:rPr>
          <w:sz w:val="20"/>
          <w:szCs w:val="20"/>
          <w:color w:val="auto"/>
        </w:rPr>
      </w:pPr>
      <w:r>
        <w:rPr>
          <w:rFonts w:ascii="Arial" w:cs="Arial" w:eastAsia="Arial" w:hAnsi="Arial"/>
          <w:sz w:val="16"/>
          <w:szCs w:val="16"/>
          <w:color w:val="auto"/>
        </w:rPr>
        <w:t>be determined by multiplying the Purchase Price in effect immediately prior to such record date by a fraction, the numerator of which shall be the current market price (as determined pursuant to Section 11(d) hereof) per share of Preferred Stock on such record date, less the fair market value (as determined in good faith by the Board, whose determination shall be described in a statement filed with the Rights Agent and shall be conclusive for all purposes) of the portion of the cash, assets or evidences of indebtedness so to be distributed or of such subscription rights or warrants applicable to a share of Preferred Stock and the denominator of which shall be such current market price (as determined pursuant to Section 11(d) hereof) per share of Preferred Stock on such record date. Such 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spacing w:after="0" w:line="63" w:lineRule="exact"/>
        <w:rPr>
          <w:sz w:val="20"/>
          <w:szCs w:val="20"/>
          <w:color w:val="auto"/>
        </w:rPr>
      </w:pPr>
    </w:p>
    <w:p>
      <w:pPr>
        <w:ind w:firstLine="223"/>
        <w:spacing w:after="0" w:line="275" w:lineRule="auto"/>
        <w:tabs>
          <w:tab w:leader="none" w:pos="46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(i) For the purpose of any computation hereunder, other than computations made pursuant to Section 11(a)(iii) hereof, the “current market price” per share of Common Stock on any date shall be deemed to be the average of the daily closing prices per share of such Common Stock for the thirty (30) consecutive Trading Days (as such term is hereinafter defined) immediately prior to such date, and for purposes of computations made pursuant to Section 11(a)(iii) hereof, the “current market price” per share of Common Stock on any date shall be deemed to be the average of the daily closing prices per share of such Common Stock for the ten (10) consecutive Trading Days immediately following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current market price per share of the Common Stock is determined during a period following the announcement by the issuer of such Common Stock of (A) a dividend or distribution on such Common Stock payable in shares of such Common Stock or securities convertible into shares of such Common Stock (other than the Rights), or (B) any subdivision, combination or reclassification of such Common Stock, and prior to the expiration of the requisite thirty (30) Trading Day or ten (10) Trading Day period, as set forth above, after the ex-dividend date for such dividend or distribution, or the record date for such subdivision, combination or reclassification occurs, then, and in each such case, the “current market price” shall be properly adjusted to take into account ex-dividend or post record date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the low asked prices in the over-the-counter market or, if on any such date the shares of Common Stock are not quoted by any such organization, the average of the closing bid and asked prices as furnished by a professional market maker making a market in the Common Stock selected by the Board. All references in this Section to closing prices, last quoted prices or other stock prices mean prices during regular trading hours, without giving effect to any after-hours or extended hours trading. If on any such date no market maker is making a market in the Common Stock, the fair value of such shares on such date shall be as determined in good faith by the Board, whose determination shall be described in a statement filed with the Rights Agent and shall be conclusive for all purposes. The term “Trading Day” shall mean a day on which any national securities exchange on which the shares of Common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30" w:name="page331"/>
    <w:bookmarkEnd w:id="330"/>
    <w:p>
      <w:pPr>
        <w:ind w:right="40"/>
        <w:spacing w:after="0" w:line="267" w:lineRule="auto"/>
        <w:rPr>
          <w:sz w:val="20"/>
          <w:szCs w:val="20"/>
          <w:color w:val="auto"/>
        </w:rPr>
      </w:pPr>
      <w:r>
        <w:rPr>
          <w:rFonts w:ascii="Arial" w:cs="Arial" w:eastAsia="Arial" w:hAnsi="Arial"/>
          <w:sz w:val="17"/>
          <w:szCs w:val="17"/>
          <w:color w:val="auto"/>
        </w:rPr>
        <w:t>Stock are listed or admitted to trading is open for the transaction of business or, if the shares of Common Stock are not listed or admitted to trading on any national securities exchange, a Business Day. If the Common Stock is not publicly held or not so listed or traded, “current market price” per share shall mean the fair value per share as determined in good faith by the Board, whose determination shall be described in a statement filed with the Rights Agent and shall be conclusive for all purposes.</w:t>
      </w:r>
    </w:p>
    <w:p>
      <w:pPr>
        <w:spacing w:after="0" w:line="73" w:lineRule="exact"/>
        <w:rPr>
          <w:sz w:val="20"/>
          <w:szCs w:val="20"/>
          <w:color w:val="auto"/>
        </w:rPr>
      </w:pPr>
    </w:p>
    <w:p>
      <w:pPr>
        <w:ind w:right="140" w:firstLine="441"/>
        <w:spacing w:after="0" w:line="260" w:lineRule="auto"/>
        <w:tabs>
          <w:tab w:leader="none" w:pos="693" w:val="left"/>
        </w:tabs>
        <w:numPr>
          <w:ilvl w:val="1"/>
          <w:numId w:val="270"/>
        </w:numPr>
        <w:rPr>
          <w:rFonts w:ascii="Arial" w:cs="Arial" w:eastAsia="Arial" w:hAnsi="Arial"/>
          <w:sz w:val="17"/>
          <w:szCs w:val="17"/>
          <w:color w:val="auto"/>
        </w:rPr>
      </w:pPr>
      <w:r>
        <w:rPr>
          <w:rFonts w:ascii="Arial" w:cs="Arial" w:eastAsia="Arial" w:hAnsi="Arial"/>
          <w:sz w:val="17"/>
          <w:szCs w:val="17"/>
          <w:color w:val="auto"/>
        </w:rPr>
        <w:t>For the purpose of any computation hereunder, the “current market price” per share of Preferred Stock shall be determined in the same manner as set forth above for the Common Stock in clause (i) of this Section 11(d) (other than the last sentence thereof). If the current market price per share of Preferred Stock cannot be determined in the manner provided above or if the Preferred Stock is not publicly held or listed or traded in a manner described in clause (i) of this Section 11(d),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“current market price” per share of the Preferred Stock shall mean the fair value per share as determined in good faith by the Board, which determination shall be described in a statement filed with the Rights Agent and shall be conclusive for all purposes. For all purposes of this Agreement, the “current market price” of one one-thousandth of a share of Preferred Stock shall be equal to the “current market price” of one share of Preferred Stock divided by 1000.</w:t>
      </w:r>
    </w:p>
    <w:p>
      <w:pPr>
        <w:spacing w:after="0" w:line="82" w:lineRule="exact"/>
        <w:rPr>
          <w:rFonts w:ascii="Arial" w:cs="Arial" w:eastAsia="Arial" w:hAnsi="Arial"/>
          <w:sz w:val="17"/>
          <w:szCs w:val="17"/>
          <w:color w:val="auto"/>
        </w:rPr>
      </w:pPr>
    </w:p>
    <w:p>
      <w:pPr>
        <w:ind w:right="120" w:firstLine="223"/>
        <w:spacing w:after="0" w:line="263" w:lineRule="auto"/>
        <w:tabs>
          <w:tab w:leader="none" w:pos="446"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Anything herein to the contrary notwithstanding, no adjustment in the Purchase Price shall be required unless such adjustment would require an increase or decrease of at least one percent (1%) in the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adjustments which by reason of this Section 11(e) are not required to be made shall be carried forward and taken into account in any subsequent adjustment. All calculations under this Section 11 shall be made to the nearest cent or to the nearest ten-millionth of a share of Preferred Stock, or hundred-thousandth of a share of Common Stock or other security, as the case may be. Notwithstanding the first sentence of this Section 11(e), any adjustment required by this Section 11 shall be made no later than the earlier of (i) three years from the date of the transaction which mandates such adjustment, or (ii) the Expiration Date.</w:t>
      </w:r>
    </w:p>
    <w:p>
      <w:pPr>
        <w:spacing w:after="0" w:line="76" w:lineRule="exact"/>
        <w:rPr>
          <w:rFonts w:ascii="Arial" w:cs="Arial" w:eastAsia="Arial" w:hAnsi="Arial"/>
          <w:sz w:val="17"/>
          <w:szCs w:val="17"/>
          <w:color w:val="auto"/>
        </w:rPr>
      </w:pPr>
    </w:p>
    <w:p>
      <w:pPr>
        <w:ind w:firstLine="223"/>
        <w:spacing w:after="0" w:line="283" w:lineRule="auto"/>
        <w:tabs>
          <w:tab w:leader="none" w:pos="43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If as a result of an adjustment made pursuant to Section 11(a)(ii) or Section 13(a) hereof, the holder of any Right thereafter exercised shall become entitled to receive any securities other than Preferred Stock, thereafter the number of such other securities so receivable upon exercise of any Right and the Purchase Price thereof shall be subject to adjustment from time to time in a manner and on terms as nearly equivalent as practicable to the provisions with respect to the Preferred Stock contained in Sections 11(a), (b), (c), (e), (g), (h), (i), (j), (k) and (m), and the provisions of Sections 7, 9, 10, 13 and 14 hereof with respect to the Preferred Stock shall apply on like terms to any such other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for its inability to reserve and keep available for issuance upon exercise of the Rights pursuant to Section 11(a)(ii) a number of shares of Common Stock greater than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31" w:name="page332"/>
    <w:bookmarkEnd w:id="331"/>
    <w:p>
      <w:pPr>
        <w:spacing w:after="0"/>
        <w:rPr>
          <w:sz w:val="20"/>
          <w:szCs w:val="20"/>
          <w:color w:val="auto"/>
        </w:rPr>
      </w:pPr>
      <w:r>
        <w:rPr>
          <w:rFonts w:ascii="Arial" w:cs="Arial" w:eastAsia="Arial" w:hAnsi="Arial"/>
          <w:sz w:val="17"/>
          <w:szCs w:val="17"/>
          <w:color w:val="auto"/>
        </w:rPr>
        <w:t>number then authorized by the Company’s Certificate of Incorporation but not outstanding or reserved for other purposes.</w:t>
      </w:r>
    </w:p>
    <w:p>
      <w:pPr>
        <w:spacing w:after="0" w:line="119" w:lineRule="exact"/>
        <w:rPr>
          <w:sz w:val="20"/>
          <w:szCs w:val="20"/>
          <w:color w:val="auto"/>
        </w:rPr>
      </w:pPr>
    </w:p>
    <w:p>
      <w:pPr>
        <w:jc w:val="both"/>
        <w:ind w:right="40" w:firstLine="223"/>
        <w:spacing w:after="0" w:line="273" w:lineRule="auto"/>
        <w:tabs>
          <w:tab w:leader="none" w:pos="456" w:val="left"/>
        </w:tabs>
        <w:numPr>
          <w:ilvl w:val="1"/>
          <w:numId w:val="272"/>
        </w:numPr>
        <w:rPr>
          <w:rFonts w:ascii="Arial" w:cs="Arial" w:eastAsia="Arial" w:hAnsi="Arial"/>
          <w:sz w:val="17"/>
          <w:szCs w:val="17"/>
          <w:color w:val="auto"/>
        </w:rPr>
      </w:pPr>
      <w:r>
        <w:rPr>
          <w:rFonts w:ascii="Arial" w:cs="Arial" w:eastAsia="Arial" w:hAnsi="Arial"/>
          <w:sz w:val="17"/>
          <w:szCs w:val="17"/>
          <w:color w:val="auto"/>
        </w:rPr>
        <w:t>All Rights originally issued by the 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spacing w:after="0" w:line="66" w:lineRule="exact"/>
        <w:rPr>
          <w:rFonts w:ascii="Arial" w:cs="Arial" w:eastAsia="Arial" w:hAnsi="Arial"/>
          <w:sz w:val="17"/>
          <w:szCs w:val="17"/>
          <w:color w:val="auto"/>
        </w:rPr>
      </w:pPr>
    </w:p>
    <w:p>
      <w:pPr>
        <w:ind w:right="60" w:firstLine="223"/>
        <w:spacing w:after="0" w:line="297" w:lineRule="auto"/>
        <w:tabs>
          <w:tab w:leader="none" w:pos="465" w:val="left"/>
        </w:tabs>
        <w:numPr>
          <w:ilvl w:val="1"/>
          <w:numId w:val="272"/>
        </w:numPr>
        <w:rPr>
          <w:rFonts w:ascii="Arial" w:cs="Arial" w:eastAsia="Arial" w:hAnsi="Arial"/>
          <w:sz w:val="15"/>
          <w:szCs w:val="15"/>
          <w:color w:val="auto"/>
        </w:rPr>
      </w:pPr>
      <w:r>
        <w:rPr>
          <w:rFonts w:ascii="Arial" w:cs="Arial" w:eastAsia="Arial" w:hAnsi="Arial"/>
          <w:sz w:val="15"/>
          <w:szCs w:val="15"/>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one-thousandths of a share of Preferred Stock (calculated to the nearest ten-millionth) obtained by (i) multiplying</w:t>
      </w:r>
    </w:p>
    <w:p>
      <w:pPr>
        <w:jc w:val="both"/>
        <w:ind w:right="80" w:firstLine="5"/>
        <w:spacing w:after="0" w:line="265" w:lineRule="auto"/>
        <w:tabs>
          <w:tab w:leader="none" w:pos="247"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number of one one-thousandths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73" w:lineRule="exact"/>
        <w:rPr>
          <w:rFonts w:ascii="Arial" w:cs="Arial" w:eastAsia="Arial" w:hAnsi="Arial"/>
          <w:sz w:val="17"/>
          <w:szCs w:val="17"/>
          <w:color w:val="auto"/>
        </w:rPr>
      </w:pPr>
    </w:p>
    <w:p>
      <w:pPr>
        <w:ind w:firstLine="223"/>
        <w:spacing w:after="0" w:line="296" w:lineRule="auto"/>
        <w:tabs>
          <w:tab w:leader="none" w:pos="423" w:val="left"/>
        </w:tabs>
        <w:numPr>
          <w:ilvl w:val="1"/>
          <w:numId w:val="273"/>
        </w:numPr>
        <w:rPr>
          <w:rFonts w:ascii="Arial" w:cs="Arial" w:eastAsia="Arial" w:hAnsi="Arial"/>
          <w:sz w:val="15"/>
          <w:szCs w:val="15"/>
          <w:color w:val="auto"/>
        </w:rPr>
      </w:pPr>
      <w:r>
        <w:rPr>
          <w:rFonts w:ascii="Arial" w:cs="Arial" w:eastAsia="Arial" w:hAnsi="Arial"/>
          <w:sz w:val="15"/>
          <w:szCs w:val="15"/>
          <w:color w:val="auto"/>
        </w:rPr>
        <w:t>The Company may elect on or after the date of any adjustment of the Purchase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one-hundred-thousandth)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32" w:name="page333"/>
    <w:bookmarkEnd w:id="332"/>
    <w:p>
      <w:pPr>
        <w:ind w:left="-5" w:firstLine="223"/>
        <w:spacing w:after="0" w:line="273" w:lineRule="auto"/>
        <w:tabs>
          <w:tab w:leader="none" w:pos="422"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Irrespective of any adjustment or change in the Purchase Price or the number of one one-thousandths of a share of Preferred Stock issuable upon the exercise of the Rights, the Rights Certificates theretofore and thereafter issued may continue to express the Purchase Price per one one-thousandth of a share and the number of one one-thousandths of a share which were expressed in the initial Rights Certificates issued hereunder.</w:t>
      </w:r>
    </w:p>
    <w:p>
      <w:pPr>
        <w:spacing w:after="0" w:line="66" w:lineRule="exact"/>
        <w:rPr>
          <w:rFonts w:ascii="Arial" w:cs="Arial" w:eastAsia="Arial" w:hAnsi="Arial"/>
          <w:sz w:val="17"/>
          <w:szCs w:val="17"/>
          <w:color w:val="auto"/>
        </w:rPr>
      </w:pPr>
    </w:p>
    <w:p>
      <w:pPr>
        <w:ind w:left="-5" w:right="20" w:firstLine="223"/>
        <w:spacing w:after="0" w:line="267" w:lineRule="auto"/>
        <w:tabs>
          <w:tab w:leader="none" w:pos="46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Before taking any action that would cause an adjustment reducing the Purchase Price below the then par value, if any, of the number of one one-thousandths of a share of Preferred Stock issuable upon exercise of the Rights, the Company shall take any corporate action which may, in the opinion of its counsel, be necessary in order that the Company may validly and legally issue such number of one one-thousandths of a share of fully paid and nonassessable Preferred Stock at such adjusted Purchase Price.</w:t>
      </w:r>
    </w:p>
    <w:p>
      <w:pPr>
        <w:spacing w:after="0" w:line="72" w:lineRule="exact"/>
        <w:rPr>
          <w:rFonts w:ascii="Arial" w:cs="Arial" w:eastAsia="Arial" w:hAnsi="Arial"/>
          <w:sz w:val="17"/>
          <w:szCs w:val="17"/>
          <w:color w:val="auto"/>
        </w:rPr>
      </w:pPr>
    </w:p>
    <w:p>
      <w:pPr>
        <w:ind w:left="-5" w:right="120" w:firstLine="223"/>
        <w:spacing w:after="0" w:line="305" w:lineRule="auto"/>
        <w:tabs>
          <w:tab w:leader="none" w:pos="422" w:val="left"/>
        </w:tabs>
        <w:numPr>
          <w:ilvl w:val="1"/>
          <w:numId w:val="274"/>
        </w:numPr>
        <w:rPr>
          <w:rFonts w:ascii="Arial" w:cs="Arial" w:eastAsia="Arial" w:hAnsi="Arial"/>
          <w:sz w:val="15"/>
          <w:szCs w:val="15"/>
          <w:color w:val="auto"/>
        </w:rPr>
      </w:pPr>
      <w:r>
        <w:rPr>
          <w:rFonts w:ascii="Arial" w:cs="Arial" w:eastAsia="Arial" w:hAnsi="Arial"/>
          <w:sz w:val="15"/>
          <w:szCs w:val="15"/>
          <w:color w:val="auto"/>
        </w:rPr>
        <w:t xml:space="preserve">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Purchase Price in effect prior to such adjustment;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46" w:lineRule="exact"/>
        <w:rPr>
          <w:rFonts w:ascii="Arial" w:cs="Arial" w:eastAsia="Arial" w:hAnsi="Arial"/>
          <w:sz w:val="15"/>
          <w:szCs w:val="15"/>
          <w:color w:val="auto"/>
        </w:rPr>
      </w:pPr>
    </w:p>
    <w:p>
      <w:pPr>
        <w:jc w:val="both"/>
        <w:ind w:left="-5" w:right="100" w:firstLine="223"/>
        <w:spacing w:after="0" w:line="297" w:lineRule="auto"/>
        <w:tabs>
          <w:tab w:leader="none" w:pos="499" w:val="left"/>
        </w:tabs>
        <w:numPr>
          <w:ilvl w:val="1"/>
          <w:numId w:val="274"/>
        </w:numPr>
        <w:rPr>
          <w:rFonts w:ascii="Arial" w:cs="Arial" w:eastAsia="Arial" w:hAnsi="Arial"/>
          <w:sz w:val="15"/>
          <w:szCs w:val="15"/>
          <w:color w:val="auto"/>
        </w:rPr>
      </w:pPr>
      <w:r>
        <w:rPr>
          <w:rFonts w:ascii="Arial" w:cs="Arial" w:eastAsia="Arial" w:hAnsi="Arial"/>
          <w:sz w:val="15"/>
          <w:szCs w:val="15"/>
          <w:color w:val="auto"/>
        </w:rPr>
        <w:t>Anything in this Section 11 to the contrary notwithstanding, the Company shall be entitled to make such reductions in the Purchase Price, in addition to those adjustments expressly required by this Section 11, as and to the extent that in their good faith judgment the Board shall determine to be advisable in order that any (i) consolidation or subdivision of the Preferred Stock, (ii) issuance wholly for cash of any shares of Preferred Stock at less than the current market price,</w:t>
      </w:r>
    </w:p>
    <w:p>
      <w:pPr>
        <w:ind w:left="315" w:hanging="315"/>
        <w:spacing w:after="0"/>
        <w:tabs>
          <w:tab w:leader="none" w:pos="31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issuance wholly for cash of shares of Preferred Stock or securities which by their terms are convertible into or exchangeable for shares of Preferred Stock,</w:t>
      </w:r>
    </w:p>
    <w:p>
      <w:pPr>
        <w:spacing w:after="0" w:line="25" w:lineRule="exact"/>
        <w:rPr>
          <w:rFonts w:ascii="Arial" w:cs="Arial" w:eastAsia="Arial" w:hAnsi="Arial"/>
          <w:sz w:val="16"/>
          <w:szCs w:val="16"/>
          <w:color w:val="auto"/>
        </w:rPr>
      </w:pPr>
    </w:p>
    <w:p>
      <w:pPr>
        <w:ind w:left="-5" w:right="240" w:firstLine="5"/>
        <w:spacing w:after="0" w:line="274" w:lineRule="auto"/>
        <w:tabs>
          <w:tab w:leader="none" w:pos="291" w:val="left"/>
        </w:tabs>
        <w:numPr>
          <w:ilvl w:val="0"/>
          <w:numId w:val="275"/>
        </w:numPr>
        <w:rPr>
          <w:rFonts w:ascii="Arial" w:cs="Arial" w:eastAsia="Arial" w:hAnsi="Arial"/>
          <w:sz w:val="17"/>
          <w:szCs w:val="17"/>
          <w:color w:val="auto"/>
        </w:rPr>
      </w:pPr>
      <w:r>
        <w:rPr>
          <w:rFonts w:ascii="Arial" w:cs="Arial" w:eastAsia="Arial" w:hAnsi="Arial"/>
          <w:sz w:val="17"/>
          <w:szCs w:val="17"/>
          <w:color w:val="auto"/>
        </w:rPr>
        <w:t>stock dividends or (v) issuance of rights, options or warrants referred to in this Section 11, hereafter made by the Company to holders of its Preferred Stock shall not be taxable to such stockholders.</w:t>
      </w:r>
    </w:p>
    <w:p>
      <w:pPr>
        <w:spacing w:after="0" w:line="65" w:lineRule="exact"/>
        <w:rPr>
          <w:rFonts w:ascii="Arial" w:cs="Arial" w:eastAsia="Arial" w:hAnsi="Arial"/>
          <w:sz w:val="17"/>
          <w:szCs w:val="17"/>
          <w:color w:val="auto"/>
        </w:rPr>
      </w:pPr>
    </w:p>
    <w:p>
      <w:pPr>
        <w:ind w:left="-5" w:right="20" w:firstLine="223"/>
        <w:spacing w:after="0" w:line="276" w:lineRule="auto"/>
        <w:tabs>
          <w:tab w:leader="none" w:pos="457" w:val="left"/>
        </w:tabs>
        <w:numPr>
          <w:ilvl w:val="1"/>
          <w:numId w:val="275"/>
        </w:numPr>
        <w:rPr>
          <w:rFonts w:ascii="Arial" w:cs="Arial" w:eastAsia="Arial" w:hAnsi="Arial"/>
          <w:sz w:val="16"/>
          <w:szCs w:val="16"/>
          <w:color w:val="auto"/>
        </w:rPr>
      </w:pPr>
      <w:r>
        <w:rPr>
          <w:rFonts w:ascii="Arial" w:cs="Arial" w:eastAsia="Arial" w:hAnsi="Arial"/>
          <w:sz w:val="16"/>
          <w:szCs w:val="16"/>
          <w:color w:val="auto"/>
        </w:rPr>
        <w:t>The Company covenants and agrees that it shall not, at any time after the Distribution Date, (i) consolidate with any other Person (other than a Subsidiary of the Company in a transaction that complies with Section 11(o) hereof), (ii) merge with or into any other Person (other than a Subsidiary of the Company in a transaction which complies with Section 11(o) hereof), or (iii) sell or transfer (or permit any Subsidiary to sell or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w:t>
      </w:r>
    </w:p>
    <w:p>
      <w:pPr>
        <w:spacing w:after="0" w:line="1" w:lineRule="exact"/>
        <w:rPr>
          <w:rFonts w:ascii="Arial" w:cs="Arial" w:eastAsia="Arial" w:hAnsi="Arial"/>
          <w:sz w:val="16"/>
          <w:szCs w:val="16"/>
          <w:color w:val="auto"/>
        </w:rPr>
      </w:pPr>
    </w:p>
    <w:p>
      <w:pPr>
        <w:ind w:left="255" w:hanging="255"/>
        <w:spacing w:after="0"/>
        <w:tabs>
          <w:tab w:leader="none" w:pos="25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at the time of or immediately after such consolidation, merger or sale there are any charter or bylaw provisions or any rights, warrants or</w:t>
      </w:r>
    </w:p>
    <w:p>
      <w:pPr>
        <w:spacing w:after="0" w:line="185"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875" cy="209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95"/>
          </w:cols>
          <w:pgMar w:left="245" w:top="913" w:right="259" w:bottom="1440" w:gutter="0" w:footer="0" w:header="0"/>
        </w:sectPr>
      </w:pPr>
    </w:p>
    <w:bookmarkStart w:id="333" w:name="page334"/>
    <w:bookmarkEnd w:id="333"/>
    <w:p>
      <w:pPr>
        <w:ind w:right="40"/>
        <w:spacing w:after="0" w:line="263" w:lineRule="auto"/>
        <w:rPr>
          <w:sz w:val="20"/>
          <w:szCs w:val="20"/>
          <w:color w:val="auto"/>
        </w:rPr>
      </w:pPr>
      <w:r>
        <w:rPr>
          <w:rFonts w:ascii="Arial" w:cs="Arial" w:eastAsia="Arial" w:hAnsi="Arial"/>
          <w:sz w:val="17"/>
          <w:szCs w:val="17"/>
          <w:color w:val="auto"/>
        </w:rPr>
        <w:t>other instruments or securities outstanding or agreements in effect that would substantially diminish or otherwise eliminate the benefits intended to be afforded by the Rights or (y) prior to, simultaneously with or immediately after such consolidation, merger or sale, the stockholders of the Person who constitutes, or would constitute, the “Principal Party” for purposes of Section 13(a) hereof shall have received a distribution of Rights previously owned by such Person or any of its Affiliates or Associates. The Company shall not consummate any consolidation, merger, sale or transfer described in clause (i), (ii) or (iii) of the prior sentence unless prior thereto the Company and such other Person shall have executed and delivered to the Rights Agent a supplemental agreement evidencing compliance with this Section 11(n).</w:t>
      </w:r>
    </w:p>
    <w:p>
      <w:pPr>
        <w:spacing w:after="0" w:line="77" w:lineRule="exact"/>
        <w:rPr>
          <w:sz w:val="20"/>
          <w:szCs w:val="20"/>
          <w:color w:val="auto"/>
        </w:rPr>
      </w:pPr>
    </w:p>
    <w:p>
      <w:pPr>
        <w:ind w:right="20" w:firstLine="223"/>
        <w:spacing w:after="0" w:line="273" w:lineRule="auto"/>
        <w:tabs>
          <w:tab w:leader="none" w:pos="46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Company covenants and agrees that, after the Distribution Date, it will not, except as permitted by Section 23, Section 24 or Section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66" w:lineRule="exact"/>
        <w:rPr>
          <w:rFonts w:ascii="Arial" w:cs="Arial" w:eastAsia="Arial" w:hAnsi="Arial"/>
          <w:sz w:val="17"/>
          <w:szCs w:val="17"/>
          <w:color w:val="auto"/>
        </w:rPr>
      </w:pPr>
    </w:p>
    <w:p>
      <w:pPr>
        <w:ind w:right="100" w:firstLine="223"/>
        <w:spacing w:after="0" w:line="261" w:lineRule="auto"/>
        <w:tabs>
          <w:tab w:leader="none" w:pos="456"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Company shall at any time after the Record Date and prior to the Distribution Date (i) declare or pay any dividend on the outstanding shares of Common Stock payable in shares of Common Stock, (ii) subdivide the outstanding shares of Common Stock, or (iii) combine the outstanding shares of Common Stock into a smaller number of shares,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number of shares of Common Stock outstanding immediately prior to the occurrence of such event and the denominator of which shall be the number of shares of Common Stock outstanding immediately following the occurrence of such event.</w:t>
      </w:r>
    </w:p>
    <w:p>
      <w:pPr>
        <w:spacing w:after="0" w:line="80" w:lineRule="exact"/>
        <w:rPr>
          <w:sz w:val="20"/>
          <w:szCs w:val="20"/>
          <w:color w:val="auto"/>
        </w:rPr>
      </w:pPr>
    </w:p>
    <w:p>
      <w:pPr>
        <w:ind w:firstLine="218"/>
        <w:spacing w:after="0" w:line="26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Certificate of Adjusted Purchase Price or Number of Shares</w:t>
      </w:r>
      <w:r>
        <w:rPr>
          <w:rFonts w:ascii="Arial" w:cs="Arial" w:eastAsia="Arial" w:hAnsi="Arial"/>
          <w:sz w:val="17"/>
          <w:szCs w:val="17"/>
          <w:color w:val="auto"/>
        </w:rPr>
        <w:t>. Whenever an adjustment is made as provided in Section 11 or Section 13 hereof, the Company shall promptly (a) prepare a certificate setting forth such adjustment and a brief statement of the facts accounting for such adjustment, (b) file with the Rights Agent, and with each transfer agent for the Preferred Stock and the Common Stock, a copy of such certificate, and (c) if the Distribution Date has occurred, mail a brief summary thereof to each holder of a Rights Certificate in accordance with Section 26 hereof. The Rights Agent shall be fully protected in relying on any such certificate and on any adjustment therein contained and shall not be deemed to have knowledge of any adjustment unless and until it shall have received such certificate.</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Consolidation, Merger or Sale or Transfer of Assets or Earning Power.</w:t>
      </w:r>
    </w:p>
    <w:p>
      <w:pPr>
        <w:spacing w:after="0" w:line="119" w:lineRule="exact"/>
        <w:rPr>
          <w:sz w:val="20"/>
          <w:szCs w:val="20"/>
          <w:color w:val="auto"/>
        </w:rPr>
      </w:pPr>
    </w:p>
    <w:p>
      <w:pPr>
        <w:ind w:right="320" w:firstLine="223"/>
        <w:spacing w:after="0" w:line="289" w:lineRule="auto"/>
        <w:tabs>
          <w:tab w:leader="none" w:pos="455"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In the event that, at any time after a Person has become an Acquiring Person, (x) the Company shall consolidate with, or merge with and into, any other Person (other than a Subsidiary of the Company in a transaction that complies with Section 11(o) hereof), and the</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913" w:right="299" w:bottom="1440" w:gutter="0" w:footer="0" w:header="0"/>
        </w:sectPr>
      </w:pPr>
    </w:p>
    <w:bookmarkStart w:id="334" w:name="page335"/>
    <w:bookmarkEnd w:id="334"/>
    <w:p>
      <w:pPr>
        <w:spacing w:after="0" w:line="294" w:lineRule="auto"/>
        <w:rPr>
          <w:sz w:val="20"/>
          <w:szCs w:val="20"/>
          <w:color w:val="auto"/>
        </w:rPr>
      </w:pPr>
      <w:r>
        <w:rPr>
          <w:rFonts w:ascii="Arial" w:cs="Arial" w:eastAsia="Arial" w:hAnsi="Arial"/>
          <w:sz w:val="15"/>
          <w:szCs w:val="15"/>
          <w:color w:val="auto"/>
        </w:rPr>
        <w:t>Company shall not be the continuing or surviving corporation of such consolidation or merger, (y) any Person (other than a Subsidiary of the Company in a transaction that complies with Section 11(o) hereof) shall consolidate with, or merge with or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cash or any other property, or (z) the Company shall sell or otherwise transfer (or one or more of its Subsidiaries shall sell or otherwise transfer), in one transaction or a series of related transactions, assets or earning power aggregating more than 50% of the assets or earning power of the Company and its Subsidiaries (taken as a whole) to any Person or Persons (other than the Company or any Subsidiary of the Company in one or more transactions each of which complies with Section 11(o) hereof), then, and in each such case and except as contemplated by Section 13(d) hereof, proper provision shall be made so that: (i) each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shares of Common Stock of the Principal Party (as such term is hereinafter defined), which shall not be subject to any liens, encumbrances, rights of first refusal or other adverse claims, as shall be equal to the result obtained by (1) multiplying the then current Purchase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for which a Right was exercisable immediately prior to the first occurrence of a Section 11(a)(ii) Event by the Purchase Price in effect immediately prior to such first occurrence), and (2) dividing that product (which, following the first occurrence of a Section 13 Event, shall be referred to as the “Purchase Price” for each Right and for all purposes of this Agreement) by 50% of the current market price (determined pursuant to Section 11(d)(i) hereof) per share of the Common Stock of such Principal Party on the date of consummation of such Section 13 Event; (ii) such Principal Party shall thereafter be liable for, and shall assume, by virtue of such Section 13 Event, all the obligations and duties of the Company pursuant to this Agreement; (iii) the term “Company” shall thereafter be deemed to refer to such Principal Party, it being specifically intended that, subject to clause (v) below, the provisions of Section 11 hereof shall apply only to such Principal Party following the first occurrence of a Section 13 Event; (iv) such Principal Party shall take such steps (including, but not limited to, the reservation of a sufficient number of shares of its Common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(v) the provisions of Section 11(a)(ii) hereof shall be of no effect following the first occurrence of any Section 13 Event.</w:t>
      </w:r>
    </w:p>
    <w:p>
      <w:pPr>
        <w:spacing w:after="0" w:line="275" w:lineRule="exact"/>
        <w:rPr>
          <w:sz w:val="20"/>
          <w:szCs w:val="20"/>
          <w:color w:val="auto"/>
        </w:rPr>
      </w:pPr>
    </w:p>
    <w:p>
      <w:pPr>
        <w:ind w:left="480" w:hanging="257"/>
        <w:spacing w:after="0"/>
        <w:tabs>
          <w:tab w:leader="none" w:pos="48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“Principal Party” shall mean</w:t>
      </w:r>
    </w:p>
    <w:p>
      <w:pPr>
        <w:spacing w:after="0" w:line="118" w:lineRule="exact"/>
        <w:rPr>
          <w:rFonts w:ascii="Arial" w:cs="Arial" w:eastAsia="Arial" w:hAnsi="Arial"/>
          <w:sz w:val="17"/>
          <w:szCs w:val="17"/>
          <w:color w:val="auto"/>
        </w:rPr>
      </w:pPr>
    </w:p>
    <w:p>
      <w:pPr>
        <w:ind w:left="640" w:hanging="199"/>
        <w:spacing w:after="0"/>
        <w:tabs>
          <w:tab w:leader="none" w:pos="640" w:val="left"/>
        </w:tabs>
        <w:numPr>
          <w:ilvl w:val="1"/>
          <w:numId w:val="279"/>
        </w:numPr>
        <w:rPr>
          <w:rFonts w:ascii="Arial" w:cs="Arial" w:eastAsia="Arial" w:hAnsi="Arial"/>
          <w:sz w:val="15"/>
          <w:szCs w:val="15"/>
          <w:color w:val="auto"/>
        </w:rPr>
      </w:pPr>
      <w:r>
        <w:rPr>
          <w:rFonts w:ascii="Arial" w:cs="Arial" w:eastAsia="Arial" w:hAnsi="Arial"/>
          <w:sz w:val="15"/>
          <w:szCs w:val="15"/>
          <w:color w:val="auto"/>
        </w:rPr>
        <w:t>in the case of any transaction described in clause (x) or (y) of the first sentence of Section 13(a), the Person that is the issuer of any securities into which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shares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35" w:name="page336"/>
    <w:bookmarkEnd w:id="335"/>
    <w:p>
      <w:pPr>
        <w:ind w:right="120"/>
        <w:spacing w:after="0" w:line="289" w:lineRule="auto"/>
        <w:rPr>
          <w:sz w:val="20"/>
          <w:szCs w:val="20"/>
          <w:color w:val="auto"/>
        </w:rPr>
      </w:pPr>
      <w:r>
        <w:rPr>
          <w:rFonts w:ascii="Arial" w:cs="Arial" w:eastAsia="Arial" w:hAnsi="Arial"/>
          <w:sz w:val="17"/>
          <w:szCs w:val="17"/>
          <w:color w:val="auto"/>
        </w:rPr>
        <w:t>Common Stock of the Company are converted in such merger or consolidation, and if no securities are so issued, the Person that is the other party to such merger or consolidation; and</w:t>
      </w:r>
    </w:p>
    <w:p>
      <w:pPr>
        <w:spacing w:after="0" w:line="53" w:lineRule="exact"/>
        <w:rPr>
          <w:sz w:val="20"/>
          <w:szCs w:val="20"/>
          <w:color w:val="auto"/>
        </w:rPr>
      </w:pPr>
    </w:p>
    <w:p>
      <w:pPr>
        <w:ind w:firstLine="441"/>
        <w:spacing w:after="0" w:line="289" w:lineRule="auto"/>
        <w:tabs>
          <w:tab w:leader="none" w:pos="693"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in the case of any transaction described in clause (z) of the first sentence of Section 13(a), the Person that is the party receiving the greatest portion of the assets or earning power transferred pursuant to such transaction or transactions;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(1) if the Common Stock of such Person is not at such time and has not been continuously over the preceding twelve</w:t>
      </w:r>
    </w:p>
    <w:p>
      <w:pPr>
        <w:spacing w:after="0" w:line="38" w:lineRule="exact"/>
        <w:rPr>
          <w:sz w:val="20"/>
          <w:szCs w:val="20"/>
          <w:color w:val="auto"/>
        </w:rPr>
      </w:pPr>
    </w:p>
    <w:p>
      <w:pPr>
        <w:ind w:right="80" w:firstLine="5"/>
        <w:spacing w:after="0" w:line="278" w:lineRule="auto"/>
        <w:tabs>
          <w:tab w:leader="none" w:pos="33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month period registered under Section 12 of the Exchange Act, and such Person is a direct or indirect Subsidiary of another Person the Common Stock of which is and has been so registered, “Principal Party” shall refer to such other Person; (2) 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(3) in case such Person is owned, directly or indirectly, by a joint venture formed by two or more Persons that are not owned, directly or indirectly, by the same Person, the rules set forth in (1) and (2) above shall apply to each of the chains of ownership having an interest in such joint venture as if such party were a “Subsidiary” of both or all of such joint ventures and the Principal Parties in each such chain shall bear the obligations set forth in this Section 13 in the same ratio as their direct or indirect interests in such Person bear to the total of such interests.</w:t>
      </w:r>
    </w:p>
    <w:p>
      <w:pPr>
        <w:spacing w:after="0" w:line="67" w:lineRule="exact"/>
        <w:rPr>
          <w:rFonts w:ascii="Arial" w:cs="Arial" w:eastAsia="Arial" w:hAnsi="Arial"/>
          <w:sz w:val="16"/>
          <w:szCs w:val="16"/>
          <w:color w:val="auto"/>
        </w:rPr>
      </w:pPr>
    </w:p>
    <w:p>
      <w:pPr>
        <w:ind w:firstLine="223"/>
        <w:spacing w:after="0" w:line="265" w:lineRule="auto"/>
        <w:tabs>
          <w:tab w:leader="none" w:pos="452" w:val="left"/>
        </w:tabs>
        <w:numPr>
          <w:ilvl w:val="1"/>
          <w:numId w:val="281"/>
        </w:numPr>
        <w:rPr>
          <w:rFonts w:ascii="Arial" w:cs="Arial" w:eastAsia="Arial" w:hAnsi="Arial"/>
          <w:sz w:val="17"/>
          <w:szCs w:val="17"/>
          <w:color w:val="auto"/>
        </w:rPr>
      </w:pPr>
      <w:r>
        <w:rPr>
          <w:rFonts w:ascii="Arial" w:cs="Arial" w:eastAsia="Arial" w:hAnsi="Arial"/>
          <w:sz w:val="17"/>
          <w:szCs w:val="17"/>
          <w:color w:val="auto"/>
        </w:rPr>
        <w:t>The Company shall not consummate any such consolidation, merger, sale or transfer unless the Principal Party shall have a sufficient number of authorized shares of its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further providing that, as soon as practicable after the date of any consolidation, merger or sale of assets mentioned in paragraph (a) of this Section 13, the Principal Party will</w:t>
      </w:r>
    </w:p>
    <w:p>
      <w:pPr>
        <w:spacing w:after="0" w:line="73" w:lineRule="exact"/>
        <w:rPr>
          <w:rFonts w:ascii="Arial" w:cs="Arial" w:eastAsia="Arial" w:hAnsi="Arial"/>
          <w:sz w:val="17"/>
          <w:szCs w:val="17"/>
          <w:color w:val="auto"/>
        </w:rPr>
      </w:pPr>
    </w:p>
    <w:p>
      <w:pPr>
        <w:ind w:right="220" w:firstLine="441"/>
        <w:spacing w:after="0" w:line="273" w:lineRule="auto"/>
        <w:tabs>
          <w:tab w:leader="none" w:pos="645" w:val="left"/>
        </w:tabs>
        <w:numPr>
          <w:ilvl w:val="2"/>
          <w:numId w:val="281"/>
        </w:numPr>
        <w:rPr>
          <w:rFonts w:ascii="Arial" w:cs="Arial" w:eastAsia="Arial" w:hAnsi="Arial"/>
          <w:sz w:val="17"/>
          <w:szCs w:val="17"/>
          <w:color w:val="auto"/>
        </w:rPr>
      </w:pPr>
      <w:r>
        <w:rPr>
          <w:rFonts w:ascii="Arial" w:cs="Arial" w:eastAsia="Arial" w:hAnsi="Arial"/>
          <w:sz w:val="17"/>
          <w:szCs w:val="17"/>
          <w:color w:val="auto"/>
        </w:rPr>
        <w:t>prepare and file a registration statement under the Act,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 all times meeting the requirements of the Act) until the Expiration Date;</w:t>
      </w:r>
    </w:p>
    <w:p>
      <w:pPr>
        <w:spacing w:after="0" w:line="66" w:lineRule="exact"/>
        <w:rPr>
          <w:rFonts w:ascii="Arial" w:cs="Arial" w:eastAsia="Arial" w:hAnsi="Arial"/>
          <w:sz w:val="17"/>
          <w:szCs w:val="17"/>
          <w:color w:val="auto"/>
        </w:rPr>
      </w:pPr>
    </w:p>
    <w:p>
      <w:pPr>
        <w:ind w:right="880" w:firstLine="441"/>
        <w:spacing w:after="0" w:line="289" w:lineRule="auto"/>
        <w:tabs>
          <w:tab w:leader="none" w:pos="693" w:val="left"/>
        </w:tabs>
        <w:numPr>
          <w:ilvl w:val="2"/>
          <w:numId w:val="281"/>
        </w:numPr>
        <w:rPr>
          <w:rFonts w:ascii="Arial" w:cs="Arial" w:eastAsia="Arial" w:hAnsi="Arial"/>
          <w:sz w:val="17"/>
          <w:szCs w:val="17"/>
          <w:color w:val="auto"/>
        </w:rPr>
      </w:pPr>
      <w:r>
        <w:rPr>
          <w:rFonts w:ascii="Arial" w:cs="Arial" w:eastAsia="Arial" w:hAnsi="Arial"/>
          <w:sz w:val="17"/>
          <w:szCs w:val="17"/>
          <w:color w:val="auto"/>
        </w:rPr>
        <w:t>use its best efforts to qualify or register the Rights and the securities purchasable upon exercise of the Rights under the blue sky laws of such jurisdictions as may be necessary or appropriate; and</w:t>
      </w:r>
    </w:p>
    <w:p>
      <w:pPr>
        <w:spacing w:after="0" w:line="53" w:lineRule="exact"/>
        <w:rPr>
          <w:rFonts w:ascii="Arial" w:cs="Arial" w:eastAsia="Arial" w:hAnsi="Arial"/>
          <w:sz w:val="17"/>
          <w:szCs w:val="17"/>
          <w:color w:val="auto"/>
        </w:rPr>
      </w:pPr>
    </w:p>
    <w:p>
      <w:pPr>
        <w:ind w:right="520" w:firstLine="441"/>
        <w:spacing w:after="0" w:line="289" w:lineRule="auto"/>
        <w:tabs>
          <w:tab w:leader="none" w:pos="742" w:val="left"/>
        </w:tabs>
        <w:numPr>
          <w:ilvl w:val="2"/>
          <w:numId w:val="281"/>
        </w:numPr>
        <w:rPr>
          <w:rFonts w:ascii="Arial" w:cs="Arial" w:eastAsia="Arial" w:hAnsi="Arial"/>
          <w:sz w:val="17"/>
          <w:szCs w:val="17"/>
          <w:color w:val="auto"/>
        </w:rPr>
      </w:pPr>
      <w:r>
        <w:rPr>
          <w:rFonts w:ascii="Arial" w:cs="Arial" w:eastAsia="Arial" w:hAnsi="Arial"/>
          <w:sz w:val="17"/>
          <w:szCs w:val="17"/>
          <w:color w:val="auto"/>
        </w:rPr>
        <w:t>deliver to holders of the Rights historical financial statements for the Principal Party and each of its Affiliates that comply in all respects with the requirements for registration on Form 10 under the Exchange Act.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36" w:name="page337"/>
    <w:bookmarkEnd w:id="336"/>
    <w:p>
      <w:pPr>
        <w:ind w:right="80"/>
        <w:spacing w:after="0" w:line="273" w:lineRule="auto"/>
        <w:rPr>
          <w:sz w:val="20"/>
          <w:szCs w:val="20"/>
          <w:color w:val="auto"/>
        </w:rPr>
      </w:pPr>
      <w:r>
        <w:rPr>
          <w:rFonts w:ascii="Arial" w:cs="Arial" w:eastAsia="Arial" w:hAnsi="Arial"/>
          <w:sz w:val="17"/>
          <w:szCs w:val="17"/>
          <w:color w:val="auto"/>
        </w:rPr>
        <w:t>The provisions of this Section 13 shall similarly apply to successive mergers or consolidations or sales or other transfers. In the event that a Section 13 Event shall occur at the same time as, or at any time after, the occurrence of a Section 11(a)(ii) Event, the Rights which have not theretofore been exercised shall thereafter become exercisable in the manner described in Section 13(a).</w:t>
      </w:r>
    </w:p>
    <w:p>
      <w:pPr>
        <w:spacing w:after="0" w:line="66" w:lineRule="exact"/>
        <w:rPr>
          <w:sz w:val="20"/>
          <w:szCs w:val="20"/>
          <w:color w:val="auto"/>
        </w:rPr>
      </w:pPr>
    </w:p>
    <w:p>
      <w:pPr>
        <w:ind w:right="100" w:firstLine="223"/>
        <w:spacing w:after="0" w:line="263" w:lineRule="auto"/>
        <w:tabs>
          <w:tab w:leader="none" w:pos="465" w:val="left"/>
        </w:tabs>
        <w:numPr>
          <w:ilvl w:val="0"/>
          <w:numId w:val="282"/>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Section 13 shall not be applicable to a transaction described in subparagraphs (x) and (y) of Section 13(a) if (i) such transaction is consummated with a Person or Persons (or a wholly owned subsidiary of any such Person or Persons) who acquired shares of Common Stock pursuant to a Permitted Offer, (ii) the price per share of Common Stock paid in such transaction is not less than the price per share of Common Stock paid to all holders of shares of Common Stock whose shares were purchased pursuant to such Permitted Offer, and (iii) the form of consideration paid in such transaction is the same as the form of consideration paid pursuant to such Permitted Offer. Upon consummation of any such transaction contemplated by this Section 13(d), all Rights hereunder shall expire.</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Fractional Rights and Fractional Shares.</w:t>
      </w:r>
    </w:p>
    <w:p>
      <w:pPr>
        <w:spacing w:after="0" w:line="119" w:lineRule="exact"/>
        <w:rPr>
          <w:sz w:val="20"/>
          <w:szCs w:val="20"/>
          <w:color w:val="auto"/>
        </w:rPr>
      </w:pPr>
    </w:p>
    <w:p>
      <w:pPr>
        <w:ind w:firstLine="223"/>
        <w:spacing w:after="0" w:line="277" w:lineRule="auto"/>
        <w:tabs>
          <w:tab w:leader="none" w:pos="452"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Company shall not be required to issue fractions of Rights, except prior to the Distribution Date as provided in Section 11(i) or (p) hereof, or to distribute Rights Certificates that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principal national securities exchange on which the Rights are listed or admitted to trading, or if the Rights are not listed or admitted to trading on any national securities exchange, the last quoted price or, if not so quoted, the average of the high bid and the low asked prices in the over-the-counter market, or if on any such date the Rights are not quoted by any such organization, the average of the closing bid and asked prices as furnished by a professional market maker making a market in the Rights selected by the Board. All references in this Section to closing prices, last quoted prices or other stock prices means prices during regular trading hours, without giving effect to any after-hours or extended hours trading. If on any such date no such market maker is making a market in the Rights, the fair value of the Rights on such date as determined in good faith by the Board shall be used, which determination shall be described in a statement filed with Rights Agent and shall be conclusive for all purposes.</w:t>
      </w:r>
    </w:p>
    <w:p>
      <w:pPr>
        <w:spacing w:after="0" w:line="67" w:lineRule="exact"/>
        <w:rPr>
          <w:rFonts w:ascii="Arial" w:cs="Arial" w:eastAsia="Arial" w:hAnsi="Arial"/>
          <w:sz w:val="16"/>
          <w:szCs w:val="16"/>
          <w:color w:val="auto"/>
        </w:rPr>
      </w:pPr>
    </w:p>
    <w:p>
      <w:pPr>
        <w:jc w:val="both"/>
        <w:ind w:right="20" w:firstLine="223"/>
        <w:spacing w:after="0" w:line="273" w:lineRule="auto"/>
        <w:tabs>
          <w:tab w:leader="none" w:pos="462"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Company shall not be required to issue fractions of shares of Preferred Stock (other than fractions which are integral multiples of one one-thousandth of a share of Preferred Stock) upon exercise of the Rights or to distribute certificates that evidence fractional shares of Preferred Stock (other than fractions which are integral multiples of one one-thousandth of a</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37" w:name="page338"/>
    <w:bookmarkEnd w:id="337"/>
    <w:p>
      <w:pPr>
        <w:spacing w:after="0" w:line="280" w:lineRule="auto"/>
        <w:rPr>
          <w:sz w:val="20"/>
          <w:szCs w:val="20"/>
          <w:color w:val="auto"/>
        </w:rPr>
      </w:pPr>
      <w:r>
        <w:rPr>
          <w:rFonts w:ascii="Arial" w:cs="Arial" w:eastAsia="Arial" w:hAnsi="Arial"/>
          <w:sz w:val="16"/>
          <w:szCs w:val="16"/>
          <w:color w:val="auto"/>
        </w:rPr>
        <w:t>share of Preferred Stock). Fractional shares of Preferred Stock in integral multiples of one one-thousandth of a share of Preferred Stock may, at the election of the Company, be evidenced by depositary receipts; provided, however, that holders of such depositary receipts shall have all of the designations and the powers, preferences and rights, and the qualifications, limitations and restrictions to which they are entitled as beneficial owners of the shares of Preferred Stock represented by such depositary receipts. In lieu of fractional shares of Preferred Stock (other than fractions which are integral multiples of one one-thousandth of a share of Preferred Stock), the Company shall pay to the registered holders of Rights Certificates at the time such Rights are exercised as herein provided an amount in cash equal to the same fraction of the current market value of one one-thousandth of a share of Preferred Stock. For purposes of this Section 14(b), the current market value of one one-thousandth of a share of Preferred Stock shall be one one-thousandth of the closing price of a share of Preferred Stock (as determined pursuant to Section 11(d)(ii) hereof) for the Trading Day immediately prior to the date of such exercise.</w:t>
      </w:r>
    </w:p>
    <w:p>
      <w:pPr>
        <w:spacing w:after="0" w:line="64" w:lineRule="exact"/>
        <w:rPr>
          <w:sz w:val="20"/>
          <w:szCs w:val="20"/>
          <w:color w:val="auto"/>
        </w:rPr>
      </w:pPr>
    </w:p>
    <w:p>
      <w:pPr>
        <w:ind w:right="40" w:firstLine="223"/>
        <w:spacing w:after="0" w:line="314" w:lineRule="auto"/>
        <w:tabs>
          <w:tab w:leader="none" w:pos="455" w:val="left"/>
        </w:tabs>
        <w:numPr>
          <w:ilvl w:val="0"/>
          <w:numId w:val="284"/>
        </w:numPr>
        <w:rPr>
          <w:rFonts w:ascii="Arial" w:cs="Arial" w:eastAsia="Arial" w:hAnsi="Arial"/>
          <w:sz w:val="15"/>
          <w:szCs w:val="15"/>
          <w:color w:val="auto"/>
        </w:rPr>
      </w:pPr>
      <w:r>
        <w:rPr>
          <w:rFonts w:ascii="Arial" w:cs="Arial" w:eastAsia="Arial" w:hAnsi="Arial"/>
          <w:sz w:val="15"/>
          <w:szCs w:val="15"/>
          <w:color w:val="auto"/>
        </w:rPr>
        <w:t>Following the occurrence of a Triggering Event, the Company shall not be required to issue fractions of shares of Common Stock upon exercise of the Rights or to distribute certificates which evidence fractional shares of Common Stock. In lieu of fractional shares of Common Stock, the Company may pay to the registered holders of Rights Certificates at the time such Rights are exercised as herein provided an amount in cash equal to the same fraction of the current market price of one (1) share of Common Stock (as determined pursuant to Section 11(d)(i) hereof) for the Trading Day immediately prior to the date of such exercise.</w:t>
      </w:r>
    </w:p>
    <w:p>
      <w:pPr>
        <w:spacing w:after="0" w:line="40" w:lineRule="exact"/>
        <w:rPr>
          <w:rFonts w:ascii="Arial" w:cs="Arial" w:eastAsia="Arial" w:hAnsi="Arial"/>
          <w:sz w:val="15"/>
          <w:szCs w:val="15"/>
          <w:color w:val="auto"/>
        </w:rPr>
      </w:pPr>
    </w:p>
    <w:p>
      <w:pPr>
        <w:ind w:right="100" w:firstLine="223"/>
        <w:spacing w:after="0" w:line="289" w:lineRule="auto"/>
        <w:tabs>
          <w:tab w:leader="none" w:pos="462"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The holder of a Right by the acceptance of such Right expressly waives his right to receive any fractional Rights or any fractional shares upon exercise of a Right, except as permitted by this Section 14.</w:t>
      </w:r>
    </w:p>
    <w:p>
      <w:pPr>
        <w:spacing w:after="0" w:line="53" w:lineRule="exact"/>
        <w:rPr>
          <w:sz w:val="20"/>
          <w:szCs w:val="20"/>
          <w:color w:val="auto"/>
        </w:rPr>
      </w:pPr>
    </w:p>
    <w:p>
      <w:pPr>
        <w:ind w:right="120" w:firstLine="218"/>
        <w:spacing w:after="0" w:line="261"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Rights of Action</w:t>
      </w:r>
      <w:r>
        <w:rPr>
          <w:rFonts w:ascii="Arial" w:cs="Arial" w:eastAsia="Arial" w:hAnsi="Arial"/>
          <w:sz w:val="17"/>
          <w:szCs w:val="17"/>
          <w:color w:val="auto"/>
        </w:rPr>
        <w:t>. All rights of action in respect of this Agreement, except the rights of action expressly given to the Rights Agent in Section 18 hereof, are vested in the respective registered holders of the Rights Certificates (and, prior to the Distribution Date, the registered holders of the Common Stock); and any registered holder of any Rights Certificate (or, prior to the Distribution Date, of the Common Stock), without the consent of the Rights Agent or of the holder of any other Rights Certificate (or, prior to the Distribution Date, of the Common Stock), may, in his own behalf and for his own benefit, enforce, and may institute and maintain any suit, action or proceeding against the Company to enforce, or otherwise act in respect of, his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w:t>
      </w:r>
    </w:p>
    <w:p>
      <w:pPr>
        <w:spacing w:after="0" w:line="77" w:lineRule="exact"/>
        <w:rPr>
          <w:sz w:val="20"/>
          <w:szCs w:val="20"/>
          <w:color w:val="auto"/>
        </w:rPr>
      </w:pPr>
    </w:p>
    <w:p>
      <w:pPr>
        <w:ind w:right="40" w:firstLine="218"/>
        <w:spacing w:after="0" w:line="289"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Agreement of Rights Holders</w:t>
      </w:r>
      <w:r>
        <w:rPr>
          <w:rFonts w:ascii="Arial" w:cs="Arial" w:eastAsia="Arial" w:hAnsi="Arial"/>
          <w:sz w:val="17"/>
          <w:szCs w:val="17"/>
          <w:color w:val="auto"/>
        </w:rPr>
        <w:t>. Every holder of a Right by accepting the same consents and agrees with the Company and the Rights Agent and with every other holder of a Right that: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38" w:name="page339"/>
    <w:bookmarkEnd w:id="338"/>
    <w:p>
      <w:pPr>
        <w:ind w:left="460" w:hanging="237"/>
        <w:spacing w:after="0"/>
        <w:tabs>
          <w:tab w:leader="none" w:pos="4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prior to the Distribution Date, the Rights will be transferable only in connection with the transfer of Common Stock;</w:t>
      </w:r>
    </w:p>
    <w:p>
      <w:pPr>
        <w:spacing w:after="0" w:line="118" w:lineRule="exact"/>
        <w:rPr>
          <w:rFonts w:ascii="Arial" w:cs="Arial" w:eastAsia="Arial" w:hAnsi="Arial"/>
          <w:sz w:val="17"/>
          <w:szCs w:val="17"/>
          <w:color w:val="auto"/>
        </w:rPr>
      </w:pPr>
    </w:p>
    <w:p>
      <w:pPr>
        <w:ind w:right="160" w:firstLine="223"/>
        <w:spacing w:after="0" w:line="273" w:lineRule="auto"/>
        <w:tabs>
          <w:tab w:leader="none" w:pos="46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after the Distribution Date, the Rights Certificates are transferable only on the registry books of the Rights Agent if surrendered at the office of the Rights Agent designated for such purposes, duly endorsed or accompanied by a proper instrument of transfer and with the appropriate forms and certificates duly completed and fully executed;</w:t>
      </w:r>
    </w:p>
    <w:p>
      <w:pPr>
        <w:spacing w:after="0" w:line="66" w:lineRule="exact"/>
        <w:rPr>
          <w:rFonts w:ascii="Arial" w:cs="Arial" w:eastAsia="Arial" w:hAnsi="Arial"/>
          <w:sz w:val="17"/>
          <w:szCs w:val="17"/>
          <w:color w:val="auto"/>
        </w:rPr>
      </w:pPr>
    </w:p>
    <w:p>
      <w:pPr>
        <w:ind w:right="180" w:firstLine="223"/>
        <w:spacing w:after="0" w:line="265" w:lineRule="auto"/>
        <w:tabs>
          <w:tab w:leader="none" w:pos="45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subject to Section 6(a) and Section 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Certificates or the associated Common Stock certificate made by anyone other than the Company or the Rights Agent) for all purposes whatsoever, and neither the Company nor the Rights Agent, subject to the penultimate sentence of Section 7(e) hereof, shall be required to be affected by any notice to the contrary; and</w:t>
      </w:r>
    </w:p>
    <w:p>
      <w:pPr>
        <w:spacing w:after="0" w:line="73" w:lineRule="exact"/>
        <w:rPr>
          <w:rFonts w:ascii="Arial" w:cs="Arial" w:eastAsia="Arial" w:hAnsi="Arial"/>
          <w:sz w:val="17"/>
          <w:szCs w:val="17"/>
          <w:color w:val="auto"/>
        </w:rPr>
      </w:pPr>
    </w:p>
    <w:p>
      <w:pPr>
        <w:ind w:right="40" w:firstLine="223"/>
        <w:spacing w:after="0" w:line="263" w:lineRule="auto"/>
        <w:tabs>
          <w:tab w:leader="none" w:pos="46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must use its best efforts to prevent the issuance of any such order, decree or ruling and to have any such order, decree or ruling lifted or otherwise overturned as soon as possible.</w:t>
      </w:r>
    </w:p>
    <w:p>
      <w:pPr>
        <w:spacing w:after="0" w:line="77" w:lineRule="exact"/>
        <w:rPr>
          <w:sz w:val="20"/>
          <w:szCs w:val="20"/>
          <w:color w:val="auto"/>
        </w:rPr>
      </w:pPr>
    </w:p>
    <w:p>
      <w:pPr>
        <w:ind w:right="40" w:firstLine="218"/>
        <w:spacing w:after="0" w:line="281"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Rights Certificate Holder Not Deemed a Stockholder</w:t>
      </w:r>
      <w:r>
        <w:rPr>
          <w:rFonts w:ascii="Arial" w:cs="Arial" w:eastAsia="Arial" w:hAnsi="Arial"/>
          <w:sz w:val="16"/>
          <w:szCs w:val="16"/>
          <w:color w:val="auto"/>
        </w:rPr>
        <w:t>. No holder, as such, of any Rights Certificate shall be entitled to vote, receive dividends or be deemed for any purpose the holder of the number of one one-thousandths of a share of Preferred Stock or any other securities of the Company which may at any time be issuable on the exercise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Rights Certificate shall have been exercised in accordance with the provisions hereof.</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Concerning the Rights Agent.</w:t>
      </w:r>
    </w:p>
    <w:p>
      <w:pPr>
        <w:spacing w:after="0" w:line="119" w:lineRule="exact"/>
        <w:rPr>
          <w:sz w:val="20"/>
          <w:szCs w:val="20"/>
          <w:color w:val="auto"/>
        </w:rPr>
      </w:pPr>
    </w:p>
    <w:p>
      <w:pPr>
        <w:ind w:firstLine="223"/>
        <w:spacing w:after="0" w:line="289" w:lineRule="auto"/>
        <w:tabs>
          <w:tab w:leader="none" w:pos="45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Company agrees to pay to the Rights Agent reasonable compensation for all services rendered by it hereunder and, from time to time, on demand of the Rights Agent, its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912" w:right="299" w:bottom="1440" w:gutter="0" w:footer="0" w:header="0"/>
        </w:sectPr>
      </w:pPr>
    </w:p>
    <w:bookmarkStart w:id="339" w:name="page340"/>
    <w:bookmarkEnd w:id="339"/>
    <w:p>
      <w:pPr>
        <w:spacing w:after="0" w:line="289" w:lineRule="auto"/>
        <w:rPr>
          <w:sz w:val="20"/>
          <w:szCs w:val="20"/>
          <w:color w:val="auto"/>
        </w:rPr>
      </w:pPr>
      <w:r>
        <w:rPr>
          <w:rFonts w:ascii="Arial" w:cs="Arial" w:eastAsia="Arial" w:hAnsi="Arial"/>
          <w:sz w:val="16"/>
          <w:szCs w:val="16"/>
          <w:color w:val="auto"/>
        </w:rPr>
        <w:t>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of liability in the premises.</w:t>
      </w:r>
    </w:p>
    <w:p>
      <w:pPr>
        <w:spacing w:after="0" w:line="57" w:lineRule="exact"/>
        <w:rPr>
          <w:sz w:val="20"/>
          <w:szCs w:val="20"/>
          <w:color w:val="auto"/>
        </w:rPr>
      </w:pPr>
    </w:p>
    <w:p>
      <w:pPr>
        <w:ind w:right="20" w:firstLine="223"/>
        <w:spacing w:after="0" w:line="265" w:lineRule="auto"/>
        <w:tabs>
          <w:tab w:leader="none" w:pos="462"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Rights Agent shall be protected and shall incur no liability for or in respect of any action taken, suffered or omitted by it in connection with its administration of this Agreement in reliance upon any Rights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19. </w:t>
      </w:r>
      <w:r>
        <w:rPr>
          <w:rFonts w:ascii="Arial" w:cs="Arial" w:eastAsia="Arial" w:hAnsi="Arial"/>
          <w:sz w:val="17"/>
          <w:szCs w:val="17"/>
          <w:u w:val="single" w:color="auto"/>
          <w:color w:val="auto"/>
        </w:rPr>
        <w:t>Merger or Consolidation or Change of Name of Rights Agent.</w:t>
      </w:r>
    </w:p>
    <w:p>
      <w:pPr>
        <w:spacing w:after="0" w:line="119" w:lineRule="exact"/>
        <w:rPr>
          <w:sz w:val="20"/>
          <w:szCs w:val="20"/>
          <w:color w:val="auto"/>
        </w:rPr>
      </w:pPr>
    </w:p>
    <w:p>
      <w:pPr>
        <w:ind w:right="20" w:firstLine="223"/>
        <w:spacing w:after="0" w:line="300" w:lineRule="auto"/>
        <w:tabs>
          <w:tab w:leader="none" w:pos="446" w:val="left"/>
        </w:tabs>
        <w:numPr>
          <w:ilvl w:val="0"/>
          <w:numId w:val="288"/>
        </w:numPr>
        <w:rPr>
          <w:rFonts w:ascii="Arial" w:cs="Arial" w:eastAsia="Arial" w:hAnsi="Arial"/>
          <w:sz w:val="15"/>
          <w:szCs w:val="15"/>
          <w:color w:val="auto"/>
        </w:rPr>
      </w:pPr>
      <w:r>
        <w:rPr>
          <w:rFonts w:ascii="Arial" w:cs="Arial" w:eastAsia="Arial" w:hAnsi="Arial"/>
          <w:sz w:val="15"/>
          <w:szCs w:val="15"/>
          <w:color w:val="auto"/>
        </w:rPr>
        <w:t xml:space="preserve">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corporation would be eligible for appointment as a successor Rights Agent under the provisions of Section 21 hereof. In case at the time such successor Rights Agent shall succeed to the agency created by this 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49" w:lineRule="exact"/>
        <w:rPr>
          <w:rFonts w:ascii="Arial" w:cs="Arial" w:eastAsia="Arial" w:hAnsi="Arial"/>
          <w:sz w:val="15"/>
          <w:szCs w:val="15"/>
          <w:color w:val="auto"/>
        </w:rPr>
      </w:pPr>
    </w:p>
    <w:p>
      <w:pPr>
        <w:ind w:right="220" w:firstLine="223"/>
        <w:spacing w:after="0" w:line="289" w:lineRule="auto"/>
        <w:tabs>
          <w:tab w:leader="none" w:pos="46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40" w:name="page341"/>
    <w:bookmarkEnd w:id="340"/>
    <w:p>
      <w:pPr>
        <w:ind w:right="720" w:firstLine="218"/>
        <w:spacing w:after="0" w:line="289"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Duties of Rights Agent</w:t>
      </w:r>
      <w:r>
        <w:rPr>
          <w:rFonts w:ascii="Arial" w:cs="Arial" w:eastAsia="Arial" w:hAnsi="Arial"/>
          <w:sz w:val="17"/>
          <w:szCs w:val="17"/>
          <w:color w:val="auto"/>
        </w:rPr>
        <w:t>. The Rights Agent undertakes the duties and obligations imposed by this Agreement upon the following terms and conditions, by all of which the Company and the holders of Rights Certificates, by their acceptance thereof, shall be bound:</w:t>
      </w:r>
    </w:p>
    <w:p>
      <w:pPr>
        <w:spacing w:after="0" w:line="53" w:lineRule="exact"/>
        <w:rPr>
          <w:sz w:val="20"/>
          <w:szCs w:val="20"/>
          <w:color w:val="auto"/>
        </w:rPr>
      </w:pPr>
    </w:p>
    <w:p>
      <w:pPr>
        <w:ind w:right="160" w:firstLine="223"/>
        <w:spacing w:after="0" w:line="289" w:lineRule="auto"/>
        <w:tabs>
          <w:tab w:leader="none" w:pos="452"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53" w:lineRule="exact"/>
        <w:rPr>
          <w:rFonts w:ascii="Arial" w:cs="Arial" w:eastAsia="Arial" w:hAnsi="Arial"/>
          <w:sz w:val="17"/>
          <w:szCs w:val="17"/>
          <w:color w:val="auto"/>
        </w:rPr>
      </w:pPr>
    </w:p>
    <w:p>
      <w:pPr>
        <w:ind w:firstLine="223"/>
        <w:spacing w:after="0" w:line="283" w:lineRule="auto"/>
        <w:tabs>
          <w:tab w:leader="none" w:pos="46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the Chairman of the Board,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60" w:lineRule="exact"/>
        <w:rPr>
          <w:rFonts w:ascii="Arial" w:cs="Arial" w:eastAsia="Arial" w:hAnsi="Arial"/>
          <w:sz w:val="16"/>
          <w:szCs w:val="16"/>
          <w:color w:val="auto"/>
        </w:rPr>
      </w:pPr>
    </w:p>
    <w:p>
      <w:pPr>
        <w:ind w:left="460" w:hanging="237"/>
        <w:spacing w:after="0"/>
        <w:tabs>
          <w:tab w:leader="none" w:pos="4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Rights Agent shall be liable hereunder only for its own gross negligence, bad faith or willful misconduct.</w:t>
      </w:r>
    </w:p>
    <w:p>
      <w:pPr>
        <w:spacing w:after="0" w:line="118" w:lineRule="exact"/>
        <w:rPr>
          <w:rFonts w:ascii="Arial" w:cs="Arial" w:eastAsia="Arial" w:hAnsi="Arial"/>
          <w:sz w:val="17"/>
          <w:szCs w:val="17"/>
          <w:color w:val="auto"/>
        </w:rPr>
      </w:pPr>
    </w:p>
    <w:p>
      <w:pPr>
        <w:jc w:val="both"/>
        <w:ind w:right="160" w:firstLine="223"/>
        <w:spacing w:after="0" w:line="273" w:lineRule="auto"/>
        <w:tabs>
          <w:tab w:leader="none" w:pos="462"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66" w:lineRule="exact"/>
        <w:rPr>
          <w:rFonts w:ascii="Arial" w:cs="Arial" w:eastAsia="Arial" w:hAnsi="Arial"/>
          <w:sz w:val="17"/>
          <w:szCs w:val="17"/>
          <w:color w:val="auto"/>
        </w:rPr>
      </w:pPr>
    </w:p>
    <w:p>
      <w:pPr>
        <w:ind w:firstLine="223"/>
        <w:spacing w:after="0" w:line="261" w:lineRule="auto"/>
        <w:tabs>
          <w:tab w:leader="none" w:pos="452"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required under the provisions of Section 11, Section 13 or Section 24 hereof or responsible for the manner, method or amount of any such adjustment or the ascertaining of the existence of facts that would require any such adjustment (except with respect to the exercise of Rights evidenced by Rights Certificates after receipt of a certificate describing any such adjustment, delivered pursuant to Section 12);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77" w:lineRule="exact"/>
        <w:rPr>
          <w:rFonts w:ascii="Arial" w:cs="Arial" w:eastAsia="Arial" w:hAnsi="Arial"/>
          <w:sz w:val="17"/>
          <w:szCs w:val="17"/>
          <w:color w:val="auto"/>
        </w:rPr>
      </w:pPr>
    </w:p>
    <w:p>
      <w:pPr>
        <w:ind w:right="20" w:firstLine="223"/>
        <w:spacing w:after="0" w:line="289" w:lineRule="auto"/>
        <w:tabs>
          <w:tab w:leader="none" w:pos="433"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Company agrees that it will perform, execute, acknowledge and deliver or cause to be performed, executed, acknowledged and delivered all such further and other acts,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41" w:name="page342"/>
    <w:bookmarkEnd w:id="341"/>
    <w:p>
      <w:pPr>
        <w:ind w:right="320"/>
        <w:spacing w:after="0" w:line="289" w:lineRule="auto"/>
        <w:rPr>
          <w:sz w:val="20"/>
          <w:szCs w:val="20"/>
          <w:color w:val="auto"/>
        </w:rPr>
      </w:pPr>
      <w:r>
        <w:rPr>
          <w:rFonts w:ascii="Arial" w:cs="Arial" w:eastAsia="Arial" w:hAnsi="Arial"/>
          <w:sz w:val="17"/>
          <w:szCs w:val="17"/>
          <w:color w:val="auto"/>
        </w:rPr>
        <w:t>instruments and assurances as may reasonably be required by the Rights Agent for the carrying out or performing by the Rights Agent of the provisions of this Agreement.</w:t>
      </w:r>
    </w:p>
    <w:p>
      <w:pPr>
        <w:spacing w:after="0" w:line="53" w:lineRule="exact"/>
        <w:rPr>
          <w:sz w:val="20"/>
          <w:szCs w:val="20"/>
          <w:color w:val="auto"/>
        </w:rPr>
      </w:pPr>
    </w:p>
    <w:p>
      <w:pPr>
        <w:ind w:firstLine="223"/>
        <w:spacing w:after="0" w:line="279" w:lineRule="auto"/>
        <w:tabs>
          <w:tab w:leader="none" w:pos="462"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Rights Agent is hereby authorized and directed to accept instructions with respect to the performance of its duties hereunder from the Chairman of the Board, the President, any Vice President, the Secretary, any Assistant Secretary,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with respect to its duties or obligations under this Rights Agreement and the date on and/or after which such action shall be taken or omitted and the Rights Agent shall not be liable for any action taken or omitted in accordance with a proposal included in any such application on or after the date specified therein (which date shall not be less than five Business Days after the date any such officer actually receives such application, unless any such officer shall have consented in writing to an earlier date) unless, prior to taking or omitting any such action, the Rights Agent has received written instructions in response to such application specifying the action to be taken or omitted.</w:t>
      </w:r>
    </w:p>
    <w:p>
      <w:pPr>
        <w:spacing w:after="0" w:line="65" w:lineRule="exact"/>
        <w:rPr>
          <w:rFonts w:ascii="Arial" w:cs="Arial" w:eastAsia="Arial" w:hAnsi="Arial"/>
          <w:sz w:val="16"/>
          <w:szCs w:val="16"/>
          <w:color w:val="auto"/>
        </w:rPr>
      </w:pPr>
    </w:p>
    <w:p>
      <w:pPr>
        <w:ind w:right="20" w:firstLine="223"/>
        <w:spacing w:after="0" w:line="267" w:lineRule="auto"/>
        <w:tabs>
          <w:tab w:leader="none" w:pos="462"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72" w:lineRule="exact"/>
        <w:rPr>
          <w:rFonts w:ascii="Arial" w:cs="Arial" w:eastAsia="Arial" w:hAnsi="Arial"/>
          <w:sz w:val="17"/>
          <w:szCs w:val="17"/>
          <w:color w:val="auto"/>
        </w:rPr>
      </w:pPr>
    </w:p>
    <w:p>
      <w:pPr>
        <w:ind w:right="140" w:firstLine="223"/>
        <w:spacing w:after="0" w:line="267" w:lineRule="auto"/>
        <w:tabs>
          <w:tab w:leader="none" w:pos="423"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reasonable care was exercised in the selection and continued employment thereof.</w:t>
      </w:r>
    </w:p>
    <w:p>
      <w:pPr>
        <w:spacing w:after="0" w:line="72" w:lineRule="exact"/>
        <w:rPr>
          <w:rFonts w:ascii="Arial" w:cs="Arial" w:eastAsia="Arial" w:hAnsi="Arial"/>
          <w:sz w:val="17"/>
          <w:szCs w:val="17"/>
          <w:color w:val="auto"/>
        </w:rPr>
      </w:pPr>
    </w:p>
    <w:p>
      <w:pPr>
        <w:ind w:firstLine="223"/>
        <w:spacing w:after="0" w:line="273" w:lineRule="auto"/>
        <w:tabs>
          <w:tab w:leader="none" w:pos="426" w:val="left"/>
        </w:tabs>
        <w:numPr>
          <w:ilvl w:val="0"/>
          <w:numId w:val="290"/>
        </w:numPr>
        <w:rPr>
          <w:rFonts w:ascii="Arial" w:cs="Arial" w:eastAsia="Arial" w:hAnsi="Arial"/>
          <w:sz w:val="17"/>
          <w:szCs w:val="17"/>
          <w:color w:val="auto"/>
        </w:rPr>
      </w:pPr>
      <w:r>
        <w:rPr>
          <w:rFonts w:ascii="Arial" w:cs="Arial" w:eastAsia="Arial" w:hAnsi="Arial"/>
          <w:sz w:val="17"/>
          <w:szCs w:val="17"/>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66" w:lineRule="exact"/>
        <w:rPr>
          <w:rFonts w:ascii="Arial" w:cs="Arial" w:eastAsia="Arial" w:hAnsi="Arial"/>
          <w:sz w:val="17"/>
          <w:szCs w:val="17"/>
          <w:color w:val="auto"/>
        </w:rPr>
      </w:pPr>
    </w:p>
    <w:p>
      <w:pPr>
        <w:ind w:right="80" w:firstLine="223"/>
        <w:spacing w:after="0" w:line="297" w:lineRule="auto"/>
        <w:tabs>
          <w:tab w:leader="none" w:pos="465"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If, with respect to any Rights Certificate surrendered to the Rights Agent for exercise or transfer, the certificate attached to the form of assignment or form of election to purchase, as the case may be, has not been completed, the Company and the Rights Agent will deem the beneficial owner of the rights evidenced by such Rights Certificate to be an Acquiring Person or an Affiliate or Associate thereof and such assignment or election to purchase will not be honored.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2" w:right="259" w:bottom="1440" w:gutter="0" w:footer="0" w:header="0"/>
        </w:sectPr>
      </w:pPr>
    </w:p>
    <w:bookmarkStart w:id="342" w:name="page343"/>
    <w:bookmarkEnd w:id="342"/>
    <w:p>
      <w:pPr>
        <w:ind w:right="20" w:firstLine="218"/>
        <w:spacing w:after="0" w:line="275"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Change of Rights Agent</w:t>
      </w:r>
      <w:r>
        <w:rPr>
          <w:rFonts w:ascii="Arial" w:cs="Arial" w:eastAsia="Arial" w:hAnsi="Arial"/>
          <w:sz w:val="16"/>
          <w:szCs w:val="16"/>
          <w:color w:val="auto"/>
        </w:rPr>
        <w:t>. The Rights Agent or any successor Rights Agent may resign and be discharged from its duties under this Agreement upon thirty (30) days’ notice in writing mailed to the Company, and to each transfer agent of the Common Stock and Preferred Stock, by registered or certified mail, and, if such resignation occurs after the Distribution Date to the registered holders of the Rights Certificates by first-class mail. The Company may remove the Rights Agent or any successor Rights Agent upon thirty (30) days’ notice in writing, mailed to the Rights Agent or successor Rights Agent, as the case may be, and to each transfer agent of the Common Stock and Preferred Stock, by registered or certified mail, and, if such removal occurs after the Distribution Date, to the registered holders of the Rights Certificates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Rights Certificate (who shall, with such notice, submit his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legal business entity organized and doing business under the laws of the United States (or of any state of the United States) in good standing, which is authorized under such laws to exercise corporate trust, stock transfer or shareholder services powers and which has at the time of its appointment as Rights Agent a combined capital and surplus of at least $50,000,000 or (b) an affiliate of a legal business entity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Stock, and, if such appointment occurs after the Distribution Date,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79" w:lineRule="exact"/>
        <w:rPr>
          <w:sz w:val="20"/>
          <w:szCs w:val="20"/>
          <w:color w:val="auto"/>
        </w:rPr>
      </w:pPr>
    </w:p>
    <w:p>
      <w:pPr>
        <w:ind w:firstLine="218"/>
        <w:spacing w:after="0" w:line="267"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Issuance of New Rights Certificates</w:t>
      </w:r>
      <w:r>
        <w:rPr>
          <w:rFonts w:ascii="Arial" w:cs="Arial" w:eastAsia="Arial" w:hAnsi="Arial"/>
          <w:sz w:val="17"/>
          <w:szCs w:val="17"/>
          <w:color w:val="auto"/>
        </w:rPr>
        <w:t>. Notwithstanding any of the provisions of this Agreement or of the Rights to the contrary, the Company may, at its option, issue new Rights Certificates evidencing Rights in such form as may be approved by the Board to reflect any adjustment or change in the Purchase Price and the number or kind or class of shares or other securities or property purchasable under the Rights Certificates made in accordance with the provisions of this Agreement.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43" w:name="page344"/>
    <w:bookmarkEnd w:id="343"/>
    <w:p>
      <w:pPr>
        <w:ind w:left="180"/>
        <w:spacing w:after="0"/>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Redemption</w:t>
      </w:r>
      <w:r>
        <w:rPr>
          <w:rFonts w:ascii="Arial" w:cs="Arial" w:eastAsia="Arial" w:hAnsi="Arial"/>
          <w:sz w:val="17"/>
          <w:szCs w:val="17"/>
          <w:color w:val="auto"/>
        </w:rPr>
        <w:t>.</w:t>
      </w:r>
    </w:p>
    <w:p>
      <w:pPr>
        <w:spacing w:after="0" w:line="119" w:lineRule="exact"/>
        <w:rPr>
          <w:sz w:val="20"/>
          <w:szCs w:val="20"/>
          <w:color w:val="auto"/>
        </w:rPr>
      </w:pPr>
    </w:p>
    <w:p>
      <w:pPr>
        <w:ind w:left="-40" w:right="40" w:firstLine="223"/>
        <w:spacing w:after="0" w:line="278" w:lineRule="auto"/>
        <w:tabs>
          <w:tab w:leader="none" w:pos="41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Board may, at its option, at any time prior to the earlier of (i) the close of business on the tenth Business Day (or such later date as may be determined by the Board pursuant to clause (i) of the first sentence of Section 3(a) with respect to the Distribution Date) following the Stock Acquisition Date (or, if the Stock Acquisition Date shall have occurred prior to the Record Date, the close of business on the tenth Business Day following the Record Date) and (ii) the Final Expiration Date, redeem all but not less than all the then outstanding Rights at a redemption price of $0.001 per Right, as such amount may be appropriately adjusted to reflect any stock split, stock dividend or similar transaction occurring after the date hereof (such redemption price being hereinafter referred to as the “Redemption Price”). The redemption of the Rights by the Board may be made effective at such time, on such basis and with such conditions as the Board in its sole discretion may establish. The Company may, at its option, pay the Redemption Price in cash, shares of Common Stock (based on the “current market price,” as defined in Section 11(d)(i) hereof, of the Common Stock at the time of redemption) or any other form of consideration, or any combination of any of the foregoing, deemed appropriate by the Board. Notwithstanding anything contained in this Agreement to the contrary, the Rights shall not be exercisable after the first occurrence of a Section 11(a)(ii) Event until such time as the Company’s right of redemption hereunder has expired.</w:t>
      </w:r>
    </w:p>
    <w:p>
      <w:pPr>
        <w:spacing w:after="0" w:line="68" w:lineRule="exact"/>
        <w:rPr>
          <w:rFonts w:ascii="Arial" w:cs="Arial" w:eastAsia="Arial" w:hAnsi="Arial"/>
          <w:sz w:val="16"/>
          <w:szCs w:val="16"/>
          <w:color w:val="auto"/>
        </w:rPr>
      </w:pPr>
    </w:p>
    <w:p>
      <w:pPr>
        <w:ind w:left="-40" w:right="20" w:firstLine="223"/>
        <w:spacing w:after="0" w:line="262" w:lineRule="auto"/>
        <w:tabs>
          <w:tab w:leader="none" w:pos="42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Immediately upon the action of the Board ordering the redemption of the Rights, evidence of which shall have been filed with the Rights Agent and without any further action and without any notice, the right to exercise the Rights shall terminate and the only right thereafter of the holders of Rights shall be to receive the Redemption Price for each Right so held. Promptly after the action of the Board ordering the redemption of the Rights, the Company shall give notice of such redemption to the Rights Agent and the holders of the then outstanding Rights by mailing such notice to all such holders at each holder’s last address as it appears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will state the method by which the payment of the Redemption Price will be made.</w:t>
      </w:r>
    </w:p>
    <w:p>
      <w:pPr>
        <w:spacing w:after="0" w:line="77" w:lineRule="exact"/>
        <w:rPr>
          <w:rFonts w:ascii="Arial" w:cs="Arial" w:eastAsia="Arial" w:hAnsi="Arial"/>
          <w:sz w:val="17"/>
          <w:szCs w:val="17"/>
          <w:color w:val="auto"/>
        </w:rPr>
      </w:pPr>
    </w:p>
    <w:p>
      <w:pPr>
        <w:ind w:left="-40" w:firstLine="223"/>
        <w:spacing w:after="0" w:line="265" w:lineRule="auto"/>
        <w:tabs>
          <w:tab w:leader="none" w:pos="41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 the event of a redemption of the Rights in accordance with this Agreement, the Company may, at its option, discharge all of its obligations with respect to the Rights by (i) issuing a press release announcing the manner of redemption of the Rights in accordance with this Agreement and (ii) mailing payment of the Redemption Price to the registered holders of the Rights at their last addresses as they appear on the registry books of the Rights Agent or, prior to the Distribution Date, on the registry books of the Transfer Agent of the Common Stock, and upon such action, all outstanding Rights and Right Certificates shall be null and void without any further action by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147320</wp:posOffset>
            </wp:positionV>
            <wp:extent cx="7254875"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80" w:top="912" w:right="279" w:bottom="1440" w:gutter="0" w:footer="0" w:header="0"/>
        </w:sectPr>
      </w:pPr>
    </w:p>
    <w:bookmarkStart w:id="344" w:name="page345"/>
    <w:bookmarkEnd w:id="344"/>
    <w:p>
      <w:pPr>
        <w:ind w:left="200"/>
        <w:spacing w:after="0"/>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Exchange.</w:t>
      </w:r>
    </w:p>
    <w:p>
      <w:pPr>
        <w:spacing w:after="0" w:line="119" w:lineRule="exact"/>
        <w:rPr>
          <w:sz w:val="20"/>
          <w:szCs w:val="20"/>
          <w:color w:val="auto"/>
        </w:rPr>
      </w:pPr>
    </w:p>
    <w:p>
      <w:pPr>
        <w:ind w:left="-20" w:right="120" w:firstLine="223"/>
        <w:spacing w:after="0" w:line="302" w:lineRule="auto"/>
        <w:tabs>
          <w:tab w:leader="none" w:pos="432" w:val="left"/>
        </w:tabs>
        <w:numPr>
          <w:ilvl w:val="0"/>
          <w:numId w:val="292"/>
        </w:numPr>
        <w:rPr>
          <w:rFonts w:ascii="Arial" w:cs="Arial" w:eastAsia="Arial" w:hAnsi="Arial"/>
          <w:sz w:val="15"/>
          <w:szCs w:val="15"/>
          <w:color w:val="auto"/>
        </w:rPr>
      </w:pPr>
      <w:r>
        <w:rPr>
          <w:rFonts w:ascii="Arial" w:cs="Arial" w:eastAsia="Arial" w:hAnsi="Arial"/>
          <w:sz w:val="15"/>
          <w:szCs w:val="15"/>
          <w:color w:val="auto"/>
        </w:rPr>
        <w:t>The Board may, at its option, at any time after a Section 11(a)(ii) Event, exchange all or part of the then outstanding and exercisable Rights (which (i) shall not include Rights that have become void pursuant to the provisions of Section 7(e) hereof, and (ii) shall include, without limitation, any Rights issued after the Distribution Date)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shall not be empowered to effect such exchange at any time after any Person (other than the Company, any Subsidiary of the Company, any employee benefit plan of the Company or any such Subsidiary, or any entity holding Common Stock for or pursuant to the terms of any such plan), together with all Affiliates and Associates of such Person, becomes the Beneficial Owner of 50% or more of the shares of Common Stock then outstanding.</w:t>
      </w:r>
    </w:p>
    <w:p>
      <w:pPr>
        <w:spacing w:after="0" w:line="52" w:lineRule="exact"/>
        <w:rPr>
          <w:rFonts w:ascii="Arial" w:cs="Arial" w:eastAsia="Arial" w:hAnsi="Arial"/>
          <w:sz w:val="15"/>
          <w:szCs w:val="15"/>
          <w:color w:val="auto"/>
        </w:rPr>
      </w:pPr>
    </w:p>
    <w:p>
      <w:pPr>
        <w:ind w:left="-20" w:right="20" w:firstLine="223"/>
        <w:spacing w:after="0" w:line="279" w:lineRule="auto"/>
        <w:tabs>
          <w:tab w:leader="none" w:pos="44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Immediately upon the action of the Board ordering the exchange of any Rights pursuant to subsection (a) of this Section 24, evidence of which shall have been filed with the Rights Agent,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public notice of any such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shares of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hereof) held by each holder of Rights.</w:t>
      </w:r>
    </w:p>
    <w:p>
      <w:pPr>
        <w:spacing w:after="0" w:line="65" w:lineRule="exact"/>
        <w:rPr>
          <w:rFonts w:ascii="Arial" w:cs="Arial" w:eastAsia="Arial" w:hAnsi="Arial"/>
          <w:sz w:val="16"/>
          <w:szCs w:val="16"/>
          <w:color w:val="auto"/>
        </w:rPr>
      </w:pPr>
    </w:p>
    <w:p>
      <w:pPr>
        <w:ind w:left="-20" w:right="20" w:firstLine="223"/>
        <w:spacing w:after="0" w:line="285" w:lineRule="auto"/>
        <w:tabs>
          <w:tab w:leader="none" w:pos="43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In any exchange pursuant to this Section 24, the Company, at its option, may substitute Preferred Stock (or equivalent preferred stock, as such term is defined in Section 11(b) hereof) for shares of Common Stock exchangeable for Rights, at the initial rate of one one-thousandth of a share of Preferred Stock (or equivalent preferred stock) for each share of Common Stock, as appropriately adjusted to reflect adjustments in the voting rights of the Preferred Stock pursuant to Section 3(A) of the Certificate of Designations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so that the fraction of a share of Preferred Stock (or equivalent preferred stock) delivered in lieu of each share of Common Stock shall have the same voting rights as one share of Common Stock.</w:t>
      </w:r>
    </w:p>
    <w:p>
      <w:pPr>
        <w:spacing w:after="0" w:line="59" w:lineRule="exact"/>
        <w:rPr>
          <w:rFonts w:ascii="Arial" w:cs="Arial" w:eastAsia="Arial" w:hAnsi="Arial"/>
          <w:sz w:val="16"/>
          <w:szCs w:val="16"/>
          <w:color w:val="auto"/>
        </w:rPr>
      </w:pPr>
    </w:p>
    <w:p>
      <w:pPr>
        <w:ind w:left="-20" w:firstLine="223"/>
        <w:spacing w:after="0" w:line="289" w:lineRule="auto"/>
        <w:tabs>
          <w:tab w:leader="none" w:pos="445" w:val="left"/>
        </w:tabs>
        <w:numPr>
          <w:ilvl w:val="0"/>
          <w:numId w:val="292"/>
        </w:numPr>
        <w:rPr>
          <w:rFonts w:ascii="Arial" w:cs="Arial" w:eastAsia="Arial" w:hAnsi="Arial"/>
          <w:sz w:val="17"/>
          <w:szCs w:val="17"/>
          <w:color w:val="auto"/>
        </w:rPr>
      </w:pPr>
      <w:r>
        <w:rPr>
          <w:rFonts w:ascii="Arial" w:cs="Arial" w:eastAsia="Arial" w:hAnsi="Arial"/>
          <w:sz w:val="17"/>
          <w:szCs w:val="17"/>
          <w:color w:val="auto"/>
        </w:rPr>
        <w:t>In the event that there shall not be sufficient shares of Common Stock or Preferred Stock issued but not outstanding or authorized but unissued to permit any exchange of Rights as contemplated in accordance with this Section 24, the Company shall take all such action as may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7254875"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60" w:top="913" w:right="259" w:bottom="1440" w:gutter="0" w:footer="0" w:header="0"/>
        </w:sectPr>
      </w:pPr>
    </w:p>
    <w:bookmarkStart w:id="345" w:name="page346"/>
    <w:bookmarkEnd w:id="345"/>
    <w:p>
      <w:pPr>
        <w:spacing w:after="0"/>
        <w:rPr>
          <w:sz w:val="20"/>
          <w:szCs w:val="20"/>
          <w:color w:val="auto"/>
        </w:rPr>
      </w:pPr>
      <w:r>
        <w:rPr>
          <w:rFonts w:ascii="Arial" w:cs="Arial" w:eastAsia="Arial" w:hAnsi="Arial"/>
          <w:sz w:val="17"/>
          <w:szCs w:val="17"/>
          <w:color w:val="auto"/>
        </w:rPr>
        <w:t>be necessary to authorize additional shares of Common Stock or Preferred Stock for issuance upon exchange of the Rights.</w:t>
      </w:r>
    </w:p>
    <w:p>
      <w:pPr>
        <w:spacing w:after="0" w:line="119" w:lineRule="exact"/>
        <w:rPr>
          <w:sz w:val="20"/>
          <w:szCs w:val="20"/>
          <w:color w:val="auto"/>
        </w:rPr>
      </w:pPr>
    </w:p>
    <w:p>
      <w:pPr>
        <w:ind w:right="40" w:firstLine="223"/>
        <w:spacing w:after="0" w:line="263" w:lineRule="auto"/>
        <w:tabs>
          <w:tab w:leader="none" w:pos="452"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Company shall not be required to issue fractions of shares of Common Stock or to distribute certificates which evidence fractional shares of Common Stock. In lieu of such fractional shares of Common Stock, there shall be paid to the registered holders of the Right Certificates with regard to which such fractional shares of Common Stock would otherwise be issuable, an amount in cash equal to the same fraction of the current market value of a whole share of Common Stock. For the purposes of this subsection (e), the current market value of a whole share of Common Stock shall be the closing price per share of Common Stock (as determined pursuant to the second sentence of Section 11(d)(i) hereof) for the Trading Day immediately prior to the date of exchange pursuant to this Section 24.</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Notice of Certain Events.</w:t>
      </w:r>
    </w:p>
    <w:p>
      <w:pPr>
        <w:spacing w:after="0" w:line="119" w:lineRule="exact"/>
        <w:rPr>
          <w:sz w:val="20"/>
          <w:szCs w:val="20"/>
          <w:color w:val="auto"/>
        </w:rPr>
      </w:pPr>
    </w:p>
    <w:p>
      <w:pPr>
        <w:ind w:firstLine="223"/>
        <w:spacing w:after="0" w:line="276" w:lineRule="auto"/>
        <w:tabs>
          <w:tab w:leader="none" w:pos="45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In case the Company shall propose, at any time after the Distribution Date, (i) to pay any dividend payable in stock of any class to the holders of Preferred Stock or to make any other distribution to the holders of Preferred Stock (other than a regular quarterly cash dividend out of earnings or retained earnings of the Company), or (ii) to offer to the holders of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shares of Preferred Stock), or (iv) to effect any consolidation or merger into or with any other Person (other than a Subsidiary of the Company in a transaction which complies with Section 11(o) hereof), or to effect any sale or other transfer (or to permit one or more of its Subsidiaries to effect any sale or other transfer), in one transaction or a series of related transactions, of more than 50% of the assets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 Company shall give to each holder of a Rights Certificate, to the extent feasible and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clause (i) or (ii) above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Preferred Stock, whichever shall be the earlier.</w:t>
      </w:r>
    </w:p>
    <w:p>
      <w:pPr>
        <w:spacing w:after="0" w:line="73" w:lineRule="exact"/>
        <w:rPr>
          <w:rFonts w:ascii="Arial" w:cs="Arial" w:eastAsia="Arial" w:hAnsi="Arial"/>
          <w:sz w:val="16"/>
          <w:szCs w:val="16"/>
          <w:color w:val="auto"/>
        </w:rPr>
      </w:pPr>
    </w:p>
    <w:p>
      <w:pPr>
        <w:ind w:right="220" w:firstLine="223"/>
        <w:spacing w:after="0" w:line="289" w:lineRule="auto"/>
        <w:tabs>
          <w:tab w:leader="none" w:pos="465" w:val="left"/>
        </w:tabs>
        <w:numPr>
          <w:ilvl w:val="0"/>
          <w:numId w:val="294"/>
        </w:numPr>
        <w:rPr>
          <w:rFonts w:ascii="Arial" w:cs="Arial" w:eastAsia="Arial" w:hAnsi="Arial"/>
          <w:sz w:val="17"/>
          <w:szCs w:val="17"/>
          <w:color w:val="auto"/>
        </w:rPr>
      </w:pPr>
      <w:r>
        <w:rPr>
          <w:rFonts w:ascii="Arial" w:cs="Arial" w:eastAsia="Arial" w:hAnsi="Arial"/>
          <w:sz w:val="17"/>
          <w:szCs w:val="17"/>
          <w:color w:val="auto"/>
        </w:rPr>
        <w:t>In case a Section 11(a)(ii) Event shall occur, then, in any such case, (i) the Company shall as soon as practicable thereafter give to each holder of a Rights Certificate, to the extent feasible and in accordance with Section 26 hereof, a notice of the occurrence of such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46" w:name="page347"/>
    <w:bookmarkEnd w:id="346"/>
    <w:p>
      <w:pPr>
        <w:spacing w:after="0" w:line="273" w:lineRule="auto"/>
        <w:rPr>
          <w:sz w:val="20"/>
          <w:szCs w:val="20"/>
          <w:color w:val="auto"/>
        </w:rPr>
      </w:pPr>
      <w:r>
        <w:rPr>
          <w:rFonts w:ascii="Arial" w:cs="Arial" w:eastAsia="Arial" w:hAnsi="Arial"/>
          <w:sz w:val="17"/>
          <w:szCs w:val="17"/>
          <w:color w:val="auto"/>
        </w:rPr>
        <w:t>event, which shall specify the event and the consequences of the event to holders of Rights under Section 11(a)(ii) hereof, and (ii) all references in the preceding paragraph to Preferred Stock shall be deemed thereafter to refer also to Common Stock and/or, if appropriate, other securities; provided that the failure to give such notice shall not affect the validity of such consent.</w:t>
      </w:r>
    </w:p>
    <w:p>
      <w:pPr>
        <w:spacing w:after="0" w:line="66" w:lineRule="exact"/>
        <w:rPr>
          <w:sz w:val="20"/>
          <w:szCs w:val="20"/>
          <w:color w:val="auto"/>
        </w:rPr>
      </w:pPr>
    </w:p>
    <w:p>
      <w:pPr>
        <w:jc w:val="both"/>
        <w:ind w:right="80" w:firstLine="218"/>
        <w:spacing w:after="0" w:line="273"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Notices</w:t>
      </w:r>
      <w:r>
        <w:rPr>
          <w:rFonts w:ascii="Arial" w:cs="Arial" w:eastAsia="Arial" w:hAnsi="Arial"/>
          <w:sz w:val="17"/>
          <w:szCs w:val="17"/>
          <w:color w:val="auto"/>
        </w:rPr>
        <w:t>. Notices or demands authorized by this Agreement to be given or made by the Rights Agent or by the holder of any Rights Certificate to or on the Company shall be sufficiently given or made if sent by first-class mail, postage prepaid, addressed (until another address is filed in writing with the Rights Agent) as follows:</w:t>
      </w:r>
    </w:p>
    <w:p>
      <w:pPr>
        <w:spacing w:after="0" w:line="6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Emergent BioSolutions Inc.</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300 Professional Drive</w:t>
      </w:r>
    </w:p>
    <w:p>
      <w:pPr>
        <w:spacing w:after="0" w:line="1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Gaithersburg, MD 20879</w:t>
      </w:r>
    </w:p>
    <w:p>
      <w:pPr>
        <w:spacing w:after="0" w:line="10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Attention: Chief Executive Officer</w:t>
      </w:r>
    </w:p>
    <w:p>
      <w:pPr>
        <w:spacing w:after="0" w:line="11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Subject to the provisions of Section 21, any notice or demand authorized by this Agreement to be given or made by the Company or by the holder of any Rights Certificate to or on the Rights Agent shall be sufficiently given or made if sent by first-class mail, postage prepaid, addressed (until another address is filed in writing with the Company) as follows:</w:t>
      </w:r>
    </w:p>
    <w:p>
      <w:pPr>
        <w:spacing w:after="0" w:line="6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American Stock Transfer Trust Company</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59 Maiden Lane</w:t>
      </w:r>
    </w:p>
    <w:p>
      <w:pPr>
        <w:spacing w:after="0" w:line="1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New York, NY 10038</w:t>
      </w:r>
    </w:p>
    <w:p>
      <w:pPr>
        <w:spacing w:after="0" w:line="107"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-7620</wp:posOffset>
            </wp:positionV>
            <wp:extent cx="110807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9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Notices or demands authorized by this Agreement to be given or made by the Company or the Rights Agent to the holder of any Rights Certificate (or, if prior to the Distribution Date, to the holder of certificates representing shares of Common Stock) shall be sufficiently given or made if sent by first-class mail, postage prepaid, addressed to such holder at the address of such holder as shown on the registry books of the Company.</w:t>
      </w:r>
    </w:p>
    <w:p>
      <w:pPr>
        <w:spacing w:after="0" w:line="66" w:lineRule="exact"/>
        <w:rPr>
          <w:sz w:val="20"/>
          <w:szCs w:val="20"/>
          <w:color w:val="auto"/>
        </w:rPr>
      </w:pPr>
    </w:p>
    <w:p>
      <w:pPr>
        <w:ind w:firstLine="218"/>
        <w:spacing w:after="0" w:line="280"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Supplements and Amendments</w:t>
      </w:r>
      <w:r>
        <w:rPr>
          <w:rFonts w:ascii="Arial" w:cs="Arial" w:eastAsia="Arial" w:hAnsi="Arial"/>
          <w:sz w:val="16"/>
          <w:szCs w:val="16"/>
          <w:color w:val="auto"/>
        </w:rPr>
        <w:t>. Except as provided in the penultimate sentence of this Section 27, for so long as the Rights are then redeemable, the Company may, in its sole and absolute discretion, and the Rights Agent shall, if the Company so directs, supplement or amend any provision of this Agreement in any respect without the approval of any holders of the Rights. At any time when the Rights are no longer redeemable, except as provided in the penultimate sentence of this Section 27, the Company may, and the Rights Agent shall, if the Company so directs, supplement or amend this Agreement without the approval of any holders of Rights in order (i) to cure any ambiguity or (ii) to correct or supplement any provision contained herein which may be defective or inconsistent with any other provisions herein, provided that no such supplement or amendment shall adversely affect the interests of the holders of Rights as such (other than an Acquiring Person or an Affiliate or Associate of an Acquiring Person). Upon the delivery of a certificate from an appropriate officer of the Company which states that the proposed supplement or amendment is in compliance with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47" w:name="page348"/>
    <w:bookmarkEnd w:id="347"/>
    <w:p>
      <w:pPr>
        <w:ind w:right="20"/>
        <w:spacing w:after="0" w:line="265" w:lineRule="auto"/>
        <w:rPr>
          <w:sz w:val="20"/>
          <w:szCs w:val="20"/>
          <w:color w:val="auto"/>
        </w:rPr>
      </w:pPr>
      <w:r>
        <w:rPr>
          <w:rFonts w:ascii="Arial" w:cs="Arial" w:eastAsia="Arial" w:hAnsi="Arial"/>
          <w:sz w:val="17"/>
          <w:szCs w:val="17"/>
          <w:color w:val="auto"/>
        </w:rPr>
        <w:t>terms of this Section 27, the Rights Agent shall execute such supplement or amendment. Any supplement or amendment that the Rights Agent is required to sign pursuant to this Section 27 shall be effective upon execution by the Company (whether or not then executed by the Rights Agent or the certificate referred to in the immediately preceding sentence has been delivered). Notwithstanding anything contained in this Agreement to the contrary, no supplement or amendment shall be made which changes the Redemption Price. Prior to the Distribution Date, the interests of the holders of Rights shall be deemed coincident with the interests of the holders of Common Stock.</w:t>
      </w:r>
    </w:p>
    <w:p>
      <w:pPr>
        <w:spacing w:after="0" w:line="73" w:lineRule="exact"/>
        <w:rPr>
          <w:sz w:val="20"/>
          <w:szCs w:val="20"/>
          <w:color w:val="auto"/>
        </w:rPr>
      </w:pPr>
    </w:p>
    <w:p>
      <w:pPr>
        <w:ind w:right="20" w:firstLine="218"/>
        <w:spacing w:after="0" w:line="28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Successors</w:t>
      </w:r>
      <w:r>
        <w:rPr>
          <w:rFonts w:ascii="Arial" w:cs="Arial" w:eastAsia="Arial" w:hAnsi="Arial"/>
          <w:sz w:val="17"/>
          <w:szCs w:val="17"/>
          <w:color w:val="auto"/>
        </w:rPr>
        <w:t>. All the covenants and provisions of this Agreement by or for the benefit of the Company or the Rights Agent shall bind and inure to the benefit of their respective successors and assigns hereunder.</w:t>
      </w:r>
    </w:p>
    <w:p>
      <w:pPr>
        <w:spacing w:after="0" w:line="53" w:lineRule="exact"/>
        <w:rPr>
          <w:sz w:val="20"/>
          <w:szCs w:val="20"/>
          <w:color w:val="auto"/>
        </w:rPr>
      </w:pPr>
    </w:p>
    <w:p>
      <w:pPr>
        <w:ind w:right="140" w:firstLine="218"/>
        <w:spacing w:after="0" w:line="262"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Actions by the Board, etc</w:t>
      </w:r>
      <w:r>
        <w:rPr>
          <w:rFonts w:ascii="Arial" w:cs="Arial" w:eastAsia="Arial" w:hAnsi="Arial"/>
          <w:sz w:val="17"/>
          <w:szCs w:val="17"/>
          <w:color w:val="auto"/>
        </w:rPr>
        <w:t>. The Board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this Agreement). All such actions, calculations, interpretations and determinations (including, for purposes of clause (y) below, all omissions with respect to the foregoing) which are done or made by the Board in good faith, shall (x) be final, conclusive and binding on the Company, the Rights Agent, the holders of the Rights and all other parties, and (y) not subject the Board or any director serving on the Board to any liability to the holders of the Rights.</w:t>
      </w:r>
    </w:p>
    <w:p>
      <w:pPr>
        <w:spacing w:after="0" w:line="78" w:lineRule="exact"/>
        <w:rPr>
          <w:sz w:val="20"/>
          <w:szCs w:val="20"/>
          <w:color w:val="auto"/>
        </w:rPr>
      </w:pPr>
    </w:p>
    <w:p>
      <w:pPr>
        <w:ind w:right="160" w:firstLine="218"/>
        <w:spacing w:after="0" w:line="267" w:lineRule="auto"/>
        <w:rPr>
          <w:sz w:val="20"/>
          <w:szCs w:val="20"/>
          <w:color w:val="auto"/>
        </w:rPr>
      </w:pPr>
      <w:r>
        <w:rPr>
          <w:rFonts w:ascii="Arial" w:cs="Arial" w:eastAsia="Arial" w:hAnsi="Arial"/>
          <w:sz w:val="17"/>
          <w:szCs w:val="17"/>
          <w:color w:val="auto"/>
        </w:rPr>
        <w:t xml:space="preserve">Section 30. </w:t>
      </w:r>
      <w:r>
        <w:rPr>
          <w:rFonts w:ascii="Arial" w:cs="Arial" w:eastAsia="Arial" w:hAnsi="Arial"/>
          <w:sz w:val="17"/>
          <w:szCs w:val="17"/>
          <w:u w:val="single" w:color="auto"/>
          <w:color w:val="auto"/>
        </w:rPr>
        <w:t>Benefits of this Agreement</w:t>
      </w:r>
      <w:r>
        <w:rPr>
          <w:rFonts w:ascii="Arial" w:cs="Arial" w:eastAsia="Arial" w:hAnsi="Arial"/>
          <w:sz w:val="17"/>
          <w:szCs w:val="17"/>
          <w:color w:val="auto"/>
        </w:rPr>
        <w:t>. 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Date, registered holders of the Common Stock).</w:t>
      </w:r>
    </w:p>
    <w:p>
      <w:pPr>
        <w:spacing w:after="0" w:line="73" w:lineRule="exact"/>
        <w:rPr>
          <w:sz w:val="20"/>
          <w:szCs w:val="20"/>
          <w:color w:val="auto"/>
        </w:rPr>
      </w:pPr>
    </w:p>
    <w:p>
      <w:pPr>
        <w:ind w:firstLine="218"/>
        <w:spacing w:after="0" w:line="283"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determines in its good faith judgment that severing the invalid, void or unenforceable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48" w:name="page349"/>
    <w:bookmarkEnd w:id="348"/>
    <w:p>
      <w:pPr>
        <w:ind w:right="20" w:firstLine="218"/>
        <w:spacing w:after="0" w:line="273"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each Right and each Rights Certificate issued hereunder shall be deemed to be a contract made under the laws of the State of Delaware and for all purposes shall be governed by and construed in accordance with the laws of Delaware applicable to contracts made and to be performed entirely within Delaware.</w:t>
      </w:r>
    </w:p>
    <w:p>
      <w:pPr>
        <w:spacing w:after="0" w:line="66" w:lineRule="exact"/>
        <w:rPr>
          <w:sz w:val="20"/>
          <w:szCs w:val="20"/>
          <w:color w:val="auto"/>
        </w:rPr>
      </w:pPr>
    </w:p>
    <w:p>
      <w:pPr>
        <w:ind w:firstLine="218"/>
        <w:spacing w:after="0" w:line="289"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and each of such counterparts shall for all purposes be deemed to be an original, and all such counterparts shall together constitute but one and the same instrument.</w:t>
      </w:r>
    </w:p>
    <w:p>
      <w:pPr>
        <w:spacing w:after="0" w:line="53" w:lineRule="exact"/>
        <w:rPr>
          <w:sz w:val="20"/>
          <w:szCs w:val="20"/>
          <w:color w:val="auto"/>
        </w:rPr>
      </w:pPr>
    </w:p>
    <w:p>
      <w:pPr>
        <w:ind w:right="280" w:firstLine="218"/>
        <w:spacing w:after="0" w:line="28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Descriptive Headings</w:t>
      </w:r>
      <w:r>
        <w:rPr>
          <w:rFonts w:ascii="Arial" w:cs="Arial" w:eastAsia="Arial" w:hAnsi="Arial"/>
          <w:sz w:val="17"/>
          <w:szCs w:val="17"/>
          <w:color w:val="auto"/>
        </w:rPr>
        <w:t>. Descriptive headings of the several Sections of this Agreement are inserted for convenience only and shall not control or affect the meaning or construction of any of the provisions hereof.</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912" w:right="319" w:bottom="1440" w:gutter="0" w:footer="0" w:header="0"/>
        </w:sectPr>
      </w:pPr>
    </w:p>
    <w:bookmarkStart w:id="349" w:name="page350"/>
    <w:bookmarkEnd w:id="349"/>
    <w:p>
      <w:pPr>
        <w:ind w:right="280" w:firstLine="218"/>
        <w:spacing w:after="0" w:line="289" w:lineRule="auto"/>
        <w:rPr>
          <w:sz w:val="20"/>
          <w:szCs w:val="20"/>
          <w:color w:val="auto"/>
        </w:rPr>
      </w:pPr>
      <w:r>
        <w:rPr>
          <w:rFonts w:ascii="Arial" w:cs="Arial" w:eastAsia="Arial" w:hAnsi="Arial"/>
          <w:sz w:val="17"/>
          <w:szCs w:val="17"/>
          <w:color w:val="auto"/>
        </w:rPr>
        <w:t>IN WITNESS WHEREOF, the parties hereto have caused this Agreement to be duly executed and their respective corporate seals to be hereunto affixed and attested, all as of the day and year first above 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7"/>
                <w:szCs w:val="17"/>
                <w:color w:val="auto"/>
              </w:rPr>
              <w:t>Attest:</w:t>
            </w:r>
          </w:p>
        </w:tc>
        <w:tc>
          <w:tcPr>
            <w:tcW w:w="4860" w:type="dxa"/>
            <w:vAlign w:val="bottom"/>
          </w:tcPr>
          <w:p>
            <w:pPr>
              <w:spacing w:after="0"/>
              <w:rPr>
                <w:sz w:val="19"/>
                <w:szCs w:val="19"/>
                <w:color w:val="auto"/>
              </w:rPr>
            </w:pPr>
          </w:p>
        </w:tc>
        <w:tc>
          <w:tcPr>
            <w:tcW w:w="5880" w:type="dxa"/>
            <w:vAlign w:val="bottom"/>
            <w:gridSpan w:val="2"/>
          </w:tcPr>
          <w:p>
            <w:pPr>
              <w:ind w:left="220"/>
              <w:spacing w:after="0"/>
              <w:rPr>
                <w:sz w:val="20"/>
                <w:szCs w:val="20"/>
                <w:color w:val="auto"/>
              </w:rPr>
            </w:pPr>
            <w:r>
              <w:rPr>
                <w:rFonts w:ascii="Arial" w:cs="Arial" w:eastAsia="Arial" w:hAnsi="Arial"/>
                <w:sz w:val="17"/>
                <w:szCs w:val="17"/>
                <w:color w:val="auto"/>
              </w:rPr>
              <w:t>EMERGENT BIOSOLUTIONS INC.</w:t>
            </w:r>
          </w:p>
        </w:tc>
      </w:tr>
      <w:tr>
        <w:trPr>
          <w:trHeight w:val="419"/>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4860" w:type="dxa"/>
            <w:vAlign w:val="bottom"/>
            <w:tcBorders>
              <w:bottom w:val="single" w:sz="8" w:color="auto"/>
            </w:tcBorders>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4"/>
                <w:szCs w:val="24"/>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4860" w:type="dxa"/>
            <w:vAlign w:val="bottom"/>
            <w:tcBorders>
              <w:bottom w:val="single" w:sz="8" w:color="auto"/>
            </w:tcBorders>
          </w:tcPr>
          <w:p>
            <w:pPr>
              <w:spacing w:after="0"/>
              <w:rPr>
                <w:sz w:val="18"/>
                <w:szCs w:val="18"/>
                <w:color w:val="auto"/>
              </w:rPr>
            </w:pPr>
          </w:p>
        </w:tc>
        <w:tc>
          <w:tcPr>
            <w:tcW w:w="920" w:type="dxa"/>
            <w:vAlign w:val="bottom"/>
          </w:tcPr>
          <w:p>
            <w:pPr>
              <w:ind w:left="220"/>
              <w:spacing w:after="0"/>
              <w:rPr>
                <w:sz w:val="20"/>
                <w:szCs w:val="20"/>
                <w:color w:val="auto"/>
              </w:rPr>
            </w:pPr>
            <w:r>
              <w:rPr>
                <w:rFonts w:ascii="Arial" w:cs="Arial" w:eastAsia="Arial" w:hAnsi="Arial"/>
                <w:sz w:val="17"/>
                <w:szCs w:val="17"/>
                <w:color w:val="auto"/>
              </w:rPr>
              <w:t>Name:</w:t>
            </w:r>
          </w:p>
        </w:tc>
        <w:tc>
          <w:tcPr>
            <w:tcW w:w="4960" w:type="dxa"/>
            <w:vAlign w:val="bottom"/>
            <w:tcBorders>
              <w:bottom w:val="single" w:sz="8" w:color="auto"/>
            </w:tcBorders>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4860" w:type="dxa"/>
            <w:vAlign w:val="bottom"/>
            <w:tcBorders>
              <w:bottom w:val="single" w:sz="8" w:color="auto"/>
            </w:tcBorders>
          </w:tcPr>
          <w:p>
            <w:pPr>
              <w:spacing w:after="0"/>
              <w:rPr>
                <w:sz w:val="18"/>
                <w:szCs w:val="18"/>
                <w:color w:val="auto"/>
              </w:rPr>
            </w:pPr>
          </w:p>
        </w:tc>
        <w:tc>
          <w:tcPr>
            <w:tcW w:w="920" w:type="dxa"/>
            <w:vAlign w:val="bottom"/>
          </w:tcPr>
          <w:p>
            <w:pPr>
              <w:ind w:left="220"/>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18"/>
                <w:szCs w:val="18"/>
                <w:color w:val="auto"/>
              </w:rPr>
            </w:pPr>
          </w:p>
        </w:tc>
      </w:tr>
      <w:tr>
        <w:trPr>
          <w:trHeight w:val="413"/>
        </w:trPr>
        <w:tc>
          <w:tcPr>
            <w:tcW w:w="680" w:type="dxa"/>
            <w:vAlign w:val="bottom"/>
          </w:tcPr>
          <w:p>
            <w:pPr>
              <w:spacing w:after="0"/>
              <w:rPr>
                <w:sz w:val="20"/>
                <w:szCs w:val="20"/>
                <w:color w:val="auto"/>
              </w:rPr>
            </w:pPr>
            <w:r>
              <w:rPr>
                <w:rFonts w:ascii="Arial" w:cs="Arial" w:eastAsia="Arial" w:hAnsi="Arial"/>
                <w:sz w:val="17"/>
                <w:szCs w:val="17"/>
                <w:color w:val="auto"/>
              </w:rPr>
              <w:t>Attest:</w:t>
            </w:r>
          </w:p>
        </w:tc>
        <w:tc>
          <w:tcPr>
            <w:tcW w:w="4860" w:type="dxa"/>
            <w:vAlign w:val="bottom"/>
          </w:tcPr>
          <w:p>
            <w:pPr>
              <w:spacing w:after="0"/>
              <w:rPr>
                <w:sz w:val="24"/>
                <w:szCs w:val="24"/>
                <w:color w:val="auto"/>
              </w:rPr>
            </w:pPr>
          </w:p>
        </w:tc>
        <w:tc>
          <w:tcPr>
            <w:tcW w:w="5880" w:type="dxa"/>
            <w:vAlign w:val="bottom"/>
            <w:gridSpan w:val="2"/>
          </w:tcPr>
          <w:p>
            <w:pPr>
              <w:ind w:left="220"/>
              <w:spacing w:after="0"/>
              <w:rPr>
                <w:sz w:val="20"/>
                <w:szCs w:val="20"/>
                <w:color w:val="auto"/>
              </w:rPr>
            </w:pPr>
            <w:r>
              <w:rPr>
                <w:rFonts w:ascii="Arial" w:cs="Arial" w:eastAsia="Arial" w:hAnsi="Arial"/>
                <w:sz w:val="17"/>
                <w:szCs w:val="17"/>
                <w:color w:val="auto"/>
              </w:rPr>
              <w:t>AMERICAN STOCK TRANSFER &amp; TRUST COMPANY, AS RIGHTS</w:t>
            </w:r>
          </w:p>
        </w:tc>
      </w:tr>
      <w:tr>
        <w:trPr>
          <w:trHeight w:val="222"/>
        </w:trPr>
        <w:tc>
          <w:tcPr>
            <w:tcW w:w="6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880" w:type="dxa"/>
            <w:vAlign w:val="bottom"/>
            <w:gridSpan w:val="2"/>
          </w:tcPr>
          <w:p>
            <w:pPr>
              <w:ind w:left="220"/>
              <w:spacing w:after="0"/>
              <w:rPr>
                <w:sz w:val="20"/>
                <w:szCs w:val="20"/>
                <w:color w:val="auto"/>
              </w:rPr>
            </w:pPr>
            <w:r>
              <w:rPr>
                <w:rFonts w:ascii="Arial" w:cs="Arial" w:eastAsia="Arial" w:hAnsi="Arial"/>
                <w:sz w:val="17"/>
                <w:szCs w:val="17"/>
                <w:color w:val="auto"/>
              </w:rPr>
              <w:t>AGENT</w:t>
            </w:r>
          </w:p>
        </w:tc>
      </w:tr>
      <w:tr>
        <w:trPr>
          <w:trHeight w:val="419"/>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4860" w:type="dxa"/>
            <w:vAlign w:val="bottom"/>
            <w:tcBorders>
              <w:bottom w:val="single" w:sz="8" w:color="auto"/>
            </w:tcBorders>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7"/>
                <w:szCs w:val="17"/>
                <w:color w:val="auto"/>
              </w:rPr>
              <w:t>By:</w:t>
            </w:r>
          </w:p>
        </w:tc>
        <w:tc>
          <w:tcPr>
            <w:tcW w:w="4960" w:type="dxa"/>
            <w:vAlign w:val="bottom"/>
            <w:tcBorders>
              <w:bottom w:val="single" w:sz="8" w:color="auto"/>
            </w:tcBorders>
          </w:tcPr>
          <w:p>
            <w:pPr>
              <w:spacing w:after="0"/>
              <w:rPr>
                <w:sz w:val="24"/>
                <w:szCs w:val="24"/>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4860" w:type="dxa"/>
            <w:vAlign w:val="bottom"/>
            <w:tcBorders>
              <w:bottom w:val="single" w:sz="8" w:color="auto"/>
            </w:tcBorders>
          </w:tcPr>
          <w:p>
            <w:pPr>
              <w:spacing w:after="0"/>
              <w:rPr>
                <w:sz w:val="18"/>
                <w:szCs w:val="18"/>
                <w:color w:val="auto"/>
              </w:rPr>
            </w:pPr>
          </w:p>
        </w:tc>
        <w:tc>
          <w:tcPr>
            <w:tcW w:w="920" w:type="dxa"/>
            <w:vAlign w:val="bottom"/>
          </w:tcPr>
          <w:p>
            <w:pPr>
              <w:ind w:left="220"/>
              <w:spacing w:after="0"/>
              <w:rPr>
                <w:sz w:val="20"/>
                <w:szCs w:val="20"/>
                <w:color w:val="auto"/>
              </w:rPr>
            </w:pPr>
            <w:r>
              <w:rPr>
                <w:rFonts w:ascii="Arial" w:cs="Arial" w:eastAsia="Arial" w:hAnsi="Arial"/>
                <w:sz w:val="17"/>
                <w:szCs w:val="17"/>
                <w:color w:val="auto"/>
              </w:rPr>
              <w:t>Name:</w:t>
            </w:r>
          </w:p>
        </w:tc>
        <w:tc>
          <w:tcPr>
            <w:tcW w:w="4960" w:type="dxa"/>
            <w:vAlign w:val="bottom"/>
            <w:tcBorders>
              <w:bottom w:val="single" w:sz="8" w:color="auto"/>
            </w:tcBorders>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4860" w:type="dxa"/>
            <w:vAlign w:val="bottom"/>
            <w:tcBorders>
              <w:bottom w:val="single" w:sz="8" w:color="auto"/>
            </w:tcBorders>
          </w:tcPr>
          <w:p>
            <w:pPr>
              <w:spacing w:after="0"/>
              <w:rPr>
                <w:sz w:val="18"/>
                <w:szCs w:val="18"/>
                <w:color w:val="auto"/>
              </w:rPr>
            </w:pPr>
          </w:p>
        </w:tc>
        <w:tc>
          <w:tcPr>
            <w:tcW w:w="920" w:type="dxa"/>
            <w:vAlign w:val="bottom"/>
          </w:tcPr>
          <w:p>
            <w:pPr>
              <w:ind w:left="220"/>
              <w:spacing w:after="0"/>
              <w:rPr>
                <w:sz w:val="20"/>
                <w:szCs w:val="20"/>
                <w:color w:val="auto"/>
              </w:rPr>
            </w:pPr>
            <w:r>
              <w:rPr>
                <w:rFonts w:ascii="Arial" w:cs="Arial" w:eastAsia="Arial" w:hAnsi="Arial"/>
                <w:sz w:val="17"/>
                <w:szCs w:val="17"/>
                <w:color w:val="auto"/>
              </w:rPr>
              <w:t>Title:</w:t>
            </w:r>
          </w:p>
        </w:tc>
        <w:tc>
          <w:tcPr>
            <w:tcW w:w="4960" w:type="dxa"/>
            <w:vAlign w:val="bottom"/>
            <w:tcBorders>
              <w:bottom w:val="single" w:sz="8" w:color="auto"/>
            </w:tcBorders>
          </w:tcPr>
          <w:p>
            <w:pPr>
              <w:spacing w:after="0"/>
              <w:rPr>
                <w:sz w:val="18"/>
                <w:szCs w:val="18"/>
                <w:color w:val="auto"/>
              </w:rPr>
            </w:pPr>
          </w:p>
        </w:tc>
      </w:tr>
      <w:tr>
        <w:trPr>
          <w:trHeight w:val="399"/>
        </w:trPr>
        <w:tc>
          <w:tcPr>
            <w:tcW w:w="680" w:type="dxa"/>
            <w:vAlign w:val="bottom"/>
          </w:tcPr>
          <w:p>
            <w:pPr>
              <w:spacing w:after="0"/>
              <w:rPr>
                <w:sz w:val="24"/>
                <w:szCs w:val="24"/>
                <w:color w:val="auto"/>
              </w:rPr>
            </w:pPr>
          </w:p>
        </w:tc>
        <w:tc>
          <w:tcPr>
            <w:tcW w:w="5780" w:type="dxa"/>
            <w:vAlign w:val="bottom"/>
            <w:gridSpan w:val="2"/>
          </w:tcPr>
          <w:p>
            <w:pPr>
              <w:jc w:val="right"/>
              <w:ind w:right="513"/>
              <w:spacing w:after="0"/>
              <w:rPr>
                <w:sz w:val="20"/>
                <w:szCs w:val="20"/>
                <w:color w:val="auto"/>
              </w:rPr>
            </w:pPr>
            <w:r>
              <w:rPr>
                <w:rFonts w:ascii="Arial" w:cs="Arial" w:eastAsia="Arial" w:hAnsi="Arial"/>
                <w:sz w:val="17"/>
                <w:szCs w:val="17"/>
                <w:color w:val="auto"/>
              </w:rPr>
              <w:t>-39-</w:t>
            </w:r>
          </w:p>
        </w:tc>
        <w:tc>
          <w:tcPr>
            <w:tcW w:w="4960" w:type="dxa"/>
            <w:vAlign w:val="bottom"/>
          </w:tcPr>
          <w:p>
            <w:pPr>
              <w:spacing w:after="0"/>
              <w:rPr>
                <w:sz w:val="24"/>
                <w:szCs w:val="24"/>
                <w:color w:val="auto"/>
              </w:rPr>
            </w:pPr>
          </w:p>
        </w:tc>
      </w:tr>
      <w:tr>
        <w:trPr>
          <w:trHeight w:val="220"/>
        </w:trPr>
        <w:tc>
          <w:tcPr>
            <w:tcW w:w="68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50" w:name="page351"/>
    <w:bookmarkEnd w:id="350"/>
    <w:p>
      <w:pPr>
        <w:jc w:val="center"/>
        <w:ind w:right="-39"/>
        <w:spacing w:after="0"/>
        <w:rPr>
          <w:sz w:val="20"/>
          <w:szCs w:val="20"/>
          <w:color w:val="auto"/>
        </w:rPr>
      </w:pPr>
      <w:r>
        <w:rPr>
          <w:rFonts w:ascii="Arial" w:cs="Arial" w:eastAsia="Arial" w:hAnsi="Arial"/>
          <w:sz w:val="17"/>
          <w:szCs w:val="17"/>
          <w:b w:val="1"/>
          <w:bCs w:val="1"/>
          <w:color w:val="auto"/>
        </w:rPr>
        <w:t>FORM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CERTIFICATE OF DESIGNATIONS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SERIES A JUNIOR PARTICIPATING PREFERRED STOCK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EMERGENT BIOSOLUTIONS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203835</wp:posOffset>
            </wp:positionV>
            <wp:extent cx="187896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160"/>
        <w:spacing w:after="0" w:line="322" w:lineRule="auto"/>
        <w:rPr>
          <w:sz w:val="20"/>
          <w:szCs w:val="20"/>
          <w:color w:val="auto"/>
        </w:rPr>
      </w:pPr>
      <w:r>
        <w:rPr>
          <w:rFonts w:ascii="Arial" w:cs="Arial" w:eastAsia="Arial" w:hAnsi="Arial"/>
          <w:sz w:val="16"/>
          <w:szCs w:val="16"/>
          <w:color w:val="auto"/>
        </w:rPr>
        <w:t>Emergent BioSolutions Inc., a corporation organized and existing under the laws of the State of Delaware (hereinafter called the “Corporation”), hereby certifies that the following resolution was adopted by the Board of Directors of the Corporation at a meeting duly called and held on September 20, 2006:</w:t>
      </w:r>
    </w:p>
    <w:p>
      <w:pPr>
        <w:spacing w:after="0" w:line="3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RESOLVED: That pursuant to the authority granted to and vested in the Board of Directors of the Corporation (hereinafter called the “Board”) in accordance with the provisions of the Certificate of Incorporation, as amended, the Board hereby creates a series of Preferred Stock, $0.001 par value per share (the “Preferred Stock”), of the Corporation and hereby states the designation and number of shares, and fixes the relative rights, preferences and limitations thereof as follows: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Series A Junior Participating Preferred Stock:</w:t>
      </w:r>
    </w:p>
    <w:p>
      <w:pPr>
        <w:spacing w:after="0" w:line="125" w:lineRule="exact"/>
        <w:rPr>
          <w:sz w:val="20"/>
          <w:szCs w:val="20"/>
          <w:color w:val="auto"/>
        </w:rPr>
      </w:pPr>
    </w:p>
    <w:p>
      <w:pPr>
        <w:ind w:firstLine="218"/>
        <w:spacing w:after="0" w:line="28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Designation and Amount</w:t>
      </w:r>
      <w:r>
        <w:rPr>
          <w:rFonts w:ascii="Arial" w:cs="Arial" w:eastAsia="Arial" w:hAnsi="Arial"/>
          <w:sz w:val="16"/>
          <w:szCs w:val="16"/>
          <w:color w:val="auto"/>
        </w:rPr>
        <w:t>. The shares of such series shall be designated as “Series A Junior Participating Preferred Stock” (the “Series A Preferred Stock”) and the number of shares constituting the Series A Preferred Stock shall be One Hundred Thousand (100,000). Such number of shares may be increased or decreased by resolution of the Board prior to issuance;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w:t>
      </w:r>
    </w:p>
    <w:p>
      <w:pPr>
        <w:spacing w:after="0" w:line="119" w:lineRule="exact"/>
        <w:rPr>
          <w:sz w:val="20"/>
          <w:szCs w:val="20"/>
          <w:color w:val="auto"/>
        </w:rPr>
      </w:pPr>
    </w:p>
    <w:p>
      <w:pPr>
        <w:ind w:right="80" w:firstLine="223"/>
        <w:spacing w:after="0" w:line="273" w:lineRule="auto"/>
        <w:tabs>
          <w:tab w:leader="none" w:pos="504" w:val="left"/>
        </w:tabs>
        <w:numPr>
          <w:ilvl w:val="0"/>
          <w:numId w:val="295"/>
        </w:numPr>
        <w:rPr>
          <w:rFonts w:ascii="Arial" w:cs="Arial" w:eastAsia="Arial" w:hAnsi="Arial"/>
          <w:sz w:val="17"/>
          <w:szCs w:val="17"/>
          <w:color w:val="auto"/>
        </w:rPr>
      </w:pPr>
      <w:r>
        <w:rPr>
          <w:rFonts w:ascii="Arial" w:cs="Arial" w:eastAsia="Arial" w:hAnsi="Arial"/>
          <w:sz w:val="17"/>
          <w:szCs w:val="17"/>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$.001 per share (the “Common Stock”), of the Corporation, and of any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33" w:right="279" w:bottom="1440" w:gutter="0" w:footer="0" w:header="0"/>
        </w:sectPr>
      </w:pPr>
    </w:p>
    <w:bookmarkStart w:id="351" w:name="page352"/>
    <w:bookmarkEnd w:id="351"/>
    <w:p>
      <w:pPr>
        <w:spacing w:after="0" w:line="295" w:lineRule="auto"/>
        <w:rPr>
          <w:sz w:val="20"/>
          <w:szCs w:val="20"/>
          <w:color w:val="auto"/>
        </w:rPr>
      </w:pPr>
      <w:r>
        <w:rPr>
          <w:rFonts w:ascii="Arial" w:cs="Arial" w:eastAsia="Arial" w:hAnsi="Arial"/>
          <w:sz w:val="15"/>
          <w:szCs w:val="15"/>
          <w:color w:val="auto"/>
        </w:rPr>
        <w:t>other junior stock, shall be entitled to receive, when, as and if declared by the Board out of funds of the Corporation legally available for the payment of dividends, quarterly dividends payable in cash on the last day of each fiscal quarter of the Corporation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(b) of the first sentence of this Section 2(A)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269" w:lineRule="exact"/>
        <w:rPr>
          <w:sz w:val="20"/>
          <w:szCs w:val="20"/>
          <w:color w:val="auto"/>
        </w:rPr>
      </w:pPr>
    </w:p>
    <w:p>
      <w:pPr>
        <w:ind w:right="20" w:firstLine="223"/>
        <w:spacing w:after="0" w:line="263" w:lineRule="auto"/>
        <w:tabs>
          <w:tab w:leader="none" w:pos="49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 Date and the next subsequent Quarterly Dividend Payment Date, a dividend of $10 per share on the Series A Preferred Stock shall nevertheless be payable on such subsequent Quarterly Dividend Payment Date.</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52" w:name="page353"/>
    <w:bookmarkEnd w:id="352"/>
    <w:p>
      <w:pPr>
        <w:ind w:left="-20" w:right="40" w:firstLine="223"/>
        <w:spacing w:after="0" w:line="279" w:lineRule="auto"/>
        <w:tabs>
          <w:tab w:leader="none" w:pos="474" w:val="left"/>
        </w:tabs>
        <w:numPr>
          <w:ilvl w:val="0"/>
          <w:numId w:val="297"/>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Voting Rights</w:t>
      </w:r>
      <w:r>
        <w:rPr>
          <w:rFonts w:ascii="Arial" w:cs="Arial" w:eastAsia="Arial" w:hAnsi="Arial"/>
          <w:sz w:val="17"/>
          <w:szCs w:val="17"/>
          <w:color w:val="auto"/>
        </w:rPr>
        <w:t>. The holders of shares of Series A Preferred Stock shall have the following voting rights:</w:t>
      </w:r>
    </w:p>
    <w:p>
      <w:pPr>
        <w:spacing w:after="0" w:line="119" w:lineRule="exact"/>
        <w:rPr>
          <w:sz w:val="20"/>
          <w:szCs w:val="20"/>
          <w:color w:val="auto"/>
        </w:rPr>
      </w:pPr>
    </w:p>
    <w:p>
      <w:pPr>
        <w:ind w:left="-20" w:firstLine="223"/>
        <w:spacing w:after="0" w:line="277" w:lineRule="auto"/>
        <w:tabs>
          <w:tab w:leader="none" w:pos="484" w:val="left"/>
        </w:tabs>
        <w:numPr>
          <w:ilvl w:val="0"/>
          <w:numId w:val="298"/>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A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 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67" w:lineRule="exact"/>
        <w:rPr>
          <w:rFonts w:ascii="Arial" w:cs="Arial" w:eastAsia="Arial" w:hAnsi="Arial"/>
          <w:sz w:val="16"/>
          <w:szCs w:val="16"/>
          <w:color w:val="auto"/>
        </w:rPr>
      </w:pPr>
    </w:p>
    <w:p>
      <w:pPr>
        <w:ind w:left="-20" w:right="180" w:firstLine="223"/>
        <w:spacing w:after="0" w:line="273" w:lineRule="auto"/>
        <w:tabs>
          <w:tab w:leader="none" w:pos="474" w:val="left"/>
        </w:tabs>
        <w:numPr>
          <w:ilvl w:val="0"/>
          <w:numId w:val="298"/>
        </w:numPr>
        <w:rPr>
          <w:rFonts w:ascii="Arial" w:cs="Arial" w:eastAsia="Arial" w:hAnsi="Arial"/>
          <w:sz w:val="17"/>
          <w:szCs w:val="17"/>
          <w:color w:val="auto"/>
        </w:rPr>
      </w:pPr>
      <w:r>
        <w:rPr>
          <w:rFonts w:ascii="Arial" w:cs="Arial" w:eastAsia="Arial" w:hAnsi="Arial"/>
          <w:sz w:val="17"/>
          <w:szCs w:val="17"/>
          <w:color w:val="auto"/>
        </w:rPr>
        <w:t>Except as otherwise provided herein, in the Certificate of Incorporation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7254875"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60" w:top="913" w:right="239" w:bottom="1440" w:gutter="0" w:footer="0" w:header="0"/>
        </w:sectPr>
      </w:pPr>
    </w:p>
    <w:bookmarkStart w:id="353" w:name="page354"/>
    <w:bookmarkEnd w:id="353"/>
    <w:p>
      <w:pPr>
        <w:ind w:left="-20" w:right="160" w:firstLine="223"/>
        <w:spacing w:after="0" w:line="308" w:lineRule="auto"/>
        <w:tabs>
          <w:tab w:leader="none" w:pos="474" w:val="left"/>
        </w:tabs>
        <w:numPr>
          <w:ilvl w:val="0"/>
          <w:numId w:val="299"/>
        </w:numPr>
        <w:rPr>
          <w:rFonts w:ascii="Arial" w:cs="Arial" w:eastAsia="Arial" w:hAnsi="Arial"/>
          <w:sz w:val="15"/>
          <w:szCs w:val="15"/>
          <w:color w:val="auto"/>
        </w:rPr>
      </w:pPr>
      <w:r>
        <w:rPr>
          <w:rFonts w:ascii="Arial" w:cs="Arial" w:eastAsia="Arial" w:hAnsi="Arial"/>
          <w:sz w:val="15"/>
          <w:szCs w:val="15"/>
          <w:color w:val="auto"/>
        </w:rPr>
        <w:t>(i) If at any time dividends on any Series A Preferred Stock shall be in arrears in an amount equal to six quarterly dividends thereon, the holders of the Series A Preferred Stock, voting as a separate series from all other series of Preferred Stock and classes of capital stock, shall be entitled to elect two members of the Board in addition to any Directors elected by any other series, class or classes of securities and the authorized number of Directors will automatically be increased by two. Promptly thereafter, the Board of the Corporation shall, as soon as may be practicable, call a special meeting of holders of Series A Preferred Stock for the purpose of electing such members of the Board. Such special meeting shall in any event be held within 45 days of the occurrence of such arrearage.</w:t>
      </w:r>
    </w:p>
    <w:p>
      <w:pPr>
        <w:spacing w:after="0" w:line="45" w:lineRule="exact"/>
        <w:rPr>
          <w:rFonts w:ascii="Arial" w:cs="Arial" w:eastAsia="Arial" w:hAnsi="Arial"/>
          <w:sz w:val="15"/>
          <w:szCs w:val="15"/>
          <w:color w:val="auto"/>
        </w:rPr>
      </w:pPr>
    </w:p>
    <w:p>
      <w:pPr>
        <w:ind w:left="-20" w:right="40" w:firstLine="441"/>
        <w:spacing w:after="0" w:line="285" w:lineRule="auto"/>
        <w:tabs>
          <w:tab w:leader="none" w:pos="673" w:val="left"/>
        </w:tabs>
        <w:numPr>
          <w:ilvl w:val="1"/>
          <w:numId w:val="299"/>
        </w:numPr>
        <w:rPr>
          <w:rFonts w:ascii="Arial" w:cs="Arial" w:eastAsia="Arial" w:hAnsi="Arial"/>
          <w:sz w:val="16"/>
          <w:szCs w:val="16"/>
          <w:color w:val="auto"/>
        </w:rPr>
      </w:pPr>
      <w:r>
        <w:rPr>
          <w:rFonts w:ascii="Arial" w:cs="Arial" w:eastAsia="Arial" w:hAnsi="Arial"/>
          <w:sz w:val="16"/>
          <w:szCs w:val="16"/>
          <w:color w:val="auto"/>
        </w:rPr>
        <w:t>During any period when the holders of Series A Preferred Stock, voting as a separate series, shall be entitled and shall have exercised their right to elect two Directors, then, and during such time as such right continues, (a) the then authorized number of Directors shall be increased by two, and the holders of Series A Preferred Stock, voting as a separate series, shall be entitled to elect the additional Directors so provided for, and (b) each such additional Director shall not be a member of any existing class of the Board, but shall serve until the next annual meeting of stockholders for the election of Directors, or until his successor shall be elected and shall qualify, or until his right to hold such office terminates pursuant to the provisions of this Section 3(C).</w:t>
      </w:r>
    </w:p>
    <w:p>
      <w:pPr>
        <w:spacing w:after="0" w:line="59" w:lineRule="exact"/>
        <w:rPr>
          <w:rFonts w:ascii="Arial" w:cs="Arial" w:eastAsia="Arial" w:hAnsi="Arial"/>
          <w:sz w:val="16"/>
          <w:szCs w:val="16"/>
          <w:color w:val="auto"/>
        </w:rPr>
      </w:pPr>
    </w:p>
    <w:p>
      <w:pPr>
        <w:ind w:left="-20" w:right="180" w:firstLine="441"/>
        <w:spacing w:after="0" w:line="289" w:lineRule="auto"/>
        <w:tabs>
          <w:tab w:leader="none" w:pos="712" w:val="left"/>
        </w:tabs>
        <w:numPr>
          <w:ilvl w:val="1"/>
          <w:numId w:val="299"/>
        </w:numPr>
        <w:rPr>
          <w:rFonts w:ascii="Arial" w:cs="Arial" w:eastAsia="Arial" w:hAnsi="Arial"/>
          <w:sz w:val="17"/>
          <w:szCs w:val="17"/>
          <w:color w:val="auto"/>
        </w:rPr>
      </w:pPr>
      <w:r>
        <w:rPr>
          <w:rFonts w:ascii="Arial" w:cs="Arial" w:eastAsia="Arial" w:hAnsi="Arial"/>
          <w:sz w:val="17"/>
          <w:szCs w:val="17"/>
          <w:color w:val="auto"/>
        </w:rPr>
        <w:t>A Director elected pursuant to the terms hereof may be removed with or without cause by the holders of Series A Preferred Stock entitled to vote in an election of such Director.</w:t>
      </w:r>
    </w:p>
    <w:p>
      <w:pPr>
        <w:spacing w:after="0" w:line="53" w:lineRule="exact"/>
        <w:rPr>
          <w:rFonts w:ascii="Arial" w:cs="Arial" w:eastAsia="Arial" w:hAnsi="Arial"/>
          <w:sz w:val="17"/>
          <w:szCs w:val="17"/>
          <w:color w:val="auto"/>
        </w:rPr>
      </w:pPr>
    </w:p>
    <w:p>
      <w:pPr>
        <w:ind w:left="-20" w:firstLine="441"/>
        <w:spacing w:after="0" w:line="267" w:lineRule="auto"/>
        <w:tabs>
          <w:tab w:leader="none" w:pos="712" w:val="left"/>
        </w:tabs>
        <w:numPr>
          <w:ilvl w:val="1"/>
          <w:numId w:val="299"/>
        </w:numPr>
        <w:rPr>
          <w:rFonts w:ascii="Arial" w:cs="Arial" w:eastAsia="Arial" w:hAnsi="Arial"/>
          <w:sz w:val="17"/>
          <w:szCs w:val="17"/>
          <w:color w:val="auto"/>
        </w:rPr>
      </w:pPr>
      <w:r>
        <w:rPr>
          <w:rFonts w:ascii="Arial" w:cs="Arial" w:eastAsia="Arial" w:hAnsi="Arial"/>
          <w:sz w:val="17"/>
          <w:szCs w:val="17"/>
          <w:color w:val="auto"/>
        </w:rPr>
        <w:t>If, during any interval between annual meetings of stockholders for the election of Directors and while the holders of Series A Preferred Stock shall be entitled to elect two Directors, there is no such Director in office by reason of resignation, death or removal, then, promptly thereafter, the Board shall call a special meeting of the holders of Series A Preferred Stock for the purpose of filling such vacancy and such vacancy shall be filled at such special meeting. Such special meeting shall in any event be held within 45 days of the occurrence of such vacancy.</w:t>
      </w:r>
    </w:p>
    <w:p>
      <w:pPr>
        <w:spacing w:after="0" w:line="72" w:lineRule="exact"/>
        <w:rPr>
          <w:rFonts w:ascii="Arial" w:cs="Arial" w:eastAsia="Arial" w:hAnsi="Arial"/>
          <w:sz w:val="17"/>
          <w:szCs w:val="17"/>
          <w:color w:val="auto"/>
        </w:rPr>
      </w:pPr>
    </w:p>
    <w:p>
      <w:pPr>
        <w:ind w:left="-20" w:right="120" w:firstLine="441"/>
        <w:spacing w:after="0" w:line="285" w:lineRule="auto"/>
        <w:tabs>
          <w:tab w:leader="none" w:pos="654" w:val="left"/>
        </w:tabs>
        <w:numPr>
          <w:ilvl w:val="1"/>
          <w:numId w:val="299"/>
        </w:numPr>
        <w:rPr>
          <w:rFonts w:ascii="Arial" w:cs="Arial" w:eastAsia="Arial" w:hAnsi="Arial"/>
          <w:sz w:val="16"/>
          <w:szCs w:val="16"/>
          <w:color w:val="auto"/>
        </w:rPr>
      </w:pPr>
      <w:r>
        <w:rPr>
          <w:rFonts w:ascii="Arial" w:cs="Arial" w:eastAsia="Arial" w:hAnsi="Arial"/>
          <w:sz w:val="16"/>
          <w:szCs w:val="16"/>
          <w:color w:val="auto"/>
        </w:rPr>
        <w:t>At such time as the arrearage is fully cured, and all dividends accumulated and unpaid on any shares of Series A Preferred Stock outstanding are 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the rights of the holders of the shares of the Series A Preferred Stock to vote as provided in this Section 3(C) shall cease, subject to renewal from time to time upon the same terms and conditions, and the holders of shares of the Series A Preferred Stock shall have only the limited voting rights elsewhere herein set forth.</w:t>
      </w:r>
    </w:p>
    <w:p>
      <w:pPr>
        <w:spacing w:after="0" w:line="59" w:lineRule="exact"/>
        <w:rPr>
          <w:rFonts w:ascii="Arial" w:cs="Arial" w:eastAsia="Arial" w:hAnsi="Arial"/>
          <w:sz w:val="16"/>
          <w:szCs w:val="16"/>
          <w:color w:val="auto"/>
        </w:rPr>
      </w:pPr>
    </w:p>
    <w:p>
      <w:pPr>
        <w:ind w:left="-20" w:right="240" w:firstLine="223"/>
        <w:spacing w:after="0" w:line="289" w:lineRule="auto"/>
        <w:tabs>
          <w:tab w:leader="none" w:pos="484" w:val="left"/>
        </w:tabs>
        <w:numPr>
          <w:ilvl w:val="0"/>
          <w:numId w:val="299"/>
        </w:numPr>
        <w:rPr>
          <w:rFonts w:ascii="Arial" w:cs="Arial" w:eastAsia="Arial" w:hAnsi="Arial"/>
          <w:sz w:val="17"/>
          <w:szCs w:val="17"/>
          <w:color w:val="auto"/>
        </w:rPr>
      </w:pPr>
      <w:r>
        <w:rPr>
          <w:rFonts w:ascii="Arial" w:cs="Arial" w:eastAsia="Arial" w:hAnsi="Arial"/>
          <w:sz w:val="17"/>
          <w:szCs w:val="17"/>
          <w:color w:val="auto"/>
        </w:rPr>
        <w:t>Except as set forth herein, or as otherwise provided by law, holders of Series A Preferred Stock shall have no special voting rights and their consent shall not be required (except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147320</wp:posOffset>
            </wp:positionV>
            <wp:extent cx="7254875"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60" w:top="912" w:right="239" w:bottom="1440" w:gutter="0" w:footer="0" w:header="0"/>
        </w:sectPr>
      </w:pPr>
    </w:p>
    <w:bookmarkStart w:id="354" w:name="page355"/>
    <w:bookmarkEnd w:id="354"/>
    <w:p>
      <w:pPr>
        <w:spacing w:after="0"/>
        <w:rPr>
          <w:sz w:val="20"/>
          <w:szCs w:val="20"/>
          <w:color w:val="auto"/>
        </w:rPr>
      </w:pPr>
      <w:r>
        <w:rPr>
          <w:rFonts w:ascii="Arial" w:cs="Arial" w:eastAsia="Arial" w:hAnsi="Arial"/>
          <w:sz w:val="17"/>
          <w:szCs w:val="17"/>
          <w:color w:val="auto"/>
        </w:rPr>
        <w:t>to the extent they are entitled to vote with holders of Common Stock as set forth herein) for taking any corporate action.</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Certain Restrictions</w:t>
      </w:r>
      <w:r>
        <w:rPr>
          <w:rFonts w:ascii="Arial" w:cs="Arial" w:eastAsia="Arial" w:hAnsi="Arial"/>
          <w:sz w:val="17"/>
          <w:szCs w:val="17"/>
          <w:color w:val="auto"/>
        </w:rPr>
        <w:t>.</w:t>
      </w:r>
    </w:p>
    <w:p>
      <w:pPr>
        <w:spacing w:after="0" w:line="119" w:lineRule="exact"/>
        <w:rPr>
          <w:sz w:val="20"/>
          <w:szCs w:val="20"/>
          <w:color w:val="auto"/>
        </w:rPr>
      </w:pPr>
    </w:p>
    <w:p>
      <w:pPr>
        <w:ind w:right="60" w:firstLine="223"/>
        <w:spacing w:after="0" w:line="273" w:lineRule="auto"/>
        <w:tabs>
          <w:tab w:leader="none" w:pos="501" w:val="left"/>
        </w:tabs>
        <w:numPr>
          <w:ilvl w:val="0"/>
          <w:numId w:val="300"/>
        </w:numPr>
        <w:rPr>
          <w:rFonts w:ascii="Arial" w:cs="Arial" w:eastAsia="Arial" w:hAnsi="Arial"/>
          <w:sz w:val="17"/>
          <w:szCs w:val="17"/>
          <w:color w:val="auto"/>
        </w:rPr>
      </w:pPr>
      <w:r>
        <w:rPr>
          <w:rFonts w:ascii="Arial" w:cs="Arial" w:eastAsia="Arial" w:hAnsi="Arial"/>
          <w:sz w:val="17"/>
          <w:szCs w:val="17"/>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66" w:lineRule="exact"/>
        <w:rPr>
          <w:rFonts w:ascii="Arial" w:cs="Arial" w:eastAsia="Arial" w:hAnsi="Arial"/>
          <w:sz w:val="17"/>
          <w:szCs w:val="17"/>
          <w:color w:val="auto"/>
        </w:rPr>
      </w:pPr>
    </w:p>
    <w:p>
      <w:pPr>
        <w:ind w:right="40" w:firstLine="441"/>
        <w:spacing w:after="0" w:line="289" w:lineRule="auto"/>
        <w:tabs>
          <w:tab w:leader="none" w:pos="645" w:val="left"/>
        </w:tabs>
        <w:numPr>
          <w:ilvl w:val="1"/>
          <w:numId w:val="300"/>
        </w:numPr>
        <w:rPr>
          <w:rFonts w:ascii="Arial" w:cs="Arial" w:eastAsia="Arial" w:hAnsi="Arial"/>
          <w:sz w:val="17"/>
          <w:szCs w:val="17"/>
          <w:color w:val="auto"/>
        </w:rPr>
      </w:pPr>
      <w:r>
        <w:rPr>
          <w:rFonts w:ascii="Arial" w:cs="Arial" w:eastAsia="Arial" w:hAnsi="Arial"/>
          <w:sz w:val="17"/>
          <w:szCs w:val="17"/>
          <w:color w:val="auto"/>
        </w:rPr>
        <w:t>declare or pay dividends, or make any other distributions, on any shares of stock ranking junior (either as to dividends or upon liquidation, dissolution or winding up) to the Series A Preferred Stock;</w:t>
      </w:r>
    </w:p>
    <w:p>
      <w:pPr>
        <w:spacing w:after="0" w:line="53" w:lineRule="exact"/>
        <w:rPr>
          <w:rFonts w:ascii="Arial" w:cs="Arial" w:eastAsia="Arial" w:hAnsi="Arial"/>
          <w:sz w:val="17"/>
          <w:szCs w:val="17"/>
          <w:color w:val="auto"/>
        </w:rPr>
      </w:pPr>
    </w:p>
    <w:p>
      <w:pPr>
        <w:ind w:right="320" w:firstLine="441"/>
        <w:spacing w:after="0" w:line="273" w:lineRule="auto"/>
        <w:tabs>
          <w:tab w:leader="none" w:pos="693" w:val="left"/>
        </w:tabs>
        <w:numPr>
          <w:ilvl w:val="1"/>
          <w:numId w:val="300"/>
        </w:numPr>
        <w:rPr>
          <w:rFonts w:ascii="Arial" w:cs="Arial" w:eastAsia="Arial" w:hAnsi="Arial"/>
          <w:sz w:val="17"/>
          <w:szCs w:val="17"/>
          <w:color w:val="auto"/>
        </w:rPr>
      </w:pPr>
      <w:r>
        <w:rPr>
          <w:rFonts w:ascii="Arial" w:cs="Arial" w:eastAsia="Arial" w:hAnsi="Arial"/>
          <w:sz w:val="17"/>
          <w:szCs w:val="17"/>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66" w:lineRule="exact"/>
        <w:rPr>
          <w:rFonts w:ascii="Arial" w:cs="Arial" w:eastAsia="Arial" w:hAnsi="Arial"/>
          <w:sz w:val="17"/>
          <w:szCs w:val="17"/>
          <w:color w:val="auto"/>
        </w:rPr>
      </w:pPr>
    </w:p>
    <w:p>
      <w:pPr>
        <w:jc w:val="both"/>
        <w:ind w:right="60" w:firstLine="441"/>
        <w:spacing w:after="0" w:line="267" w:lineRule="auto"/>
        <w:tabs>
          <w:tab w:leader="none" w:pos="742" w:val="left"/>
        </w:tabs>
        <w:numPr>
          <w:ilvl w:val="1"/>
          <w:numId w:val="300"/>
        </w:numPr>
        <w:rPr>
          <w:rFonts w:ascii="Arial" w:cs="Arial" w:eastAsia="Arial" w:hAnsi="Arial"/>
          <w:sz w:val="17"/>
          <w:szCs w:val="17"/>
          <w:color w:val="auto"/>
        </w:rPr>
      </w:pPr>
      <w:r>
        <w:rPr>
          <w:rFonts w:ascii="Arial" w:cs="Arial" w:eastAsia="Arial" w:hAnsi="Arial"/>
          <w:sz w:val="17"/>
          <w:szCs w:val="17"/>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72" w:lineRule="exact"/>
        <w:rPr>
          <w:rFonts w:ascii="Arial" w:cs="Arial" w:eastAsia="Arial" w:hAnsi="Arial"/>
          <w:sz w:val="17"/>
          <w:szCs w:val="17"/>
          <w:color w:val="auto"/>
        </w:rPr>
      </w:pPr>
    </w:p>
    <w:p>
      <w:pPr>
        <w:ind w:right="120" w:firstLine="441"/>
        <w:spacing w:after="0" w:line="289" w:lineRule="auto"/>
        <w:tabs>
          <w:tab w:leader="none" w:pos="732" w:val="left"/>
        </w:tabs>
        <w:numPr>
          <w:ilvl w:val="1"/>
          <w:numId w:val="300"/>
        </w:numPr>
        <w:rPr>
          <w:rFonts w:ascii="Arial" w:cs="Arial" w:eastAsia="Arial" w:hAnsi="Arial"/>
          <w:sz w:val="16"/>
          <w:szCs w:val="16"/>
          <w:color w:val="auto"/>
        </w:rPr>
      </w:pPr>
      <w:r>
        <w:rPr>
          <w:rFonts w:ascii="Arial" w:cs="Arial" w:eastAsia="Arial" w:hAnsi="Arial"/>
          <w:sz w:val="16"/>
          <w:szCs w:val="16"/>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56" w:lineRule="exact"/>
        <w:rPr>
          <w:rFonts w:ascii="Arial" w:cs="Arial" w:eastAsia="Arial" w:hAnsi="Arial"/>
          <w:sz w:val="16"/>
          <w:szCs w:val="16"/>
          <w:color w:val="auto"/>
        </w:rPr>
      </w:pPr>
    </w:p>
    <w:p>
      <w:pPr>
        <w:ind w:right="420" w:firstLine="223"/>
        <w:spacing w:after="0" w:line="359" w:lineRule="auto"/>
        <w:tabs>
          <w:tab w:leader="none" w:pos="491"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8" w:lineRule="exact"/>
        <w:rPr>
          <w:sz w:val="20"/>
          <w:szCs w:val="20"/>
          <w:color w:val="auto"/>
        </w:rPr>
      </w:pPr>
    </w:p>
    <w:p>
      <w:pPr>
        <w:ind w:firstLine="218"/>
        <w:spacing w:after="0" w:line="29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Reacquired Shares</w:t>
      </w:r>
      <w:r>
        <w:rPr>
          <w:rFonts w:ascii="Arial" w:cs="Arial" w:eastAsia="Arial" w:hAnsi="Arial"/>
          <w:sz w:val="16"/>
          <w:szCs w:val="16"/>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913" w:right="299" w:bottom="1440" w:gutter="0" w:footer="0" w:header="0"/>
        </w:sectPr>
      </w:pPr>
    </w:p>
    <w:bookmarkStart w:id="355" w:name="page356"/>
    <w:bookmarkEnd w:id="355"/>
    <w:p>
      <w:pPr>
        <w:spacing w:after="0"/>
        <w:rPr>
          <w:sz w:val="20"/>
          <w:szCs w:val="20"/>
          <w:color w:val="auto"/>
        </w:rPr>
      </w:pPr>
      <w:r>
        <w:rPr>
          <w:rFonts w:ascii="Arial" w:cs="Arial" w:eastAsia="Arial" w:hAnsi="Arial"/>
          <w:sz w:val="16"/>
          <w:szCs w:val="16"/>
          <w:color w:val="auto"/>
        </w:rPr>
        <w:t>Certificate of Incorporation, or in any other Certificate of Designations creating a series of Preferred Stock or any similar stock or as otherwise required by law.</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Liquidation, Dissolution or Winding Up</w:t>
      </w:r>
      <w:r>
        <w:rPr>
          <w:rFonts w:ascii="Arial" w:cs="Arial" w:eastAsia="Arial" w:hAnsi="Arial"/>
          <w:sz w:val="17"/>
          <w:szCs w:val="17"/>
          <w:color w:val="auto"/>
        </w:rPr>
        <w:t>.</w:t>
      </w:r>
    </w:p>
    <w:p>
      <w:pPr>
        <w:spacing w:after="0" w:line="119" w:lineRule="exact"/>
        <w:rPr>
          <w:sz w:val="20"/>
          <w:szCs w:val="20"/>
          <w:color w:val="auto"/>
        </w:rPr>
      </w:pPr>
    </w:p>
    <w:p>
      <w:pPr>
        <w:ind w:firstLine="223"/>
        <w:spacing w:after="0" w:line="261" w:lineRule="auto"/>
        <w:tabs>
          <w:tab w:leader="none" w:pos="50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w:t>
      </w:r>
    </w:p>
    <w:p>
      <w:pPr>
        <w:spacing w:after="0" w:line="80" w:lineRule="exact"/>
        <w:rPr>
          <w:rFonts w:ascii="Arial" w:cs="Arial" w:eastAsia="Arial" w:hAnsi="Arial"/>
          <w:sz w:val="17"/>
          <w:szCs w:val="17"/>
          <w:color w:val="auto"/>
        </w:rPr>
      </w:pPr>
    </w:p>
    <w:p>
      <w:pPr>
        <w:ind w:right="420" w:firstLine="223"/>
        <w:spacing w:after="0" w:line="273" w:lineRule="auto"/>
        <w:tabs>
          <w:tab w:leader="none" w:pos="49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Neither the consolidation, merger or other business combination of the Corporation with or into any other corporation nor the sale, lease, exchange or conveyance of all or any part of the property, assets or business of the Corporation shall be deemed to be a liquidation, dissolution or winding up of the Corporation for purposes of this Section 6.</w:t>
      </w:r>
    </w:p>
    <w:p>
      <w:pPr>
        <w:spacing w:after="0" w:line="66" w:lineRule="exact"/>
        <w:rPr>
          <w:rFonts w:ascii="Arial" w:cs="Arial" w:eastAsia="Arial" w:hAnsi="Arial"/>
          <w:sz w:val="17"/>
          <w:szCs w:val="17"/>
          <w:color w:val="auto"/>
        </w:rPr>
      </w:pPr>
    </w:p>
    <w:p>
      <w:pPr>
        <w:ind w:firstLine="223"/>
        <w:spacing w:after="0" w:line="277" w:lineRule="auto"/>
        <w:tabs>
          <w:tab w:leader="none" w:pos="49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913" w:right="299" w:bottom="1440" w:gutter="0" w:footer="0" w:header="0"/>
        </w:sectPr>
      </w:pPr>
    </w:p>
    <w:bookmarkStart w:id="356" w:name="page357"/>
    <w:bookmarkEnd w:id="356"/>
    <w:p>
      <w:pPr>
        <w:ind w:right="40" w:firstLine="218"/>
        <w:spacing w:after="0" w:line="27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Consolidation, Merger, etc</w:t>
      </w:r>
      <w:r>
        <w:rPr>
          <w:rFonts w:ascii="Arial" w:cs="Arial" w:eastAsia="Arial" w:hAnsi="Arial"/>
          <w:sz w:val="16"/>
          <w:szCs w:val="16"/>
          <w:color w:val="auto"/>
        </w:rPr>
        <w:t>. Notwithstanding anything to the contrary contained herein,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No Redemption</w:t>
      </w:r>
      <w:r>
        <w:rPr>
          <w:rFonts w:ascii="Arial" w:cs="Arial" w:eastAsia="Arial" w:hAnsi="Arial"/>
          <w:sz w:val="17"/>
          <w:szCs w:val="17"/>
          <w:color w:val="auto"/>
        </w:rPr>
        <w:t>. The shares of Series A Preferred Stock shall not be redeemable.</w:t>
      </w:r>
    </w:p>
    <w:p>
      <w:pPr>
        <w:spacing w:after="0" w:line="119" w:lineRule="exact"/>
        <w:rPr>
          <w:sz w:val="20"/>
          <w:szCs w:val="20"/>
          <w:color w:val="auto"/>
        </w:rPr>
      </w:pPr>
    </w:p>
    <w:p>
      <w:pPr>
        <w:ind w:firstLine="218"/>
        <w:spacing w:after="0" w:line="359"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Rank</w:t>
      </w:r>
      <w:r>
        <w:rPr>
          <w:rFonts w:ascii="Arial" w:cs="Arial" w:eastAsia="Arial" w:hAnsi="Arial"/>
          <w:sz w:val="15"/>
          <w:szCs w:val="15"/>
          <w:color w:val="auto"/>
        </w:rPr>
        <w:t>. The Series A Preferred Stock shall rank, with respect to the payment of dividends and the distribution of assets, junior to all series of any other class of the Preferred Stock issued either before or after the issuance of the Series A Preferred Stock, unless the terms of any such series shall provide otherwise.</w:t>
      </w:r>
    </w:p>
    <w:p>
      <w:pPr>
        <w:spacing w:after="0" w:line="8" w:lineRule="exact"/>
        <w:rPr>
          <w:sz w:val="20"/>
          <w:szCs w:val="20"/>
          <w:color w:val="auto"/>
        </w:rPr>
      </w:pPr>
    </w:p>
    <w:p>
      <w:pPr>
        <w:ind w:right="120" w:firstLine="218"/>
        <w:spacing w:after="0" w:line="267"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Amendment</w:t>
      </w:r>
      <w:r>
        <w:rPr>
          <w:rFonts w:ascii="Arial" w:cs="Arial" w:eastAsia="Arial" w:hAnsi="Arial"/>
          <w:sz w:val="17"/>
          <w:szCs w:val="17"/>
          <w:color w:val="auto"/>
        </w:rPr>
        <w:t>. At such time as any shares of Series A Preferred Stock are outstanding, the Certificate of Incorporation, as amended,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73" w:lineRule="exact"/>
        <w:rPr>
          <w:sz w:val="20"/>
          <w:szCs w:val="20"/>
          <w:color w:val="auto"/>
        </w:rPr>
      </w:pPr>
    </w:p>
    <w:p>
      <w:pPr>
        <w:ind w:right="500" w:firstLine="218"/>
        <w:spacing w:after="0" w:line="28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Fractional Shares</w:t>
      </w:r>
      <w:r>
        <w:rPr>
          <w:rFonts w:ascii="Arial" w:cs="Arial" w:eastAsia="Arial" w:hAnsi="Arial"/>
          <w:sz w:val="17"/>
          <w:szCs w:val="17"/>
          <w:color w:val="auto"/>
        </w:rPr>
        <w:t>. Series A Preferred Stock may be issued in fractions of a share which shall entitle the holder, in proportion to such holder’s fractional shares, to exercise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22"/>
        </w:trPr>
        <w:tc>
          <w:tcPr>
            <w:tcW w:w="9780" w:type="dxa"/>
            <w:vAlign w:val="bottom"/>
            <w:gridSpan w:val="4"/>
          </w:tcPr>
          <w:p>
            <w:pPr>
              <w:spacing w:after="0"/>
              <w:rPr>
                <w:sz w:val="20"/>
                <w:szCs w:val="20"/>
                <w:color w:val="auto"/>
              </w:rPr>
            </w:pPr>
            <w:r>
              <w:rPr>
                <w:rFonts w:ascii="Arial" w:cs="Arial" w:eastAsia="Arial" w:hAnsi="Arial"/>
                <w:sz w:val="17"/>
                <w:szCs w:val="17"/>
                <w:color w:val="auto"/>
                <w:w w:val="95"/>
              </w:rPr>
              <w:t>voting rights, receive dividends, participate in distributions and have the benefit of all other rights of holders of Series A Preferred Stock.</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75"/>
        </w:trPr>
        <w:tc>
          <w:tcPr>
            <w:tcW w:w="9780" w:type="dxa"/>
            <w:vAlign w:val="bottom"/>
            <w:gridSpan w:val="4"/>
          </w:tcPr>
          <w:p>
            <w:pPr>
              <w:ind w:left="220"/>
              <w:spacing w:after="0"/>
              <w:rPr>
                <w:sz w:val="20"/>
                <w:szCs w:val="20"/>
                <w:color w:val="auto"/>
              </w:rPr>
            </w:pPr>
            <w:r>
              <w:rPr>
                <w:rFonts w:ascii="Arial" w:cs="Arial" w:eastAsia="Arial" w:hAnsi="Arial"/>
                <w:sz w:val="17"/>
                <w:szCs w:val="17"/>
                <w:color w:val="auto"/>
                <w:w w:val="96"/>
              </w:rPr>
              <w:t>IN WITNESS WHEREOF, this Certificate of Designations is executed on behalf of the Corporation by its Chief Executive Officer this</w:t>
            </w:r>
          </w:p>
        </w:tc>
        <w:tc>
          <w:tcPr>
            <w:tcW w:w="780" w:type="dxa"/>
            <w:vAlign w:val="bottom"/>
          </w:tcPr>
          <w:p>
            <w:pPr>
              <w:spacing w:after="0"/>
              <w:rPr>
                <w:sz w:val="23"/>
                <w:szCs w:val="23"/>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auto"/>
                <w:w w:val="90"/>
              </w:rPr>
              <w:t>day of</w:t>
            </w:r>
          </w:p>
        </w:tc>
      </w:tr>
      <w:tr>
        <w:trPr>
          <w:trHeight w:val="190"/>
        </w:trPr>
        <w:tc>
          <w:tcPr>
            <w:tcW w:w="5800" w:type="dxa"/>
            <w:vAlign w:val="bottom"/>
            <w:gridSpan w:val="2"/>
          </w:tcPr>
          <w:p>
            <w:pPr>
              <w:jc w:val="right"/>
              <w:ind w:right="4353"/>
              <w:spacing w:after="0" w:line="189" w:lineRule="exact"/>
              <w:rPr>
                <w:sz w:val="20"/>
                <w:szCs w:val="20"/>
                <w:color w:val="auto"/>
              </w:rPr>
            </w:pPr>
            <w:r>
              <w:rPr>
                <w:rFonts w:ascii="Arial" w:cs="Arial" w:eastAsia="Arial" w:hAnsi="Arial"/>
                <w:sz w:val="17"/>
                <w:szCs w:val="17"/>
                <w:color w:val="auto"/>
              </w:rPr>
              <w:t>, 2006.</w:t>
            </w:r>
          </w:p>
        </w:tc>
        <w:tc>
          <w:tcPr>
            <w:tcW w:w="38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r>
      <w:tr>
        <w:trPr>
          <w:trHeight w:val="438"/>
        </w:trPr>
        <w:tc>
          <w:tcPr>
            <w:tcW w:w="880" w:type="dxa"/>
            <w:vAlign w:val="bottom"/>
            <w:tcBorders>
              <w:top w:val="single" w:sz="8" w:color="auto"/>
            </w:tcBorders>
          </w:tcPr>
          <w:p>
            <w:pPr>
              <w:spacing w:after="0"/>
              <w:rPr>
                <w:sz w:val="24"/>
                <w:szCs w:val="24"/>
                <w:color w:val="auto"/>
              </w:rPr>
            </w:pPr>
          </w:p>
        </w:tc>
        <w:tc>
          <w:tcPr>
            <w:tcW w:w="8900" w:type="dxa"/>
            <w:vAlign w:val="bottom"/>
            <w:gridSpan w:val="3"/>
          </w:tcPr>
          <w:p>
            <w:pPr>
              <w:ind w:left="4360"/>
              <w:spacing w:after="0"/>
              <w:rPr>
                <w:sz w:val="20"/>
                <w:szCs w:val="20"/>
                <w:color w:val="auto"/>
              </w:rPr>
            </w:pPr>
            <w:r>
              <w:rPr>
                <w:rFonts w:ascii="Arial" w:cs="Arial" w:eastAsia="Arial" w:hAnsi="Arial"/>
                <w:sz w:val="17"/>
                <w:szCs w:val="17"/>
                <w:color w:val="auto"/>
              </w:rPr>
              <w:t>EMERGENT BIOSOLUTIONS, INC.</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19"/>
        </w:trPr>
        <w:tc>
          <w:tcPr>
            <w:tcW w:w="880" w:type="dxa"/>
            <w:vAlign w:val="bottom"/>
          </w:tcPr>
          <w:p>
            <w:pPr>
              <w:spacing w:after="0"/>
              <w:rPr>
                <w:sz w:val="24"/>
                <w:szCs w:val="24"/>
                <w:color w:val="auto"/>
              </w:rPr>
            </w:pPr>
          </w:p>
        </w:tc>
        <w:tc>
          <w:tcPr>
            <w:tcW w:w="8900" w:type="dxa"/>
            <w:vAlign w:val="bottom"/>
            <w:gridSpan w:val="3"/>
          </w:tcPr>
          <w:p>
            <w:pPr>
              <w:ind w:left="4360"/>
              <w:spacing w:after="0"/>
              <w:rPr>
                <w:sz w:val="20"/>
                <w:szCs w:val="20"/>
                <w:color w:val="auto"/>
              </w:rPr>
            </w:pPr>
            <w:r>
              <w:rPr>
                <w:rFonts w:ascii="Arial" w:cs="Arial" w:eastAsia="Arial" w:hAnsi="Arial"/>
                <w:sz w:val="17"/>
                <w:szCs w:val="17"/>
                <w:color w:val="auto"/>
              </w:rPr>
              <w:t>By:</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880" w:type="dxa"/>
            <w:vAlign w:val="bottom"/>
          </w:tcPr>
          <w:p>
            <w:pPr>
              <w:spacing w:after="0"/>
              <w:rPr>
                <w:sz w:val="17"/>
                <w:szCs w:val="17"/>
                <w:color w:val="auto"/>
              </w:rPr>
            </w:pPr>
          </w:p>
        </w:tc>
        <w:tc>
          <w:tcPr>
            <w:tcW w:w="4920" w:type="dxa"/>
            <w:vAlign w:val="bottom"/>
          </w:tcPr>
          <w:p>
            <w:pPr>
              <w:ind w:left="4360"/>
              <w:spacing w:after="0"/>
              <w:rPr>
                <w:sz w:val="20"/>
                <w:szCs w:val="20"/>
                <w:color w:val="auto"/>
              </w:rPr>
            </w:pPr>
            <w:r>
              <w:rPr>
                <w:rFonts w:ascii="Arial" w:cs="Arial" w:eastAsia="Arial" w:hAnsi="Arial"/>
                <w:sz w:val="17"/>
                <w:szCs w:val="17"/>
                <w:color w:val="auto"/>
              </w:rPr>
              <w:t>Name:</w:t>
            </w:r>
          </w:p>
        </w:tc>
        <w:tc>
          <w:tcPr>
            <w:tcW w:w="38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920" w:type="dxa"/>
            <w:vAlign w:val="bottom"/>
          </w:tcPr>
          <w:p>
            <w:pPr>
              <w:ind w:left="4360"/>
              <w:spacing w:after="0"/>
              <w:rPr>
                <w:sz w:val="20"/>
                <w:szCs w:val="20"/>
                <w:color w:val="auto"/>
              </w:rPr>
            </w:pPr>
            <w:r>
              <w:rPr>
                <w:rFonts w:ascii="Arial" w:cs="Arial" w:eastAsia="Arial" w:hAnsi="Arial"/>
                <w:sz w:val="17"/>
                <w:szCs w:val="17"/>
                <w:color w:val="auto"/>
              </w:rPr>
              <w:t>Title:</w:t>
            </w:r>
          </w:p>
        </w:tc>
        <w:tc>
          <w:tcPr>
            <w:tcW w:w="3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40"/>
          </w:cols>
          <w:pgMar w:left="240" w:top="913" w:right="619"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8460" w:type="dxa"/>
            <w:vAlign w:val="bottom"/>
            <w:gridSpan w:val="3"/>
          </w:tcPr>
          <w:p>
            <w:pPr>
              <w:ind w:left="1700"/>
              <w:spacing w:after="0"/>
              <w:rPr>
                <w:sz w:val="20"/>
                <w:szCs w:val="20"/>
                <w:color w:val="auto"/>
              </w:rPr>
            </w:pPr>
            <w:r>
              <w:rPr>
                <w:rFonts w:ascii="Arial" w:cs="Arial" w:eastAsia="Arial" w:hAnsi="Arial"/>
                <w:sz w:val="17"/>
                <w:szCs w:val="17"/>
                <w:b w:val="1"/>
                <w:bCs w:val="1"/>
                <w:color w:val="auto"/>
              </w:rPr>
              <w:t>[Form of Rights Certificate]</w:t>
            </w:r>
          </w:p>
        </w:tc>
      </w:tr>
      <w:tr>
        <w:trPr>
          <w:trHeight w:val="380"/>
        </w:trPr>
        <w:tc>
          <w:tcPr>
            <w:tcW w:w="2960" w:type="dxa"/>
            <w:vAlign w:val="bottom"/>
          </w:tcPr>
          <w:p>
            <w:pPr>
              <w:spacing w:after="0"/>
              <w:rPr>
                <w:sz w:val="20"/>
                <w:szCs w:val="20"/>
                <w:color w:val="auto"/>
              </w:rPr>
            </w:pPr>
            <w:r>
              <w:rPr>
                <w:rFonts w:ascii="Arial" w:cs="Arial" w:eastAsia="Arial" w:hAnsi="Arial"/>
                <w:sz w:val="17"/>
                <w:szCs w:val="17"/>
                <w:color w:val="auto"/>
              </w:rPr>
              <w:t>Certificate No. R-</w:t>
            </w:r>
          </w:p>
        </w:tc>
        <w:tc>
          <w:tcPr>
            <w:tcW w:w="70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7"/>
                <w:szCs w:val="17"/>
                <w:color w:val="auto"/>
                <w:w w:val="91"/>
              </w:rPr>
              <w:t>Rights</w:t>
            </w:r>
          </w:p>
        </w:tc>
      </w:tr>
    </w:tbl>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NOT EXERCISABLE AFTER ____, 2016 OR EARLIER IF REDEEMED OR EXCHANGED BY THE COMPANY. THE RIGHTS ARE SUBJECT TO</w:t>
      </w:r>
    </w:p>
    <w:p>
      <w:pPr>
        <w:spacing w:after="0" w:line="26"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REDEMPTION AT $.001 PER RIGHT AND TO EXCHANGE ON THE TERMS SET FORTH IN THE RIGHTS AGREEMENT. UNDER CERTAIN CIRCUMSTANCES, RIGHTS BENEFICIALLY OWNED BY AN ACQUIRING PERSON (AS SUCH TERM IS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w:t>
      </w:r>
      <w:r>
        <w:rPr>
          <w:rFonts w:ascii="Arial" w:cs="Arial" w:eastAsia="Arial" w:hAnsi="Arial"/>
          <w:sz w:val="14"/>
          <w:szCs w:val="14"/>
          <w:color w:val="auto"/>
        </w:rPr>
        <w:t>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40" w:type="dxa"/>
            <w:vAlign w:val="bottom"/>
            <w:gridSpan w:val="3"/>
          </w:tcPr>
          <w:p>
            <w:pPr>
              <w:jc w:val="center"/>
              <w:ind w:right="1993"/>
              <w:spacing w:after="0"/>
              <w:rPr>
                <w:sz w:val="20"/>
                <w:szCs w:val="20"/>
                <w:color w:val="auto"/>
              </w:rPr>
            </w:pPr>
            <w:r>
              <w:rPr>
                <w:rFonts w:ascii="Arial" w:cs="Arial" w:eastAsia="Arial" w:hAnsi="Arial"/>
                <w:sz w:val="17"/>
                <w:szCs w:val="17"/>
                <w:b w:val="1"/>
                <w:bCs w:val="1"/>
                <w:color w:val="auto"/>
              </w:rPr>
              <w:t>EMERGENT BIOSOLUTIONS INC.</w:t>
            </w:r>
          </w:p>
        </w:tc>
      </w:tr>
      <w:tr>
        <w:trPr>
          <w:trHeight w:val="314"/>
        </w:trPr>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60" w:type="dxa"/>
            <w:vAlign w:val="bottom"/>
            <w:gridSpan w:val="2"/>
          </w:tcPr>
          <w:p>
            <w:pPr>
              <w:jc w:val="center"/>
              <w:ind w:left="2813"/>
              <w:spacing w:after="0"/>
              <w:rPr>
                <w:sz w:val="20"/>
                <w:szCs w:val="20"/>
                <w:color w:val="auto"/>
              </w:rPr>
            </w:pPr>
            <w:r>
              <w:rPr>
                <w:rFonts w:ascii="Arial" w:cs="Arial" w:eastAsia="Arial" w:hAnsi="Arial"/>
                <w:sz w:val="17"/>
                <w:szCs w:val="17"/>
                <w:b w:val="1"/>
                <w:bCs w:val="1"/>
                <w:color w:val="auto"/>
                <w:w w:val="93"/>
              </w:rPr>
              <w:t>Rights Certificate</w:t>
            </w:r>
          </w:p>
        </w:tc>
        <w:tc>
          <w:tcPr>
            <w:tcW w:w="4980" w:type="dxa"/>
            <w:vAlign w:val="bottom"/>
          </w:tcPr>
          <w:p>
            <w:pPr>
              <w:spacing w:after="0"/>
              <w:rPr>
                <w:sz w:val="24"/>
                <w:szCs w:val="24"/>
                <w:color w:val="auto"/>
              </w:rPr>
            </w:pPr>
          </w:p>
        </w:tc>
      </w:tr>
      <w:tr>
        <w:trPr>
          <w:trHeight w:val="275"/>
        </w:trPr>
        <w:tc>
          <w:tcPr>
            <w:tcW w:w="1260" w:type="dxa"/>
            <w:vAlign w:val="bottom"/>
          </w:tcPr>
          <w:p>
            <w:pPr>
              <w:spacing w:after="0"/>
              <w:rPr>
                <w:sz w:val="20"/>
                <w:szCs w:val="20"/>
                <w:color w:val="auto"/>
              </w:rPr>
            </w:pPr>
            <w:r>
              <w:rPr>
                <w:rFonts w:ascii="Arial" w:cs="Arial" w:eastAsia="Arial" w:hAnsi="Arial"/>
                <w:sz w:val="17"/>
                <w:szCs w:val="17"/>
                <w:color w:val="auto"/>
                <w:w w:val="96"/>
              </w:rPr>
              <w:t>This certifies that</w:t>
            </w:r>
          </w:p>
        </w:tc>
        <w:tc>
          <w:tcPr>
            <w:tcW w:w="880" w:type="dxa"/>
            <w:vAlign w:val="bottom"/>
            <w:tcBorders>
              <w:bottom w:val="single" w:sz="8" w:color="auto"/>
            </w:tcBorders>
          </w:tcPr>
          <w:p>
            <w:pPr>
              <w:spacing w:after="0"/>
              <w:rPr>
                <w:sz w:val="23"/>
                <w:szCs w:val="23"/>
                <w:color w:val="auto"/>
              </w:rPr>
            </w:pPr>
          </w:p>
        </w:tc>
        <w:tc>
          <w:tcPr>
            <w:tcW w:w="9240" w:type="dxa"/>
            <w:vAlign w:val="bottom"/>
            <w:gridSpan w:val="3"/>
          </w:tcPr>
          <w:p>
            <w:pPr>
              <w:spacing w:after="0"/>
              <w:rPr>
                <w:sz w:val="20"/>
                <w:szCs w:val="20"/>
                <w:color w:val="auto"/>
              </w:rPr>
            </w:pPr>
            <w:r>
              <w:rPr>
                <w:rFonts w:ascii="Arial" w:cs="Arial" w:eastAsia="Arial" w:hAnsi="Arial"/>
                <w:sz w:val="17"/>
                <w:szCs w:val="17"/>
                <w:color w:val="auto"/>
                <w:w w:val="95"/>
              </w:rPr>
              <w:t>, or registered assigns, is the registered owner of the number of Rights set forth above, each of which entitles the owner thereof,</w:t>
            </w:r>
          </w:p>
        </w:tc>
      </w:tr>
      <w:tr>
        <w:trPr>
          <w:trHeight w:val="190"/>
        </w:trPr>
        <w:tc>
          <w:tcPr>
            <w:tcW w:w="5520" w:type="dxa"/>
            <w:vAlign w:val="bottom"/>
            <w:gridSpan w:val="3"/>
          </w:tcPr>
          <w:p>
            <w:pPr>
              <w:spacing w:after="0" w:line="189" w:lineRule="exact"/>
              <w:rPr>
                <w:sz w:val="20"/>
                <w:szCs w:val="20"/>
                <w:color w:val="auto"/>
              </w:rPr>
            </w:pPr>
            <w:r>
              <w:rPr>
                <w:rFonts w:ascii="Arial" w:cs="Arial" w:eastAsia="Arial" w:hAnsi="Arial"/>
                <w:sz w:val="17"/>
                <w:szCs w:val="17"/>
                <w:color w:val="auto"/>
                <w:w w:val="93"/>
              </w:rPr>
              <w:t>subject to the terms, provisions and conditions of the Rights Agreement, dated</w:t>
            </w:r>
          </w:p>
        </w:tc>
        <w:tc>
          <w:tcPr>
            <w:tcW w:w="880" w:type="dxa"/>
            <w:vAlign w:val="bottom"/>
            <w:tcBorders>
              <w:bottom w:val="single" w:sz="8" w:color="auto"/>
            </w:tcBorders>
          </w:tcPr>
          <w:p>
            <w:pPr>
              <w:spacing w:after="0"/>
              <w:rPr>
                <w:sz w:val="16"/>
                <w:szCs w:val="16"/>
                <w:color w:val="auto"/>
              </w:rPr>
            </w:pPr>
          </w:p>
        </w:tc>
        <w:tc>
          <w:tcPr>
            <w:tcW w:w="4980" w:type="dxa"/>
            <w:vAlign w:val="bottom"/>
          </w:tcPr>
          <w:p>
            <w:pPr>
              <w:spacing w:after="0" w:line="189" w:lineRule="exact"/>
              <w:rPr>
                <w:sz w:val="20"/>
                <w:szCs w:val="20"/>
                <w:color w:val="auto"/>
              </w:rPr>
            </w:pPr>
            <w:r>
              <w:rPr>
                <w:rFonts w:ascii="Arial" w:cs="Arial" w:eastAsia="Arial" w:hAnsi="Arial"/>
                <w:sz w:val="17"/>
                <w:szCs w:val="17"/>
                <w:color w:val="auto"/>
                <w:w w:val="94"/>
              </w:rPr>
              <w:t>, 2006 (the “Rights Agreement”), between Emergent BioSolutions Inc.,</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 (the “Company”), and American Stock Transfer &amp; Trust Company, as rights agent (the “Rights Agent”), to purchase from the Company</w:t>
      </w:r>
    </w:p>
    <w:p>
      <w:pPr>
        <w:spacing w:after="0" w:line="38" w:lineRule="exact"/>
        <w:rPr>
          <w:sz w:val="20"/>
          <w:szCs w:val="20"/>
          <w:color w:val="auto"/>
        </w:rPr>
      </w:pPr>
    </w:p>
    <w:p>
      <w:pPr>
        <w:spacing w:after="0"/>
        <w:tabs>
          <w:tab w:leader="none" w:pos="10080" w:val="left"/>
        </w:tabs>
        <w:rPr>
          <w:sz w:val="20"/>
          <w:szCs w:val="20"/>
          <w:color w:val="auto"/>
        </w:rPr>
      </w:pPr>
      <w:r>
        <w:rPr>
          <w:rFonts w:ascii="Arial" w:cs="Arial" w:eastAsia="Arial" w:hAnsi="Arial"/>
          <w:sz w:val="17"/>
          <w:szCs w:val="17"/>
          <w:color w:val="auto"/>
        </w:rPr>
        <w:t>after the Distribution Date (as such term is defined in the Rights Agreement) and at any time prior to 5:00 p.m. (New York time) on</w:t>
      </w:r>
      <w:r>
        <w:rPr>
          <w:sz w:val="20"/>
          <w:szCs w:val="20"/>
          <w:color w:val="auto"/>
        </w:rPr>
        <w:tab/>
      </w:r>
      <w:r>
        <w:rPr>
          <w:rFonts w:ascii="Arial" w:cs="Arial" w:eastAsia="Arial" w:hAnsi="Arial"/>
          <w:sz w:val="16"/>
          <w:szCs w:val="16"/>
          <w:color w:val="auto"/>
        </w:rPr>
        <w:t>, 2016 at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5861050</wp:posOffset>
            </wp:positionH>
            <wp:positionV relativeFrom="paragraph">
              <wp:posOffset>-15240</wp:posOffset>
            </wp:positionV>
            <wp:extent cx="5543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ind w:right="20"/>
        <w:spacing w:after="0" w:line="291" w:lineRule="auto"/>
        <w:rPr>
          <w:sz w:val="20"/>
          <w:szCs w:val="20"/>
          <w:color w:val="auto"/>
        </w:rPr>
      </w:pPr>
      <w:r>
        <w:rPr>
          <w:rFonts w:ascii="Arial" w:cs="Arial" w:eastAsia="Arial" w:hAnsi="Arial"/>
          <w:sz w:val="15"/>
          <w:szCs w:val="15"/>
          <w:color w:val="auto"/>
        </w:rPr>
        <w:t>of the Rights Agent designated for such purpose, or its successors as Rights Agent, one one-thousandth of a fully paid, non-assessable share of Series A Junior Participating Preferred Stock (the “Preferred Stock”) of the Company, $.001 par value per share, at a purchase price of $___ in cash per one one-thousandth of a share (the “Purchase Price”), upon presentation and surrender of this Rights Certificate with the Form of Election to Purchase and related Certificate duly executed. The number of Rights evidenced by this Rights Certificate (and the number of one one-thousandth of a share of Preferred Stock which may be purchased</w:t>
      </w:r>
    </w:p>
    <w:tbl>
      <w:tblPr>
        <w:tblLayout w:type="fixed"/>
        <w:tblInd w:w="0" w:type="dxa"/>
        <w:tblCellMar>
          <w:top w:w="0" w:type="dxa"/>
          <w:left w:w="0" w:type="dxa"/>
          <w:bottom w:w="0" w:type="dxa"/>
          <w:right w:w="0" w:type="dxa"/>
        </w:tblCellMar>
      </w:tblPr>
      <w:tr>
        <w:trPr>
          <w:trHeight w:val="172"/>
        </w:trPr>
        <w:tc>
          <w:tcPr>
            <w:tcW w:w="9980" w:type="dxa"/>
            <w:vAlign w:val="bottom"/>
          </w:tcPr>
          <w:p>
            <w:pPr>
              <w:spacing w:after="0" w:line="172" w:lineRule="exact"/>
              <w:rPr>
                <w:sz w:val="20"/>
                <w:szCs w:val="20"/>
                <w:color w:val="auto"/>
              </w:rPr>
            </w:pPr>
            <w:r>
              <w:rPr>
                <w:rFonts w:ascii="Arial" w:cs="Arial" w:eastAsia="Arial" w:hAnsi="Arial"/>
                <w:sz w:val="17"/>
                <w:szCs w:val="17"/>
                <w:color w:val="auto"/>
                <w:w w:val="91"/>
              </w:rPr>
              <w:t>upon exercise hereof) set forth above, and the Purchase Price set forth above, are the number and Purchase Price as of the close of business on</w:t>
            </w:r>
          </w:p>
        </w:tc>
        <w:tc>
          <w:tcPr>
            <w:tcW w:w="1360" w:type="dxa"/>
            <w:vAlign w:val="bottom"/>
            <w:gridSpan w:val="2"/>
          </w:tcPr>
          <w:p>
            <w:pPr>
              <w:jc w:val="right"/>
              <w:spacing w:after="0" w:line="172" w:lineRule="exact"/>
              <w:rPr>
                <w:sz w:val="20"/>
                <w:szCs w:val="20"/>
                <w:color w:val="auto"/>
              </w:rPr>
            </w:pPr>
            <w:r>
              <w:rPr>
                <w:rFonts w:ascii="Arial" w:cs="Arial" w:eastAsia="Arial" w:hAnsi="Arial"/>
                <w:sz w:val="17"/>
                <w:szCs w:val="17"/>
                <w:color w:val="auto"/>
              </w:rPr>
              <w:t>, 2006,</w:t>
            </w:r>
          </w:p>
        </w:tc>
      </w:tr>
      <w:tr>
        <w:trPr>
          <w:trHeight w:val="228"/>
        </w:trPr>
        <w:tc>
          <w:tcPr>
            <w:tcW w:w="9980" w:type="dxa"/>
            <w:vAlign w:val="bottom"/>
          </w:tcPr>
          <w:p>
            <w:pPr>
              <w:spacing w:after="0"/>
              <w:rPr>
                <w:sz w:val="20"/>
                <w:szCs w:val="20"/>
                <w:color w:val="auto"/>
              </w:rPr>
            </w:pPr>
            <w:r>
              <w:rPr>
                <w:rFonts w:ascii="Arial" w:cs="Arial" w:eastAsia="Arial" w:hAnsi="Arial"/>
                <w:sz w:val="17"/>
                <w:szCs w:val="17"/>
                <w:color w:val="auto"/>
              </w:rPr>
              <w:t>based on the Preferred Stock as constituted at such date. Capitalized</w:t>
            </w: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13055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35" w:lineRule="exact"/>
        <w:rPr>
          <w:sz w:val="20"/>
          <w:szCs w:val="20"/>
          <w:color w:val="auto"/>
        </w:rPr>
      </w:pPr>
    </w:p>
    <w:p>
      <w:pPr>
        <w:ind w:left="5580" w:right="3060" w:hanging="5575"/>
        <w:spacing w:after="0" w:line="498" w:lineRule="auto"/>
        <w:tabs>
          <w:tab w:leader="none" w:pos="447" w:val="left"/>
        </w:tabs>
        <w:numPr>
          <w:ilvl w:val="0"/>
          <w:numId w:val="302"/>
        </w:numPr>
        <w:rPr>
          <w:rFonts w:ascii="Arial" w:cs="Arial" w:eastAsia="Arial" w:hAnsi="Arial"/>
          <w:sz w:val="15"/>
          <w:szCs w:val="15"/>
          <w:color w:val="auto"/>
        </w:rPr>
      </w:pPr>
      <w:r>
        <w:rPr>
          <w:rFonts w:ascii="Arial" w:cs="Arial" w:eastAsia="Arial" w:hAnsi="Arial"/>
          <w:sz w:val="17"/>
          <w:szCs w:val="17"/>
          <w:color w:val="auto"/>
        </w:rPr>
        <w:t>The portion of the legend in brackets shall be inserted only if applicable and shall replace the preceding sentence.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7254875" cy="209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359" w:name="page360"/>
    <w:bookmarkEnd w:id="359"/>
    <w:p>
      <w:pPr>
        <w:spacing w:after="0"/>
        <w:rPr>
          <w:sz w:val="20"/>
          <w:szCs w:val="20"/>
          <w:color w:val="auto"/>
        </w:rPr>
      </w:pPr>
      <w:r>
        <w:rPr>
          <w:rFonts w:ascii="Arial" w:cs="Arial" w:eastAsia="Arial" w:hAnsi="Arial"/>
          <w:sz w:val="17"/>
          <w:szCs w:val="17"/>
          <w:color w:val="auto"/>
        </w:rPr>
        <w:t>terms used herein and not otherwise defined herein shall have the meanings ascribed to such terms in the Rights Agreement.</w:t>
      </w:r>
    </w:p>
    <w:p>
      <w:pPr>
        <w:spacing w:after="0" w:line="11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Upon the occurrence of a Section 11(a)(ii) Event, if the Rights evidenced by this Rights Certificate are beneficially owned by (i) an Acquiring Person or an Affiliate or Associate of any such Acquiring Person (as such terms are defined in the Rights Agreement), (ii) a transferee of any such Acquiring Person, Associate or Affiliate who becomes a transferee after the Acquiring Person becomes an Acquiring Person, or (iii) under certain circumstances specified in the Rights Agreement, a transferee of a person who, concurrently with or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7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provided in the Rights Agreement, the Purchase Price and the number and kind of shares of Preferred Stock or other securities which may be purchased upon the exercise of the Rights evidenced by this Rights Certificate are subject to modification and adjustment upon the happening of certain events, including Section 11(a)(ii) Events.</w:t>
      </w:r>
    </w:p>
    <w:p>
      <w:pPr>
        <w:spacing w:after="0" w:line="6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offices of the Company and are available upon written request to the Company.</w:t>
      </w:r>
    </w:p>
    <w:p>
      <w:pPr>
        <w:spacing w:after="0" w:line="7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Rights Certificate, with or without other Rights Certificates, upon surrender at the office of the Rights Agent designated for such purpose, with the Form of Election and Certificate set forth on the reverse side duly executed, may be exchanged for another Rights Certificate or Rights Certificates of like tenor and date evidencing Rights entitling the holder to purchase a like aggregate number of one one-thousandths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6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Subject to the provisions of the Rights Agreement, the Rights evidenced by this Certificate may be redeemed by the Company at its option at a redemption price of $0.001 per Right at any time prior to the earlier of (i) the close of business on the tenth Business Day (or such later date as may be determined by the Board pursuant to clause (i) of the first sentence of Section 3(a) with respect to the Distribution Date) following the Stock Acquisition Date (or, if the Stock Acquisition Date shall have occurred prior to the Record Date, the close of business on the tenth Business Day following the Record Date) and (ii) the Final Expiration Date.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60" w:name="page361"/>
    <w:bookmarkEnd w:id="360"/>
    <w:p>
      <w:pPr>
        <w:jc w:val="both"/>
        <w:ind w:right="260"/>
        <w:spacing w:after="0" w:line="273" w:lineRule="auto"/>
        <w:rPr>
          <w:sz w:val="20"/>
          <w:szCs w:val="20"/>
          <w:color w:val="auto"/>
        </w:rPr>
      </w:pPr>
      <w:r>
        <w:rPr>
          <w:rFonts w:ascii="Arial" w:cs="Arial" w:eastAsia="Arial" w:hAnsi="Arial"/>
          <w:sz w:val="17"/>
          <w:szCs w:val="17"/>
          <w:color w:val="auto"/>
        </w:rPr>
        <w:t>Subject to the provisions of the Rights Agreement, the Company may, at its option, at any time after a Section 11(a)(ii) Event, exchange all or part of the Rights evidenced by this Certificate for shares of the Company’s Common Stock or for Preferred Stock (or shares of a class or series of the Company’s preferred stock having the same rights, privileges and preferences as the Preferred Stock).</w:t>
      </w:r>
    </w:p>
    <w:p>
      <w:pPr>
        <w:spacing w:after="0" w:line="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No fractional shares of Preferred Stock will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w:t>
      </w:r>
    </w:p>
    <w:p>
      <w:pPr>
        <w:spacing w:after="0" w:line="66"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No holder of this Rights Certificate, as such,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This Rights Certificate shall not be valid or obligatory for any purpose until it shall have been countersigned by the Rights Agent.</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WITNESS the facsimile signature of the proper officers of the Company and its corporate seal.</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 w:type="dxa"/>
            <w:vAlign w:val="bottom"/>
            <w:gridSpan w:val="2"/>
          </w:tcPr>
          <w:p>
            <w:pPr>
              <w:spacing w:after="0"/>
              <w:rPr>
                <w:sz w:val="20"/>
                <w:szCs w:val="20"/>
                <w:color w:val="auto"/>
              </w:rPr>
            </w:pPr>
            <w:r>
              <w:rPr>
                <w:rFonts w:ascii="Arial" w:cs="Arial" w:eastAsia="Arial" w:hAnsi="Arial"/>
                <w:sz w:val="17"/>
                <w:szCs w:val="17"/>
                <w:color w:val="auto"/>
                <w:w w:val="94"/>
              </w:rPr>
              <w:t>Dated as of</w:t>
            </w:r>
          </w:p>
        </w:tc>
        <w:tc>
          <w:tcPr>
            <w:tcW w:w="880" w:type="dxa"/>
            <w:vAlign w:val="bottom"/>
            <w:tcBorders>
              <w:bottom w:val="single" w:sz="8" w:color="auto"/>
            </w:tcBorders>
          </w:tcPr>
          <w:p>
            <w:pPr>
              <w:spacing w:after="0"/>
              <w:rPr>
                <w:sz w:val="16"/>
                <w:szCs w:val="16"/>
                <w:color w:val="auto"/>
              </w:rPr>
            </w:pPr>
          </w:p>
        </w:tc>
        <w:tc>
          <w:tcPr>
            <w:tcW w:w="2660" w:type="dxa"/>
            <w:vAlign w:val="bottom"/>
            <w:gridSpan w:val="2"/>
          </w:tcPr>
          <w:p>
            <w:pPr>
              <w:spacing w:after="0"/>
              <w:rPr>
                <w:sz w:val="16"/>
                <w:szCs w:val="16"/>
                <w:color w:val="auto"/>
              </w:rPr>
            </w:pPr>
          </w:p>
        </w:tc>
        <w:tc>
          <w:tcPr>
            <w:tcW w:w="15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438"/>
        </w:trPr>
        <w:tc>
          <w:tcPr>
            <w:tcW w:w="4380" w:type="dxa"/>
            <w:vAlign w:val="bottom"/>
            <w:gridSpan w:val="5"/>
          </w:tcPr>
          <w:p>
            <w:pPr>
              <w:spacing w:after="0"/>
              <w:rPr>
                <w:sz w:val="20"/>
                <w:szCs w:val="20"/>
                <w:color w:val="auto"/>
              </w:rPr>
            </w:pPr>
            <w:r>
              <w:rPr>
                <w:rFonts w:ascii="Arial" w:cs="Arial" w:eastAsia="Arial" w:hAnsi="Arial"/>
                <w:sz w:val="17"/>
                <w:szCs w:val="17"/>
                <w:color w:val="auto"/>
              </w:rPr>
              <w:t>ATTEST:</w:t>
            </w:r>
          </w:p>
        </w:tc>
        <w:tc>
          <w:tcPr>
            <w:tcW w:w="5440" w:type="dxa"/>
            <w:vAlign w:val="bottom"/>
            <w:gridSpan w:val="2"/>
          </w:tcPr>
          <w:p>
            <w:pPr>
              <w:ind w:left="1120"/>
              <w:spacing w:after="0"/>
              <w:rPr>
                <w:sz w:val="20"/>
                <w:szCs w:val="20"/>
                <w:color w:val="auto"/>
              </w:rPr>
            </w:pPr>
            <w:r>
              <w:rPr>
                <w:rFonts w:ascii="Arial" w:cs="Arial" w:eastAsia="Arial" w:hAnsi="Arial"/>
                <w:sz w:val="17"/>
                <w:szCs w:val="17"/>
                <w:color w:val="auto"/>
              </w:rPr>
              <w:t>EMERGENT BIOSOLUTIONS INC.</w:t>
            </w:r>
          </w:p>
        </w:tc>
        <w:tc>
          <w:tcPr>
            <w:tcW w:w="1600" w:type="dxa"/>
            <w:vAlign w:val="bottom"/>
          </w:tcPr>
          <w:p>
            <w:pPr>
              <w:spacing w:after="0"/>
              <w:rPr>
                <w:sz w:val="24"/>
                <w:szCs w:val="24"/>
                <w:color w:val="auto"/>
              </w:rPr>
            </w:pPr>
          </w:p>
        </w:tc>
      </w:tr>
      <w:tr>
        <w:trPr>
          <w:trHeight w:val="413"/>
        </w:trPr>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440" w:type="dxa"/>
            <w:vAlign w:val="bottom"/>
            <w:gridSpan w:val="2"/>
          </w:tcPr>
          <w:p>
            <w:pPr>
              <w:ind w:left="1120"/>
              <w:spacing w:after="0"/>
              <w:rPr>
                <w:sz w:val="20"/>
                <w:szCs w:val="20"/>
                <w:color w:val="auto"/>
              </w:rPr>
            </w:pPr>
            <w:r>
              <w:rPr>
                <w:rFonts w:ascii="Arial" w:cs="Arial" w:eastAsia="Arial" w:hAnsi="Arial"/>
                <w:sz w:val="17"/>
                <w:szCs w:val="17"/>
                <w:color w:val="auto"/>
              </w:rPr>
              <w:t>By:</w:t>
            </w:r>
          </w:p>
        </w:tc>
        <w:tc>
          <w:tcPr>
            <w:tcW w:w="1600" w:type="dxa"/>
            <w:vAlign w:val="bottom"/>
          </w:tcPr>
          <w:p>
            <w:pPr>
              <w:spacing w:after="0"/>
              <w:rPr>
                <w:sz w:val="24"/>
                <w:szCs w:val="24"/>
                <w:color w:val="auto"/>
              </w:rPr>
            </w:pPr>
          </w:p>
        </w:tc>
      </w:tr>
      <w:tr>
        <w:trPr>
          <w:trHeight w:val="183"/>
        </w:trPr>
        <w:tc>
          <w:tcPr>
            <w:tcW w:w="4380" w:type="dxa"/>
            <w:vAlign w:val="bottom"/>
            <w:gridSpan w:val="5"/>
          </w:tcPr>
          <w:p>
            <w:pPr>
              <w:spacing w:after="0" w:line="183" w:lineRule="exact"/>
              <w:rPr>
                <w:sz w:val="20"/>
                <w:szCs w:val="20"/>
                <w:color w:val="auto"/>
              </w:rPr>
            </w:pPr>
            <w:r>
              <w:rPr>
                <w:rFonts w:ascii="Arial" w:cs="Arial" w:eastAsia="Arial" w:hAnsi="Arial"/>
                <w:sz w:val="17"/>
                <w:szCs w:val="17"/>
                <w:color w:val="auto"/>
              </w:rPr>
              <w:t>Secretary</w:t>
            </w:r>
          </w:p>
        </w:tc>
        <w:tc>
          <w:tcPr>
            <w:tcW w:w="1540" w:type="dxa"/>
            <w:vAlign w:val="bottom"/>
          </w:tcPr>
          <w:p>
            <w:pPr>
              <w:ind w:left="1120"/>
              <w:spacing w:after="0" w:line="183" w:lineRule="exact"/>
              <w:rPr>
                <w:sz w:val="20"/>
                <w:szCs w:val="20"/>
                <w:color w:val="auto"/>
              </w:rPr>
            </w:pPr>
            <w:r>
              <w:rPr>
                <w:rFonts w:ascii="Arial" w:cs="Arial" w:eastAsia="Arial" w:hAnsi="Arial"/>
                <w:sz w:val="17"/>
                <w:szCs w:val="17"/>
                <w:color w:val="auto"/>
              </w:rPr>
              <w:t>Title:</w:t>
            </w:r>
          </w:p>
        </w:tc>
        <w:tc>
          <w:tcPr>
            <w:tcW w:w="3900" w:type="dxa"/>
            <w:vAlign w:val="bottom"/>
            <w:tcBorders>
              <w:top w:val="single" w:sz="8" w:color="auto"/>
              <w:bottom w:val="single" w:sz="8" w:color="auto"/>
            </w:tcBorders>
          </w:tcPr>
          <w:p>
            <w:pPr>
              <w:spacing w:after="0"/>
              <w:rPr>
                <w:sz w:val="15"/>
                <w:szCs w:val="15"/>
                <w:color w:val="auto"/>
              </w:rPr>
            </w:pPr>
          </w:p>
        </w:tc>
        <w:tc>
          <w:tcPr>
            <w:tcW w:w="1600" w:type="dxa"/>
            <w:vAlign w:val="bottom"/>
          </w:tcPr>
          <w:p>
            <w:pPr>
              <w:spacing w:after="0"/>
              <w:rPr>
                <w:sz w:val="15"/>
                <w:szCs w:val="15"/>
                <w:color w:val="auto"/>
              </w:rPr>
            </w:pPr>
          </w:p>
        </w:tc>
      </w:tr>
      <w:tr>
        <w:trPr>
          <w:trHeight w:val="412"/>
        </w:trPr>
        <w:tc>
          <w:tcPr>
            <w:tcW w:w="4380" w:type="dxa"/>
            <w:vAlign w:val="bottom"/>
            <w:gridSpan w:val="5"/>
          </w:tcPr>
          <w:p>
            <w:pPr>
              <w:spacing w:after="0"/>
              <w:rPr>
                <w:sz w:val="20"/>
                <w:szCs w:val="20"/>
                <w:color w:val="auto"/>
              </w:rPr>
            </w:pPr>
            <w:r>
              <w:rPr>
                <w:rFonts w:ascii="Arial" w:cs="Arial" w:eastAsia="Arial" w:hAnsi="Arial"/>
                <w:sz w:val="17"/>
                <w:szCs w:val="17"/>
                <w:color w:val="auto"/>
              </w:rPr>
              <w:t>COUNTERSIGNED:</w:t>
            </w:r>
          </w:p>
        </w:tc>
        <w:tc>
          <w:tcPr>
            <w:tcW w:w="1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7"/>
        </w:trPr>
        <w:tc>
          <w:tcPr>
            <w:tcW w:w="4380" w:type="dxa"/>
            <w:vAlign w:val="bottom"/>
            <w:gridSpan w:val="5"/>
          </w:tcPr>
          <w:p>
            <w:pPr>
              <w:spacing w:after="0"/>
              <w:rPr>
                <w:sz w:val="20"/>
                <w:szCs w:val="20"/>
                <w:color w:val="auto"/>
              </w:rPr>
            </w:pPr>
            <w:r>
              <w:rPr>
                <w:rFonts w:ascii="Arial" w:cs="Arial" w:eastAsia="Arial" w:hAnsi="Arial"/>
                <w:sz w:val="17"/>
                <w:szCs w:val="17"/>
                <w:color w:val="auto"/>
              </w:rPr>
              <w:t>AMERICAN STOCK TRANSFER &amp; TRUST COMPANY,</w:t>
            </w:r>
          </w:p>
        </w:tc>
        <w:tc>
          <w:tcPr>
            <w:tcW w:w="1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2"/>
        </w:trPr>
        <w:tc>
          <w:tcPr>
            <w:tcW w:w="4380" w:type="dxa"/>
            <w:vAlign w:val="bottom"/>
            <w:gridSpan w:val="5"/>
          </w:tcPr>
          <w:p>
            <w:pPr>
              <w:spacing w:after="0"/>
              <w:rPr>
                <w:sz w:val="20"/>
                <w:szCs w:val="20"/>
                <w:color w:val="auto"/>
              </w:rPr>
            </w:pPr>
            <w:r>
              <w:rPr>
                <w:rFonts w:ascii="Arial" w:cs="Arial" w:eastAsia="Arial" w:hAnsi="Arial"/>
                <w:sz w:val="17"/>
                <w:szCs w:val="17"/>
                <w:color w:val="auto"/>
              </w:rPr>
              <w:t>AS RIGHTS AGENT</w:t>
            </w:r>
          </w:p>
        </w:tc>
        <w:tc>
          <w:tcPr>
            <w:tcW w:w="15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19"/>
        </w:trPr>
        <w:tc>
          <w:tcPr>
            <w:tcW w:w="340" w:type="dxa"/>
            <w:vAlign w:val="bottom"/>
          </w:tcPr>
          <w:p>
            <w:pPr>
              <w:spacing w:after="0"/>
              <w:rPr>
                <w:sz w:val="20"/>
                <w:szCs w:val="20"/>
                <w:color w:val="auto"/>
              </w:rPr>
            </w:pPr>
            <w:r>
              <w:rPr>
                <w:rFonts w:ascii="Arial" w:cs="Arial" w:eastAsia="Arial" w:hAnsi="Arial"/>
                <w:sz w:val="17"/>
                <w:szCs w:val="17"/>
                <w:color w:val="auto"/>
              </w:rPr>
              <w:t>By:</w:t>
            </w:r>
          </w:p>
        </w:tc>
        <w:tc>
          <w:tcPr>
            <w:tcW w:w="4040" w:type="dxa"/>
            <w:vAlign w:val="bottom"/>
            <w:tcBorders>
              <w:bottom w:val="single" w:sz="8" w:color="auto"/>
            </w:tcBorders>
            <w:gridSpan w:val="4"/>
          </w:tcPr>
          <w:p>
            <w:pPr>
              <w:spacing w:after="0"/>
              <w:rPr>
                <w:sz w:val="24"/>
                <w:szCs w:val="24"/>
                <w:color w:val="auto"/>
              </w:rPr>
            </w:pPr>
          </w:p>
        </w:tc>
        <w:tc>
          <w:tcPr>
            <w:tcW w:w="1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5"/>
        </w:trPr>
        <w:tc>
          <w:tcPr>
            <w:tcW w:w="4380" w:type="dxa"/>
            <w:vAlign w:val="bottom"/>
            <w:gridSpan w:val="5"/>
          </w:tcPr>
          <w:p>
            <w:pPr>
              <w:spacing w:after="0"/>
              <w:rPr>
                <w:sz w:val="20"/>
                <w:szCs w:val="20"/>
                <w:color w:val="auto"/>
              </w:rPr>
            </w:pPr>
            <w:r>
              <w:rPr>
                <w:rFonts w:ascii="Arial" w:cs="Arial" w:eastAsia="Arial" w:hAnsi="Arial"/>
                <w:sz w:val="17"/>
                <w:szCs w:val="17"/>
                <w:color w:val="auto"/>
              </w:rPr>
              <w:t>Authorized Signature</w:t>
            </w:r>
          </w:p>
        </w:tc>
        <w:tc>
          <w:tcPr>
            <w:tcW w:w="15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590"/>
        </w:trPr>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40" w:type="dxa"/>
            <w:vAlign w:val="bottom"/>
            <w:gridSpan w:val="2"/>
          </w:tcPr>
          <w:p>
            <w:pPr>
              <w:ind w:left="1200"/>
              <w:spacing w:after="0"/>
              <w:rPr>
                <w:sz w:val="20"/>
                <w:szCs w:val="20"/>
                <w:color w:val="auto"/>
              </w:rPr>
            </w:pPr>
            <w:r>
              <w:rPr>
                <w:rFonts w:ascii="Arial" w:cs="Arial" w:eastAsia="Arial" w:hAnsi="Arial"/>
                <w:sz w:val="17"/>
                <w:szCs w:val="17"/>
                <w:color w:val="auto"/>
              </w:rPr>
              <w:t>B-3</w:t>
            </w:r>
          </w:p>
        </w:tc>
        <w:tc>
          <w:tcPr>
            <w:tcW w:w="1600" w:type="dxa"/>
            <w:vAlign w:val="bottom"/>
          </w:tcPr>
          <w:p>
            <w:pPr>
              <w:spacing w:after="0"/>
              <w:rPr>
                <w:sz w:val="24"/>
                <w:szCs w:val="24"/>
                <w:color w:val="auto"/>
              </w:rPr>
            </w:pPr>
          </w:p>
        </w:tc>
      </w:tr>
      <w:tr>
        <w:trPr>
          <w:trHeight w:val="220"/>
        </w:trPr>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61" w:name="page362"/>
    <w:bookmarkEnd w:id="361"/>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40" w:type="dxa"/>
            <w:vAlign w:val="bottom"/>
            <w:gridSpan w:val="4"/>
          </w:tcPr>
          <w:p>
            <w:pPr>
              <w:jc w:val="center"/>
              <w:ind w:left="1893"/>
              <w:spacing w:after="0"/>
              <w:rPr>
                <w:sz w:val="20"/>
                <w:szCs w:val="20"/>
                <w:color w:val="auto"/>
              </w:rPr>
            </w:pPr>
            <w:r>
              <w:rPr>
                <w:rFonts w:ascii="Arial" w:cs="Arial" w:eastAsia="Arial" w:hAnsi="Arial"/>
                <w:sz w:val="17"/>
                <w:szCs w:val="17"/>
                <w:color w:val="auto"/>
                <w:w w:val="94"/>
              </w:rPr>
              <w:t>[Form of Reverse Side of Rights Certificate]</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14"/>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4"/>
          </w:tcPr>
          <w:p>
            <w:pPr>
              <w:jc w:val="center"/>
              <w:ind w:left="1913"/>
              <w:spacing w:after="0"/>
              <w:rPr>
                <w:sz w:val="20"/>
                <w:szCs w:val="20"/>
                <w:color w:val="auto"/>
              </w:rPr>
            </w:pPr>
            <w:r>
              <w:rPr>
                <w:rFonts w:ascii="Arial" w:cs="Arial" w:eastAsia="Arial" w:hAnsi="Arial"/>
                <w:sz w:val="17"/>
                <w:szCs w:val="17"/>
                <w:b w:val="1"/>
                <w:bCs w:val="1"/>
                <w:color w:val="auto"/>
              </w:rPr>
              <w:t>FORM OF ASSIGNMENT</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02"/>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4"/>
          </w:tcPr>
          <w:p>
            <w:pPr>
              <w:jc w:val="center"/>
              <w:ind w:left="1913"/>
              <w:spacing w:after="0"/>
              <w:rPr>
                <w:sz w:val="20"/>
                <w:szCs w:val="20"/>
                <w:color w:val="auto"/>
              </w:rPr>
            </w:pPr>
            <w:r>
              <w:rPr>
                <w:rFonts w:ascii="Arial" w:cs="Arial" w:eastAsia="Arial" w:hAnsi="Arial"/>
                <w:sz w:val="17"/>
                <w:szCs w:val="17"/>
                <w:color w:val="auto"/>
                <w:w w:val="92"/>
              </w:rPr>
              <w:t>(To be executed by the registered holder if such</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40" w:type="dxa"/>
            <w:vAlign w:val="bottom"/>
            <w:gridSpan w:val="4"/>
          </w:tcPr>
          <w:p>
            <w:pPr>
              <w:jc w:val="center"/>
              <w:ind w:left="1913"/>
              <w:spacing w:after="0"/>
              <w:rPr>
                <w:sz w:val="20"/>
                <w:szCs w:val="20"/>
                <w:color w:val="auto"/>
              </w:rPr>
            </w:pPr>
            <w:r>
              <w:rPr>
                <w:rFonts w:ascii="Arial" w:cs="Arial" w:eastAsia="Arial" w:hAnsi="Arial"/>
                <w:sz w:val="17"/>
                <w:szCs w:val="17"/>
                <w:color w:val="auto"/>
                <w:w w:val="93"/>
              </w:rPr>
              <w:t>holder desires to transfer the Rights Certificate.)</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5"/>
        </w:trPr>
        <w:tc>
          <w:tcPr>
            <w:tcW w:w="1900" w:type="dxa"/>
            <w:vAlign w:val="bottom"/>
            <w:gridSpan w:val="4"/>
          </w:tcPr>
          <w:p>
            <w:pPr>
              <w:spacing w:after="0"/>
              <w:rPr>
                <w:sz w:val="20"/>
                <w:szCs w:val="20"/>
                <w:color w:val="auto"/>
              </w:rPr>
            </w:pPr>
            <w:r>
              <w:rPr>
                <w:rFonts w:ascii="Arial" w:cs="Arial" w:eastAsia="Arial" w:hAnsi="Arial"/>
                <w:sz w:val="17"/>
                <w:szCs w:val="17"/>
                <w:color w:val="auto"/>
                <w:w w:val="99"/>
              </w:rPr>
              <w:t>FOR VALUE RECEIVED</w:t>
            </w:r>
          </w:p>
        </w:tc>
        <w:tc>
          <w:tcPr>
            <w:tcW w:w="5640" w:type="dxa"/>
            <w:vAlign w:val="bottom"/>
            <w:tcBorders>
              <w:bottom w:val="single" w:sz="8" w:color="auto"/>
            </w:tcBorders>
            <w:gridSpan w:val="4"/>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100" w:type="dxa"/>
            <w:vAlign w:val="bottom"/>
            <w:gridSpan w:val="3"/>
          </w:tcPr>
          <w:p>
            <w:pPr>
              <w:ind w:left="40"/>
              <w:spacing w:after="0"/>
              <w:rPr>
                <w:sz w:val="20"/>
                <w:szCs w:val="20"/>
                <w:color w:val="auto"/>
              </w:rPr>
            </w:pPr>
            <w:r>
              <w:rPr>
                <w:rFonts w:ascii="Arial" w:cs="Arial" w:eastAsia="Arial" w:hAnsi="Arial"/>
                <w:sz w:val="17"/>
                <w:szCs w:val="17"/>
                <w:color w:val="auto"/>
              </w:rPr>
              <w:t>hereby sells, assigns and</w:t>
            </w:r>
          </w:p>
        </w:tc>
      </w:tr>
      <w:tr>
        <w:trPr>
          <w:trHeight w:val="190"/>
        </w:trPr>
        <w:tc>
          <w:tcPr>
            <w:tcW w:w="7540" w:type="dxa"/>
            <w:vAlign w:val="bottom"/>
            <w:gridSpan w:val="8"/>
          </w:tcPr>
          <w:p>
            <w:pPr>
              <w:spacing w:after="0" w:line="189" w:lineRule="exact"/>
              <w:rPr>
                <w:sz w:val="20"/>
                <w:szCs w:val="20"/>
                <w:color w:val="auto"/>
              </w:rPr>
            </w:pPr>
            <w:r>
              <w:rPr>
                <w:rFonts w:ascii="Arial" w:cs="Arial" w:eastAsia="Arial" w:hAnsi="Arial"/>
                <w:sz w:val="17"/>
                <w:szCs w:val="17"/>
                <w:color w:val="auto"/>
              </w:rPr>
              <w:t>transfers unto</w:t>
            </w:r>
          </w:p>
        </w:tc>
        <w:tc>
          <w:tcPr>
            <w:tcW w:w="3760" w:type="dxa"/>
            <w:vAlign w:val="bottom"/>
            <w:gridSpan w:val="6"/>
          </w:tcPr>
          <w:p>
            <w:pPr>
              <w:ind w:left="360"/>
              <w:spacing w:after="0" w:line="189" w:lineRule="exact"/>
              <w:rPr>
                <w:sz w:val="20"/>
                <w:szCs w:val="20"/>
                <w:color w:val="auto"/>
              </w:rPr>
            </w:pPr>
            <w:r>
              <w:rPr>
                <w:rFonts w:ascii="Arial" w:cs="Arial" w:eastAsia="Arial" w:hAnsi="Arial"/>
                <w:sz w:val="17"/>
                <w:szCs w:val="17"/>
                <w:color w:val="auto"/>
              </w:rPr>
              <w:t>&amp;nb sp;</w:t>
            </w:r>
          </w:p>
        </w:tc>
      </w:tr>
      <w:tr>
        <w:trPr>
          <w:trHeight w:val="190"/>
        </w:trPr>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36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2"/>
          </w:tcPr>
          <w:p>
            <w:pPr>
              <w:ind w:left="1180"/>
              <w:spacing w:after="0" w:line="189" w:lineRule="exact"/>
              <w:rPr>
                <w:sz w:val="20"/>
                <w:szCs w:val="20"/>
                <w:color w:val="auto"/>
              </w:rPr>
            </w:pPr>
            <w:r>
              <w:rPr>
                <w:rFonts w:ascii="Arial" w:cs="Arial" w:eastAsia="Arial" w:hAnsi="Arial"/>
                <w:sz w:val="17"/>
                <w:szCs w:val="17"/>
                <w:color w:val="auto"/>
              </w:rPr>
              <w:t>&amp;nb sp;</w:t>
            </w:r>
          </w:p>
        </w:tc>
        <w:tc>
          <w:tcPr>
            <w:tcW w:w="9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543"/>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4"/>
          </w:tcPr>
          <w:p>
            <w:pPr>
              <w:jc w:val="center"/>
              <w:ind w:left="1893"/>
              <w:spacing w:after="0"/>
              <w:rPr>
                <w:sz w:val="20"/>
                <w:szCs w:val="20"/>
                <w:color w:val="auto"/>
              </w:rPr>
            </w:pPr>
            <w:r>
              <w:rPr>
                <w:rFonts w:ascii="Arial" w:cs="Arial" w:eastAsia="Arial" w:hAnsi="Arial"/>
                <w:sz w:val="17"/>
                <w:szCs w:val="17"/>
                <w:color w:val="auto"/>
                <w:w w:val="90"/>
              </w:rPr>
              <w:t>(Please print name and address of transferee)</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75"/>
        </w:trPr>
        <w:tc>
          <w:tcPr>
            <w:tcW w:w="5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2"/>
          </w:tcPr>
          <w:p>
            <w:pPr>
              <w:ind w:left="1220"/>
              <w:spacing w:after="0"/>
              <w:rPr>
                <w:sz w:val="20"/>
                <w:szCs w:val="20"/>
                <w:color w:val="auto"/>
              </w:rPr>
            </w:pPr>
            <w:r>
              <w:rPr>
                <w:rFonts w:ascii="Arial" w:cs="Arial" w:eastAsia="Arial" w:hAnsi="Arial"/>
                <w:sz w:val="17"/>
                <w:szCs w:val="17"/>
                <w:color w:val="auto"/>
                <w:w w:val="93"/>
              </w:rPr>
              <w:t>&amp; nbsp;</w:t>
            </w:r>
          </w:p>
        </w:tc>
        <w:tc>
          <w:tcPr>
            <w:tcW w:w="960" w:type="dxa"/>
            <w:vAlign w:val="bottom"/>
            <w:tcBorders>
              <w:bottom w:val="single" w:sz="8" w:color="auto"/>
            </w:tcBorders>
          </w:tcPr>
          <w:p>
            <w:pPr>
              <w:spacing w:after="0"/>
              <w:rPr>
                <w:sz w:val="23"/>
                <w:szCs w:val="23"/>
                <w:color w:val="auto"/>
              </w:rPr>
            </w:pPr>
          </w:p>
        </w:tc>
        <w:tc>
          <w:tcPr>
            <w:tcW w:w="2800" w:type="dxa"/>
            <w:vAlign w:val="bottom"/>
            <w:gridSpan w:val="5"/>
          </w:tcPr>
          <w:p>
            <w:pPr>
              <w:ind w:left="40"/>
              <w:spacing w:after="0"/>
              <w:rPr>
                <w:sz w:val="20"/>
                <w:szCs w:val="20"/>
                <w:color w:val="auto"/>
              </w:rPr>
            </w:pPr>
            <w:r>
              <w:rPr>
                <w:rFonts w:ascii="Arial" w:cs="Arial" w:eastAsia="Arial" w:hAnsi="Arial"/>
                <w:sz w:val="17"/>
                <w:szCs w:val="17"/>
                <w:color w:val="auto"/>
                <w:w w:val="94"/>
              </w:rPr>
              <w:t>this Rights Certificate, together with all</w:t>
            </w:r>
          </w:p>
        </w:tc>
      </w:tr>
      <w:tr>
        <w:trPr>
          <w:trHeight w:val="190"/>
        </w:trPr>
        <w:tc>
          <w:tcPr>
            <w:tcW w:w="5760" w:type="dxa"/>
            <w:vAlign w:val="bottom"/>
            <w:gridSpan w:val="6"/>
          </w:tcPr>
          <w:p>
            <w:pPr>
              <w:spacing w:after="0" w:line="189" w:lineRule="exact"/>
              <w:rPr>
                <w:sz w:val="20"/>
                <w:szCs w:val="20"/>
                <w:color w:val="auto"/>
              </w:rPr>
            </w:pPr>
            <w:r>
              <w:rPr>
                <w:rFonts w:ascii="Arial" w:cs="Arial" w:eastAsia="Arial" w:hAnsi="Arial"/>
                <w:sz w:val="17"/>
                <w:szCs w:val="17"/>
                <w:color w:val="auto"/>
                <w:w w:val="93"/>
              </w:rPr>
              <w:t>right, title and interest therein, and does hereby irrevocably constitute and appoint</w:t>
            </w:r>
          </w:p>
        </w:tc>
        <w:tc>
          <w:tcPr>
            <w:tcW w:w="17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760" w:type="dxa"/>
            <w:vAlign w:val="bottom"/>
            <w:gridSpan w:val="6"/>
          </w:tcPr>
          <w:p>
            <w:pPr>
              <w:ind w:left="20"/>
              <w:spacing w:after="0" w:line="189" w:lineRule="exact"/>
              <w:rPr>
                <w:sz w:val="20"/>
                <w:szCs w:val="20"/>
                <w:color w:val="auto"/>
              </w:rPr>
            </w:pPr>
            <w:r>
              <w:rPr>
                <w:rFonts w:ascii="Arial" w:cs="Arial" w:eastAsia="Arial" w:hAnsi="Arial"/>
                <w:sz w:val="17"/>
                <w:szCs w:val="17"/>
                <w:color w:val="auto"/>
                <w:w w:val="96"/>
              </w:rPr>
              <w:t>Attorney, to transfer the within Rights Certificate on</w:t>
            </w:r>
          </w:p>
        </w:tc>
      </w:tr>
      <w:tr>
        <w:trPr>
          <w:trHeight w:val="228"/>
        </w:trPr>
        <w:tc>
          <w:tcPr>
            <w:tcW w:w="7540" w:type="dxa"/>
            <w:vAlign w:val="bottom"/>
            <w:gridSpan w:val="8"/>
          </w:tcPr>
          <w:p>
            <w:pPr>
              <w:spacing w:after="0"/>
              <w:rPr>
                <w:sz w:val="20"/>
                <w:szCs w:val="20"/>
                <w:color w:val="auto"/>
              </w:rPr>
            </w:pPr>
            <w:r>
              <w:rPr>
                <w:rFonts w:ascii="Arial" w:cs="Arial" w:eastAsia="Arial" w:hAnsi="Arial"/>
                <w:sz w:val="17"/>
                <w:szCs w:val="17"/>
                <w:color w:val="auto"/>
              </w:rPr>
              <w:t>the books of the within-named Company, with full power of substitution.</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75"/>
        </w:trPr>
        <w:tc>
          <w:tcPr>
            <w:tcW w:w="7540" w:type="dxa"/>
            <w:vAlign w:val="bottom"/>
            <w:gridSpan w:val="8"/>
          </w:tcPr>
          <w:p>
            <w:pPr>
              <w:spacing w:after="0"/>
              <w:rPr>
                <w:sz w:val="20"/>
                <w:szCs w:val="20"/>
                <w:color w:val="auto"/>
              </w:rPr>
            </w:pPr>
            <w:r>
              <w:rPr>
                <w:rFonts w:ascii="Arial" w:cs="Arial" w:eastAsia="Arial" w:hAnsi="Arial"/>
                <w:sz w:val="17"/>
                <w:szCs w:val="17"/>
                <w:color w:val="auto"/>
              </w:rPr>
              <w:t>Dated:</w:t>
            </w: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42"/>
        </w:trPr>
        <w:tc>
          <w:tcPr>
            <w:tcW w:w="5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15"/>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40" w:type="dxa"/>
            <w:vAlign w:val="bottom"/>
            <w:gridSpan w:val="3"/>
          </w:tcPr>
          <w:p>
            <w:pPr>
              <w:spacing w:after="0"/>
              <w:rPr>
                <w:sz w:val="20"/>
                <w:szCs w:val="20"/>
                <w:color w:val="auto"/>
              </w:rPr>
            </w:pPr>
            <w:r>
              <w:rPr>
                <w:rFonts w:ascii="Arial" w:cs="Arial" w:eastAsia="Arial" w:hAnsi="Arial"/>
                <w:sz w:val="17"/>
                <w:szCs w:val="17"/>
                <w:color w:val="auto"/>
              </w:rPr>
              <w:t>Signature</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302"/>
        </w:trPr>
        <w:tc>
          <w:tcPr>
            <w:tcW w:w="7540" w:type="dxa"/>
            <w:vAlign w:val="bottom"/>
            <w:gridSpan w:val="8"/>
          </w:tcPr>
          <w:p>
            <w:pPr>
              <w:spacing w:after="0"/>
              <w:rPr>
                <w:sz w:val="20"/>
                <w:szCs w:val="20"/>
                <w:color w:val="auto"/>
              </w:rPr>
            </w:pPr>
            <w:r>
              <w:rPr>
                <w:rFonts w:ascii="Arial" w:cs="Arial" w:eastAsia="Arial" w:hAnsi="Arial"/>
                <w:sz w:val="17"/>
                <w:szCs w:val="17"/>
                <w:color w:val="auto"/>
              </w:rPr>
              <w:t>Signature Guaranteed:</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24"/>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gridSpan w:val="4"/>
          </w:tcPr>
          <w:p>
            <w:pPr>
              <w:jc w:val="center"/>
              <w:ind w:left="1893"/>
              <w:spacing w:after="0"/>
              <w:rPr>
                <w:sz w:val="20"/>
                <w:szCs w:val="20"/>
                <w:color w:val="auto"/>
              </w:rPr>
            </w:pPr>
            <w:r>
              <w:rPr>
                <w:rFonts w:ascii="Arial" w:cs="Arial" w:eastAsia="Arial" w:hAnsi="Arial"/>
                <w:sz w:val="17"/>
                <w:szCs w:val="17"/>
                <w:color w:val="auto"/>
                <w:w w:val="96"/>
              </w:rPr>
              <w:t>Certificate</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93"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undersigned hereby certifies that the Rights evidenced by this Rights Certificate are not beneficially owned by, or being assigned to, an Acquiring Person or an Affiliate or Associate thereof (as such terms are defined pursuant to the Rights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158115</wp:posOffset>
            </wp:positionV>
            <wp:extent cx="268605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686050"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-7620</wp:posOffset>
            </wp:positionV>
            <wp:extent cx="5543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Signature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NOTICE</w:t>
      </w:r>
    </w:p>
    <w:p>
      <w:pPr>
        <w:spacing w:after="0" w:line="119"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The signature to the foregoing Assignment and Certificate must correspond to the name as written upon the face of this Rights Certificate in every particular, without alteration or enlargement or any change whatsoever.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7" w:right="23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7540" w:type="dxa"/>
            <w:vAlign w:val="bottom"/>
            <w:gridSpan w:val="2"/>
          </w:tcPr>
          <w:p>
            <w:pPr>
              <w:jc w:val="center"/>
              <w:ind w:right="3613"/>
              <w:spacing w:after="0"/>
              <w:rPr>
                <w:sz w:val="20"/>
                <w:szCs w:val="20"/>
                <w:color w:val="auto"/>
              </w:rPr>
            </w:pPr>
            <w:r>
              <w:rPr>
                <w:rFonts w:ascii="Arial" w:cs="Arial" w:eastAsia="Arial" w:hAnsi="Arial"/>
                <w:sz w:val="17"/>
                <w:szCs w:val="17"/>
                <w:b w:val="1"/>
                <w:bCs w:val="1"/>
                <w:color w:val="auto"/>
              </w:rPr>
              <w:t>FORM OF ELECTION TO PURCHASE</w:t>
            </w:r>
          </w:p>
        </w:tc>
      </w:tr>
      <w:tr>
        <w:trPr>
          <w:trHeight w:val="302"/>
        </w:trPr>
        <w:tc>
          <w:tcPr>
            <w:tcW w:w="3800" w:type="dxa"/>
            <w:vAlign w:val="bottom"/>
          </w:tcPr>
          <w:p>
            <w:pPr>
              <w:spacing w:after="0"/>
              <w:rPr>
                <w:sz w:val="24"/>
                <w:szCs w:val="24"/>
                <w:color w:val="auto"/>
              </w:rPr>
            </w:pPr>
          </w:p>
        </w:tc>
        <w:tc>
          <w:tcPr>
            <w:tcW w:w="7540" w:type="dxa"/>
            <w:vAlign w:val="bottom"/>
            <w:gridSpan w:val="2"/>
          </w:tcPr>
          <w:p>
            <w:pPr>
              <w:jc w:val="center"/>
              <w:ind w:right="3613"/>
              <w:spacing w:after="0"/>
              <w:rPr>
                <w:sz w:val="20"/>
                <w:szCs w:val="20"/>
                <w:color w:val="auto"/>
              </w:rPr>
            </w:pPr>
            <w:r>
              <w:rPr>
                <w:rFonts w:ascii="Arial" w:cs="Arial" w:eastAsia="Arial" w:hAnsi="Arial"/>
                <w:sz w:val="17"/>
                <w:szCs w:val="17"/>
                <w:color w:val="auto"/>
                <w:w w:val="92"/>
              </w:rPr>
              <w:t>(To be executed if holder desires to exercise</w:t>
            </w:r>
          </w:p>
        </w:tc>
      </w:tr>
      <w:tr>
        <w:trPr>
          <w:trHeight w:val="222"/>
        </w:trPr>
        <w:tc>
          <w:tcPr>
            <w:tcW w:w="3800" w:type="dxa"/>
            <w:vAlign w:val="bottom"/>
          </w:tcPr>
          <w:p>
            <w:pPr>
              <w:spacing w:after="0"/>
              <w:rPr>
                <w:sz w:val="19"/>
                <w:szCs w:val="19"/>
                <w:color w:val="auto"/>
              </w:rPr>
            </w:pPr>
          </w:p>
        </w:tc>
        <w:tc>
          <w:tcPr>
            <w:tcW w:w="7540" w:type="dxa"/>
            <w:vAlign w:val="bottom"/>
            <w:gridSpan w:val="2"/>
          </w:tcPr>
          <w:p>
            <w:pPr>
              <w:jc w:val="center"/>
              <w:ind w:right="3613"/>
              <w:spacing w:after="0"/>
              <w:rPr>
                <w:sz w:val="20"/>
                <w:szCs w:val="20"/>
                <w:color w:val="auto"/>
              </w:rPr>
            </w:pPr>
            <w:r>
              <w:rPr>
                <w:rFonts w:ascii="Arial" w:cs="Arial" w:eastAsia="Arial" w:hAnsi="Arial"/>
                <w:sz w:val="17"/>
                <w:szCs w:val="17"/>
                <w:color w:val="auto"/>
                <w:w w:val="93"/>
              </w:rPr>
              <w:t>Rights represented by the Rights Certificate.)</w:t>
            </w:r>
          </w:p>
        </w:tc>
      </w:tr>
      <w:tr>
        <w:trPr>
          <w:trHeight w:val="314"/>
        </w:trPr>
        <w:tc>
          <w:tcPr>
            <w:tcW w:w="11340" w:type="dxa"/>
            <w:vAlign w:val="bottom"/>
            <w:gridSpan w:val="3"/>
          </w:tcPr>
          <w:p>
            <w:pPr>
              <w:spacing w:after="0"/>
              <w:rPr>
                <w:sz w:val="20"/>
                <w:szCs w:val="20"/>
                <w:color w:val="auto"/>
              </w:rPr>
            </w:pPr>
            <w:r>
              <w:rPr>
                <w:rFonts w:ascii="Arial" w:cs="Arial" w:eastAsia="Arial" w:hAnsi="Arial"/>
                <w:sz w:val="17"/>
                <w:szCs w:val="17"/>
                <w:color w:val="auto"/>
              </w:rPr>
              <w:t>To: American Stock Transfer &amp; Trust Company, as rights agent</w:t>
            </w:r>
          </w:p>
        </w:tc>
      </w:tr>
      <w:tr>
        <w:trPr>
          <w:trHeight w:val="275"/>
        </w:trPr>
        <w:tc>
          <w:tcPr>
            <w:tcW w:w="3800" w:type="dxa"/>
            <w:vAlign w:val="bottom"/>
          </w:tcPr>
          <w:p>
            <w:pPr>
              <w:spacing w:after="0"/>
              <w:rPr>
                <w:sz w:val="20"/>
                <w:szCs w:val="20"/>
                <w:color w:val="auto"/>
              </w:rPr>
            </w:pPr>
            <w:r>
              <w:rPr>
                <w:rFonts w:ascii="Arial" w:cs="Arial" w:eastAsia="Arial" w:hAnsi="Arial"/>
                <w:sz w:val="17"/>
                <w:szCs w:val="17"/>
                <w:color w:val="auto"/>
                <w:w w:val="92"/>
              </w:rPr>
              <w:t>The undersigned hereby irrevocably elects to exercise</w:t>
            </w:r>
          </w:p>
        </w:tc>
        <w:tc>
          <w:tcPr>
            <w:tcW w:w="880" w:type="dxa"/>
            <w:vAlign w:val="bottom"/>
            <w:tcBorders>
              <w:bottom w:val="single" w:sz="8" w:color="auto"/>
            </w:tcBorders>
          </w:tcPr>
          <w:p>
            <w:pPr>
              <w:spacing w:after="0"/>
              <w:rPr>
                <w:sz w:val="23"/>
                <w:szCs w:val="23"/>
                <w:color w:val="auto"/>
              </w:rPr>
            </w:pPr>
          </w:p>
        </w:tc>
        <w:tc>
          <w:tcPr>
            <w:tcW w:w="6660" w:type="dxa"/>
            <w:vAlign w:val="bottom"/>
          </w:tcPr>
          <w:p>
            <w:pPr>
              <w:ind w:left="40"/>
              <w:spacing w:after="0"/>
              <w:rPr>
                <w:sz w:val="20"/>
                <w:szCs w:val="20"/>
                <w:color w:val="auto"/>
              </w:rPr>
            </w:pPr>
            <w:r>
              <w:rPr>
                <w:rFonts w:ascii="Arial" w:cs="Arial" w:eastAsia="Arial" w:hAnsi="Arial"/>
                <w:sz w:val="17"/>
                <w:szCs w:val="17"/>
                <w:color w:val="auto"/>
                <w:w w:val="91"/>
              </w:rPr>
              <w:t>Rights represented by this Rights Certificate to purchase the shares of Preferred Stock issuable</w:t>
            </w:r>
          </w:p>
        </w:tc>
      </w:tr>
    </w:tbl>
    <w:p>
      <w:pPr>
        <w:spacing w:after="0" w:line="14"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color w:val="auto"/>
        </w:rPr>
        <w:t>upon the exercise of the Rights (or such other securities of the Company or of any other person which may be issuable upon the exercise of the Rights) and requests that certificates for such shares be issued in the name of and delivered to:</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Please insert social security</w:t>
      </w:r>
    </w:p>
    <w:p>
      <w:pPr>
        <w:sectPr>
          <w:pgSz w:w="11900" w:h="16838" w:orient="portrait"/>
          <w:cols w:equalWidth="0" w:num="1">
            <w:col w:w="11340"/>
          </w:cols>
          <w:pgMar w:left="240" w:top="933" w:right="31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or other identifying number</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&amp;n bsp;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-5520690</wp:posOffset>
            </wp:positionH>
            <wp:positionV relativeFrom="paragraph">
              <wp:posOffset>165735</wp:posOffset>
            </wp:positionV>
            <wp:extent cx="725043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0</wp:posOffset>
            </wp:positionV>
            <wp:extent cx="50641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0641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80" w:space="720"/>
            <w:col w:w="2640"/>
          </w:cols>
          <w:pgMar w:left="240" w:top="933" w:right="319" w:bottom="1440" w:gutter="0" w:footer="0" w:header="0"/>
          <w:type w:val="continuous"/>
        </w:sect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If such number of Rights shall not be all the Rights evidenced by this Rights Certificate, a new Rights Certificate for the balance of such Rights shall be registered in the name of and delivered to:</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Please insert social security</w:t>
      </w:r>
    </w:p>
    <w:p>
      <w:pPr>
        <w:spacing w:after="0" w:line="119" w:lineRule="exact"/>
        <w:rPr>
          <w:sz w:val="20"/>
          <w:szCs w:val="20"/>
          <w:color w:val="auto"/>
        </w:rPr>
      </w:pPr>
    </w:p>
    <w:p>
      <w:pPr>
        <w:spacing w:after="0"/>
        <w:tabs>
          <w:tab w:leader="none" w:pos="8680" w:val="left"/>
        </w:tabs>
        <w:rPr>
          <w:sz w:val="20"/>
          <w:szCs w:val="20"/>
          <w:color w:val="auto"/>
        </w:rPr>
      </w:pPr>
      <w:r>
        <w:rPr>
          <w:rFonts w:ascii="Arial" w:cs="Arial" w:eastAsia="Arial" w:hAnsi="Arial"/>
          <w:sz w:val="17"/>
          <w:szCs w:val="17"/>
          <w:color w:val="auto"/>
        </w:rPr>
        <w:t>or other identifying number</w:t>
      </w:r>
      <w:r>
        <w:rPr>
          <w:sz w:val="20"/>
          <w:szCs w:val="20"/>
          <w:color w:val="auto"/>
        </w:rPr>
        <w:tab/>
      </w:r>
      <w:r>
        <w:rPr>
          <w:rFonts w:ascii="Arial" w:cs="Arial" w:eastAsia="Arial" w:hAnsi="Arial"/>
          <w:sz w:val="16"/>
          <w:szCs w:val="16"/>
          <w:color w:val="auto"/>
        </w:rPr>
        <w:t>&amp;n bsp;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1258570</wp:posOffset>
            </wp:positionH>
            <wp:positionV relativeFrom="paragraph">
              <wp:posOffset>-7620</wp:posOffset>
            </wp:positionV>
            <wp:extent cx="50641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06412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158115</wp:posOffset>
            </wp:positionV>
            <wp:extent cx="268605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86050"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-7620</wp:posOffset>
            </wp:positionV>
            <wp:extent cx="5543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23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Signature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933" w:right="319" w:bottom="1440" w:gutter="0" w:footer="0" w:header="0"/>
          <w:type w:val="continuous"/>
        </w:sectPr>
      </w:pPr>
    </w:p>
    <w:bookmarkStart w:id="363" w:name="page364"/>
    <w:bookmarkEnd w:id="363"/>
    <w:p>
      <w:pPr>
        <w:jc w:val="center"/>
        <w:ind w:right="-79"/>
        <w:spacing w:after="0"/>
        <w:rPr>
          <w:sz w:val="20"/>
          <w:szCs w:val="20"/>
          <w:color w:val="auto"/>
        </w:rPr>
      </w:pPr>
      <w:r>
        <w:rPr>
          <w:rFonts w:ascii="Arial" w:cs="Arial" w:eastAsia="Arial" w:hAnsi="Arial"/>
          <w:sz w:val="17"/>
          <w:szCs w:val="17"/>
          <w:b w:val="1"/>
          <w:bCs w:val="1"/>
          <w:color w:val="auto"/>
        </w:rPr>
        <w:t>Certificate</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undersigned hereby certifies by checking the appropriate boxes that:</w:t>
      </w:r>
    </w:p>
    <w:p>
      <w:pPr>
        <w:spacing w:after="0" w:line="119" w:lineRule="exact"/>
        <w:rPr>
          <w:sz w:val="20"/>
          <w:szCs w:val="20"/>
          <w:color w:val="auto"/>
        </w:rPr>
      </w:pPr>
    </w:p>
    <w:p>
      <w:pPr>
        <w:ind w:firstLine="223"/>
        <w:spacing w:after="0" w:line="289" w:lineRule="auto"/>
        <w:tabs>
          <w:tab w:leader="none" w:pos="46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Rights evidenced by this Rights Certificate o are o are not being exercised by or on behalf of a Person who is or was an Acquiring Person or an Affiliate or Associate thereof (as such terms are defined pursuant to the Rights Agreement);</w:t>
      </w:r>
    </w:p>
    <w:p>
      <w:pPr>
        <w:spacing w:after="0" w:line="53" w:lineRule="exact"/>
        <w:rPr>
          <w:rFonts w:ascii="Arial" w:cs="Arial" w:eastAsia="Arial" w:hAnsi="Arial"/>
          <w:sz w:val="17"/>
          <w:szCs w:val="17"/>
          <w:color w:val="auto"/>
        </w:rPr>
      </w:pPr>
    </w:p>
    <w:p>
      <w:pPr>
        <w:ind w:right="20" w:firstLine="223"/>
        <w:spacing w:after="0" w:line="289" w:lineRule="auto"/>
        <w:tabs>
          <w:tab w:leader="none" w:pos="46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after due inquiry and to the best knowledge of the undersigned, the undersigned o did o did not acquire the Rights evidenced by this Rights Certificate from any Person who is, was or became an Acquiring Person or an Affiliate or Associate thereof.</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158115</wp:posOffset>
            </wp:positionV>
            <wp:extent cx="268605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86050"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-7620</wp:posOffset>
            </wp:positionV>
            <wp:extent cx="5543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Signature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Signature Guaranteed:</w:t>
      </w: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NOTICE</w:t>
      </w:r>
    </w:p>
    <w:p>
      <w:pPr>
        <w:spacing w:after="0" w:line="119"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933" w:right="299" w:bottom="1440" w:gutter="0" w:footer="0" w:header="0"/>
        </w:sectPr>
      </w:pPr>
    </w:p>
    <w:bookmarkStart w:id="364" w:name="page365"/>
    <w:bookmarkEnd w:id="364"/>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960" w:type="dxa"/>
            <w:vAlign w:val="bottom"/>
          </w:tcPr>
          <w:p>
            <w:pPr>
              <w:jc w:val="center"/>
              <w:ind w:right="733"/>
              <w:spacing w:after="0"/>
              <w:rPr>
                <w:sz w:val="20"/>
                <w:szCs w:val="20"/>
                <w:color w:val="auto"/>
              </w:rPr>
            </w:pPr>
            <w:r>
              <w:rPr>
                <w:rFonts w:ascii="Arial" w:cs="Arial" w:eastAsia="Arial" w:hAnsi="Arial"/>
                <w:sz w:val="17"/>
                <w:szCs w:val="17"/>
                <w:b w:val="1"/>
                <w:bCs w:val="1"/>
                <w:color w:val="auto"/>
              </w:rPr>
              <w:t>SUMMARY OF RIGHTS TO</w:t>
            </w:r>
          </w:p>
        </w:tc>
      </w:tr>
      <w:tr>
        <w:trPr>
          <w:trHeight w:val="314"/>
        </w:trPr>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60" w:type="dxa"/>
            <w:vAlign w:val="bottom"/>
          </w:tcPr>
          <w:p>
            <w:pPr>
              <w:jc w:val="center"/>
              <w:ind w:right="713"/>
              <w:spacing w:after="0"/>
              <w:rPr>
                <w:sz w:val="20"/>
                <w:szCs w:val="20"/>
                <w:color w:val="auto"/>
              </w:rPr>
            </w:pPr>
            <w:r>
              <w:rPr>
                <w:rFonts w:ascii="Arial" w:cs="Arial" w:eastAsia="Arial" w:hAnsi="Arial"/>
                <w:sz w:val="17"/>
                <w:szCs w:val="17"/>
                <w:b w:val="1"/>
                <w:bCs w:val="1"/>
                <w:color w:val="auto"/>
              </w:rPr>
              <w:t>PURCHASE PREFERRED STOCK</w:t>
            </w:r>
          </w:p>
        </w:tc>
      </w:tr>
      <w:tr>
        <w:trPr>
          <w:trHeight w:val="275"/>
        </w:trPr>
        <w:tc>
          <w:tcPr>
            <w:tcW w:w="260" w:type="dxa"/>
            <w:vAlign w:val="bottom"/>
          </w:tcPr>
          <w:p>
            <w:pPr>
              <w:spacing w:after="0"/>
              <w:rPr>
                <w:sz w:val="20"/>
                <w:szCs w:val="20"/>
                <w:color w:val="auto"/>
              </w:rPr>
            </w:pPr>
            <w:r>
              <w:rPr>
                <w:rFonts w:ascii="Arial" w:cs="Arial" w:eastAsia="Arial" w:hAnsi="Arial"/>
                <w:sz w:val="17"/>
                <w:szCs w:val="17"/>
                <w:color w:val="auto"/>
              </w:rPr>
              <w:t>On</w:t>
            </w:r>
          </w:p>
        </w:tc>
        <w:tc>
          <w:tcPr>
            <w:tcW w:w="880" w:type="dxa"/>
            <w:vAlign w:val="bottom"/>
            <w:tcBorders>
              <w:bottom w:val="single" w:sz="8" w:color="auto"/>
            </w:tcBorders>
          </w:tcPr>
          <w:p>
            <w:pPr>
              <w:spacing w:after="0"/>
              <w:rPr>
                <w:sz w:val="23"/>
                <w:szCs w:val="23"/>
                <w:color w:val="auto"/>
              </w:rPr>
            </w:pPr>
          </w:p>
        </w:tc>
        <w:tc>
          <w:tcPr>
            <w:tcW w:w="9960" w:type="dxa"/>
            <w:vAlign w:val="bottom"/>
          </w:tcPr>
          <w:p>
            <w:pPr>
              <w:spacing w:after="0"/>
              <w:rPr>
                <w:sz w:val="20"/>
                <w:szCs w:val="20"/>
                <w:color w:val="auto"/>
              </w:rPr>
            </w:pPr>
            <w:r>
              <w:rPr>
                <w:rFonts w:ascii="Arial" w:cs="Arial" w:eastAsia="Arial" w:hAnsi="Arial"/>
                <w:sz w:val="17"/>
                <w:szCs w:val="17"/>
                <w:color w:val="auto"/>
                <w:w w:val="95"/>
              </w:rPr>
              <w:t>, 2006, a committee of the Board of Directors of Emergent BioSolutions Inc. (the “Company” “we” or “us”), acting under authority previously</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delegated to the committee, declared a dividend of one right for each outstanding share of common stock to stockholders of record at the close of business on</w:t>
      </w:r>
    </w:p>
    <w:p>
      <w:pPr>
        <w:spacing w:after="0" w:line="3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 2006. Each right, when exercisable, entitles the registered holder to purchase from us one one-thousandth of a share of Series A Junior Participating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5543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4660" w:type="dxa"/>
            <w:vAlign w:val="bottom"/>
            <w:gridSpan w:val="3"/>
          </w:tcPr>
          <w:p>
            <w:pPr>
              <w:spacing w:after="0"/>
              <w:rPr>
                <w:sz w:val="20"/>
                <w:szCs w:val="20"/>
                <w:color w:val="auto"/>
              </w:rPr>
            </w:pPr>
            <w:r>
              <w:rPr>
                <w:rFonts w:ascii="Arial" w:cs="Arial" w:eastAsia="Arial" w:hAnsi="Arial"/>
                <w:sz w:val="17"/>
                <w:szCs w:val="17"/>
                <w:color w:val="auto"/>
                <w:w w:val="91"/>
              </w:rPr>
              <w:t>Preferred Stock, $.001 par value per share, at a purchase price of $</w:t>
            </w:r>
          </w:p>
        </w:tc>
        <w:tc>
          <w:tcPr>
            <w:tcW w:w="860" w:type="dxa"/>
            <w:vAlign w:val="bottom"/>
            <w:tcBorders>
              <w:bottom w:val="single" w:sz="8" w:color="auto"/>
            </w:tcBorders>
          </w:tcPr>
          <w:p>
            <w:pPr>
              <w:spacing w:after="0"/>
              <w:rPr>
                <w:sz w:val="16"/>
                <w:szCs w:val="16"/>
                <w:color w:val="auto"/>
              </w:rPr>
            </w:pPr>
          </w:p>
        </w:tc>
        <w:tc>
          <w:tcPr>
            <w:tcW w:w="5780" w:type="dxa"/>
            <w:vAlign w:val="bottom"/>
          </w:tcPr>
          <w:p>
            <w:pPr>
              <w:ind w:left="40"/>
              <w:spacing w:after="0"/>
              <w:rPr>
                <w:sz w:val="20"/>
                <w:szCs w:val="20"/>
                <w:color w:val="auto"/>
              </w:rPr>
            </w:pPr>
            <w:r>
              <w:rPr>
                <w:rFonts w:ascii="Arial" w:cs="Arial" w:eastAsia="Arial" w:hAnsi="Arial"/>
                <w:sz w:val="17"/>
                <w:szCs w:val="17"/>
                <w:color w:val="auto"/>
                <w:w w:val="92"/>
              </w:rPr>
              <w:t>in cash, subject to adjustment. The description and terms of the rights are set forth</w:t>
            </w:r>
          </w:p>
        </w:tc>
      </w:tr>
      <w:tr>
        <w:trPr>
          <w:trHeight w:val="190"/>
        </w:trPr>
        <w:tc>
          <w:tcPr>
            <w:tcW w:w="2040" w:type="dxa"/>
            <w:vAlign w:val="bottom"/>
          </w:tcPr>
          <w:p>
            <w:pPr>
              <w:spacing w:after="0" w:line="189" w:lineRule="exact"/>
              <w:rPr>
                <w:sz w:val="20"/>
                <w:szCs w:val="20"/>
                <w:color w:val="auto"/>
              </w:rPr>
            </w:pPr>
            <w:r>
              <w:rPr>
                <w:rFonts w:ascii="Arial" w:cs="Arial" w:eastAsia="Arial" w:hAnsi="Arial"/>
                <w:sz w:val="17"/>
                <w:szCs w:val="17"/>
                <w:color w:val="auto"/>
                <w:w w:val="93"/>
              </w:rPr>
              <w:t>in a Rights Agreement dated</w:t>
            </w:r>
          </w:p>
        </w:tc>
        <w:tc>
          <w:tcPr>
            <w:tcW w:w="880" w:type="dxa"/>
            <w:vAlign w:val="bottom"/>
            <w:tcBorders>
              <w:bottom w:val="single" w:sz="8" w:color="auto"/>
            </w:tcBorders>
          </w:tcPr>
          <w:p>
            <w:pPr>
              <w:spacing w:after="0"/>
              <w:rPr>
                <w:sz w:val="16"/>
                <w:szCs w:val="16"/>
                <w:color w:val="auto"/>
              </w:rPr>
            </w:pPr>
          </w:p>
        </w:tc>
        <w:tc>
          <w:tcPr>
            <w:tcW w:w="8380" w:type="dxa"/>
            <w:vAlign w:val="bottom"/>
            <w:gridSpan w:val="3"/>
          </w:tcPr>
          <w:p>
            <w:pPr>
              <w:spacing w:after="0" w:line="189" w:lineRule="exact"/>
              <w:rPr>
                <w:sz w:val="20"/>
                <w:szCs w:val="20"/>
                <w:color w:val="auto"/>
              </w:rPr>
            </w:pPr>
            <w:r>
              <w:rPr>
                <w:rFonts w:ascii="Arial" w:cs="Arial" w:eastAsia="Arial" w:hAnsi="Arial"/>
                <w:sz w:val="17"/>
                <w:szCs w:val="17"/>
                <w:color w:val="auto"/>
              </w:rPr>
              <w:t>, 2006 between the Company and American Stock Transfer &amp; Trust Company, as Rights Agent.</w:t>
            </w:r>
          </w:p>
        </w:tc>
      </w:tr>
    </w:tbl>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description is a summary of the material terms of the rights agreement. It does not restate these terms in their entirety. We urge you to read the rights agreement because it, and not this description, defines its terms and provisions. We have filed a copy of the rights agreement as an exhibit to our Registration Statement on Form S-1 filed in connection with our initial public offering.</w:t>
      </w:r>
    </w:p>
    <w:p>
      <w:pPr>
        <w:spacing w:after="0" w:line="60"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b w:val="1"/>
          <w:bCs w:val="1"/>
          <w:color w:val="auto"/>
        </w:rPr>
        <w:t xml:space="preserve">Rights. </w:t>
      </w:r>
      <w:r>
        <w:rPr>
          <w:rFonts w:ascii="Arial" w:cs="Arial" w:eastAsia="Arial" w:hAnsi="Arial"/>
          <w:sz w:val="16"/>
          <w:szCs w:val="16"/>
          <w:color w:val="auto"/>
        </w:rPr>
        <w:t>Each share of common stock will have attached to it one right. Initially, the rights are not exercisable and are attached to all certificates representing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shares of our common stock, and we will not distribute separate rights certificates. The rights will only be exercisable under limited circumstances specified in the rights agreement when there has been a distribution of the rights and the rights are no longer redeemable by us.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20" w:type="dxa"/>
            <w:vAlign w:val="bottom"/>
          </w:tcPr>
          <w:p>
            <w:pPr>
              <w:spacing w:after="0"/>
              <w:rPr>
                <w:sz w:val="20"/>
                <w:szCs w:val="20"/>
                <w:color w:val="auto"/>
              </w:rPr>
            </w:pPr>
            <w:r>
              <w:rPr>
                <w:rFonts w:ascii="Arial" w:cs="Arial" w:eastAsia="Arial" w:hAnsi="Arial"/>
                <w:sz w:val="17"/>
                <w:szCs w:val="17"/>
                <w:color w:val="auto"/>
                <w:w w:val="94"/>
              </w:rPr>
              <w:t>The rights will expire at the close of business on</w:t>
            </w:r>
          </w:p>
        </w:tc>
        <w:tc>
          <w:tcPr>
            <w:tcW w:w="880" w:type="dxa"/>
            <w:vAlign w:val="bottom"/>
            <w:tcBorders>
              <w:bottom w:val="single" w:sz="8" w:color="auto"/>
            </w:tcBorders>
          </w:tcPr>
          <w:p>
            <w:pPr>
              <w:spacing w:after="0"/>
              <w:rPr>
                <w:sz w:val="16"/>
                <w:szCs w:val="16"/>
                <w:color w:val="auto"/>
              </w:rPr>
            </w:pPr>
          </w:p>
        </w:tc>
        <w:tc>
          <w:tcPr>
            <w:tcW w:w="6740" w:type="dxa"/>
            <w:vAlign w:val="bottom"/>
          </w:tcPr>
          <w:p>
            <w:pPr>
              <w:spacing w:after="0"/>
              <w:rPr>
                <w:sz w:val="20"/>
                <w:szCs w:val="20"/>
                <w:color w:val="auto"/>
              </w:rPr>
            </w:pPr>
            <w:r>
              <w:rPr>
                <w:rFonts w:ascii="Arial" w:cs="Arial" w:eastAsia="Arial" w:hAnsi="Arial"/>
                <w:sz w:val="17"/>
                <w:szCs w:val="17"/>
                <w:color w:val="auto"/>
                <w:w w:val="91"/>
              </w:rPr>
              <w:t>, 2006 [the tenth anniversary of the date the rights agreement was adopted], unless we redeem or</w:t>
            </w:r>
          </w:p>
        </w:tc>
      </w:tr>
      <w:tr>
        <w:trPr>
          <w:trHeight w:val="228"/>
        </w:trPr>
        <w:tc>
          <w:tcPr>
            <w:tcW w:w="3420" w:type="dxa"/>
            <w:vAlign w:val="bottom"/>
          </w:tcPr>
          <w:p>
            <w:pPr>
              <w:spacing w:after="0"/>
              <w:rPr>
                <w:sz w:val="20"/>
                <w:szCs w:val="20"/>
                <w:color w:val="auto"/>
              </w:rPr>
            </w:pPr>
            <w:r>
              <w:rPr>
                <w:rFonts w:ascii="Arial" w:cs="Arial" w:eastAsia="Arial" w:hAnsi="Arial"/>
                <w:sz w:val="17"/>
                <w:szCs w:val="17"/>
                <w:color w:val="auto"/>
                <w:w w:val="95"/>
              </w:rPr>
              <w:t>exchange the rights earlier as described below.</w:t>
            </w:r>
          </w:p>
        </w:tc>
        <w:tc>
          <w:tcPr>
            <w:tcW w:w="880" w:type="dxa"/>
            <w:vAlign w:val="bottom"/>
          </w:tcPr>
          <w:p>
            <w:pPr>
              <w:spacing w:after="0"/>
              <w:rPr>
                <w:sz w:val="19"/>
                <w:szCs w:val="19"/>
                <w:color w:val="auto"/>
              </w:rPr>
            </w:pPr>
          </w:p>
        </w:tc>
        <w:tc>
          <w:tcPr>
            <w:tcW w:w="6740" w:type="dxa"/>
            <w:vAlign w:val="bottom"/>
          </w:tcPr>
          <w:p>
            <w:pPr>
              <w:spacing w:after="0"/>
              <w:rPr>
                <w:sz w:val="19"/>
                <w:szCs w:val="19"/>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Prior to the rights distribution date. </w:t>
      </w:r>
      <w:r>
        <w:rPr>
          <w:rFonts w:ascii="Arial" w:cs="Arial" w:eastAsia="Arial" w:hAnsi="Arial"/>
          <w:sz w:val="17"/>
          <w:szCs w:val="17"/>
          <w:color w:val="auto"/>
        </w:rPr>
        <w:t>Prior to the rights distribution date:</w:t>
      </w:r>
    </w:p>
    <w:p>
      <w:pPr>
        <w:spacing w:after="0" w:line="125" w:lineRule="exact"/>
        <w:rPr>
          <w:sz w:val="20"/>
          <w:szCs w:val="20"/>
          <w:color w:val="auto"/>
        </w:rPr>
      </w:pPr>
    </w:p>
    <w:p>
      <w:pPr>
        <w:ind w:left="340" w:hanging="335"/>
        <w:spacing w:after="0"/>
        <w:tabs>
          <w:tab w:leader="none" w:pos="340"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the rights are evidenced by our common stock certificates and will be transferred with and only with such common stock certificates; and</w:t>
      </w:r>
    </w:p>
    <w:p>
      <w:pPr>
        <w:spacing w:after="0" w:line="131" w:lineRule="exact"/>
        <w:rPr>
          <w:rFonts w:ascii="Arial" w:cs="Arial" w:eastAsia="Arial" w:hAnsi="Arial"/>
          <w:sz w:val="17"/>
          <w:szCs w:val="17"/>
          <w:b w:val="1"/>
          <w:bCs w:val="1"/>
          <w:color w:val="auto"/>
        </w:rPr>
      </w:pPr>
    </w:p>
    <w:p>
      <w:pPr>
        <w:ind w:left="340" w:right="120" w:hanging="335"/>
        <w:spacing w:after="0" w:line="289" w:lineRule="auto"/>
        <w:tabs>
          <w:tab w:leader="none" w:pos="340"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the surrender for transfer of any certificates of our common stock will also constitute the transfer of the rights associated with our common stock represented by such certificate.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Rights distribution date. </w:t>
      </w:r>
      <w:r>
        <w:rPr>
          <w:rFonts w:ascii="Arial" w:cs="Arial" w:eastAsia="Arial" w:hAnsi="Arial"/>
          <w:sz w:val="16"/>
          <w:szCs w:val="16"/>
          <w:color w:val="auto"/>
        </w:rPr>
        <w:t>The rights will separate from our common stock, and a rights distribution date will occur, upon the earlier of the following events:</w:t>
      </w:r>
    </w:p>
    <w:p>
      <w:pPr>
        <w:spacing w:after="0" w:line="136" w:lineRule="exact"/>
        <w:rPr>
          <w:sz w:val="20"/>
          <w:szCs w:val="20"/>
          <w:color w:val="auto"/>
        </w:rPr>
      </w:pPr>
    </w:p>
    <w:p>
      <w:pPr>
        <w:ind w:left="340" w:hanging="335"/>
        <w:spacing w:after="0" w:line="289" w:lineRule="auto"/>
        <w:tabs>
          <w:tab w:leader="none" w:pos="340"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10 business days following the later of (1) a public announcement that a person or group, other than an exempted person, has acquired, or obtained the right to acquire beneficial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33" w:right="259" w:bottom="1440" w:gutter="0" w:footer="0" w:header="0"/>
        </w:sectPr>
      </w:pPr>
    </w:p>
    <w:bookmarkStart w:id="365" w:name="page366"/>
    <w:bookmarkEnd w:id="365"/>
    <w:p>
      <w:pPr>
        <w:ind w:left="340" w:right="80"/>
        <w:spacing w:after="0" w:line="289" w:lineRule="auto"/>
        <w:rPr>
          <w:sz w:val="20"/>
          <w:szCs w:val="20"/>
          <w:color w:val="auto"/>
        </w:rPr>
      </w:pPr>
      <w:r>
        <w:rPr>
          <w:rFonts w:ascii="Arial" w:cs="Arial" w:eastAsia="Arial" w:hAnsi="Arial"/>
          <w:sz w:val="17"/>
          <w:szCs w:val="17"/>
          <w:color w:val="auto"/>
        </w:rPr>
        <w:t>ownership of 15% or more of the outstanding shares of our common stock or (2) the first date on which one of our executive officers has actual knowledge of such an event; and</w:t>
      </w:r>
    </w:p>
    <w:p>
      <w:pPr>
        <w:spacing w:after="0" w:line="53" w:lineRule="exact"/>
        <w:rPr>
          <w:sz w:val="20"/>
          <w:szCs w:val="20"/>
          <w:color w:val="auto"/>
        </w:rPr>
      </w:pPr>
    </w:p>
    <w:p>
      <w:pPr>
        <w:ind w:left="340" w:right="340" w:hanging="335"/>
        <w:spacing w:after="0" w:line="289" w:lineRule="auto"/>
        <w:tabs>
          <w:tab w:leader="none" w:pos="340" w:val="left"/>
        </w:tabs>
        <w:numPr>
          <w:ilvl w:val="0"/>
          <w:numId w:val="306"/>
        </w:numPr>
        <w:rPr>
          <w:rFonts w:ascii="Arial" w:cs="Arial" w:eastAsia="Arial" w:hAnsi="Arial"/>
          <w:sz w:val="17"/>
          <w:szCs w:val="17"/>
          <w:b w:val="1"/>
          <w:bCs w:val="1"/>
          <w:color w:val="auto"/>
        </w:rPr>
      </w:pPr>
      <w:r>
        <w:rPr>
          <w:rFonts w:ascii="Arial" w:cs="Arial" w:eastAsia="Arial" w:hAnsi="Arial"/>
          <w:sz w:val="17"/>
          <w:szCs w:val="17"/>
          <w:color w:val="auto"/>
        </w:rPr>
        <w:t>10 business days following the start of a tender offer or exchange offer that would result in a person or group, other than an exempted person, beneficially owning 15% or more of the outstanding shares of our common stock.</w:t>
      </w:r>
    </w:p>
    <w:p>
      <w:pPr>
        <w:spacing w:after="0" w:line="53"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The distribution date may be deferred by our board of directors and some inadvertent actions will not trigger the occurrence of the rights distribution date. In addition, a rights distribution date will not occur as a result of the ownership of our stock by the following exempted persons:</w:t>
      </w:r>
    </w:p>
    <w:p>
      <w:pPr>
        <w:spacing w:after="0" w:line="53" w:lineRule="exact"/>
        <w:rPr>
          <w:sz w:val="20"/>
          <w:szCs w:val="20"/>
          <w:color w:val="auto"/>
        </w:rPr>
      </w:pPr>
    </w:p>
    <w:p>
      <w:pPr>
        <w:ind w:left="340" w:hanging="335"/>
        <w:spacing w:after="0"/>
        <w:tabs>
          <w:tab w:leader="none" w:pos="340" w:val="left"/>
        </w:tabs>
        <w:numPr>
          <w:ilvl w:val="0"/>
          <w:numId w:val="307"/>
        </w:numPr>
        <w:rPr>
          <w:rFonts w:ascii="Arial" w:cs="Arial" w:eastAsia="Arial" w:hAnsi="Arial"/>
          <w:sz w:val="17"/>
          <w:szCs w:val="17"/>
          <w:b w:val="1"/>
          <w:bCs w:val="1"/>
          <w:color w:val="auto"/>
        </w:rPr>
      </w:pPr>
      <w:r>
        <w:rPr>
          <w:rFonts w:ascii="Arial" w:cs="Arial" w:eastAsia="Arial" w:hAnsi="Arial"/>
          <w:sz w:val="17"/>
          <w:szCs w:val="17"/>
          <w:color w:val="auto"/>
        </w:rPr>
        <w:t>Fuad El-Hibri, Nancy El-Hibri and any person controlled by Fuad El-Hibri or Nancy El-Hibri;</w:t>
      </w:r>
    </w:p>
    <w:p>
      <w:pPr>
        <w:spacing w:after="0" w:line="131" w:lineRule="exact"/>
        <w:rPr>
          <w:rFonts w:ascii="Arial" w:cs="Arial" w:eastAsia="Arial" w:hAnsi="Arial"/>
          <w:sz w:val="17"/>
          <w:szCs w:val="17"/>
          <w:b w:val="1"/>
          <w:bCs w:val="1"/>
          <w:color w:val="auto"/>
        </w:rPr>
      </w:pPr>
    </w:p>
    <w:p>
      <w:pPr>
        <w:ind w:left="340" w:right="120" w:hanging="335"/>
        <w:spacing w:after="0" w:line="267" w:lineRule="auto"/>
        <w:tabs>
          <w:tab w:leader="none" w:pos="340" w:val="left"/>
        </w:tabs>
        <w:numPr>
          <w:ilvl w:val="0"/>
          <w:numId w:val="307"/>
        </w:numPr>
        <w:rPr>
          <w:rFonts w:ascii="Arial" w:cs="Arial" w:eastAsia="Arial" w:hAnsi="Arial"/>
          <w:sz w:val="17"/>
          <w:szCs w:val="17"/>
          <w:b w:val="1"/>
          <w:bCs w:val="1"/>
          <w:color w:val="auto"/>
        </w:rPr>
      </w:pPr>
      <w:r>
        <w:rPr>
          <w:rFonts w:ascii="Arial" w:cs="Arial" w:eastAsia="Arial" w:hAnsi="Arial"/>
          <w:sz w:val="17"/>
          <w:szCs w:val="17"/>
          <w:color w:val="auto"/>
        </w:rPr>
        <w:t>Microscience Investments Limited, unless and until such time as Microscience, together with its affiliates and associates, directly or indirectly, becomes the beneficial owner of any additional shares of common stock, except under certain specified circumstances, and disregarding any shares Microscience is or becomes the beneficial owner of solely as a result of the fact that it is a party to any of the stockholder agreements described in the Registration Statement on Form S-1 filed in connection with our initial public offering; and</w:t>
      </w:r>
    </w:p>
    <w:p>
      <w:pPr>
        <w:spacing w:after="0" w:line="86" w:lineRule="exact"/>
        <w:rPr>
          <w:rFonts w:ascii="Arial" w:cs="Arial" w:eastAsia="Arial" w:hAnsi="Arial"/>
          <w:sz w:val="17"/>
          <w:szCs w:val="17"/>
          <w:b w:val="1"/>
          <w:bCs w:val="1"/>
          <w:color w:val="auto"/>
        </w:rPr>
      </w:pPr>
    </w:p>
    <w:p>
      <w:pPr>
        <w:ind w:left="340" w:right="60" w:hanging="335"/>
        <w:spacing w:after="0" w:line="273" w:lineRule="auto"/>
        <w:tabs>
          <w:tab w:leader="none" w:pos="340" w:val="left"/>
        </w:tabs>
        <w:numPr>
          <w:ilvl w:val="0"/>
          <w:numId w:val="307"/>
        </w:numPr>
        <w:rPr>
          <w:rFonts w:ascii="Arial" w:cs="Arial" w:eastAsia="Arial" w:hAnsi="Arial"/>
          <w:sz w:val="17"/>
          <w:szCs w:val="17"/>
          <w:b w:val="1"/>
          <w:bCs w:val="1"/>
          <w:color w:val="auto"/>
        </w:rPr>
      </w:pPr>
      <w:r>
        <w:rPr>
          <w:rFonts w:ascii="Arial" w:cs="Arial" w:eastAsia="Arial" w:hAnsi="Arial"/>
          <w:sz w:val="17"/>
          <w:szCs w:val="17"/>
          <w:color w:val="auto"/>
        </w:rPr>
        <w:t>each other holder of our common stock immediately prior to this offering to the extent such person’s beneficial ownership exceeds 15% solely as a result of the fact that the person is a party to any of the stockholder agreements described in the Registration Statement on Form S-1 filed in connection with our initial public offering.</w:t>
      </w:r>
    </w:p>
    <w:p>
      <w:pPr>
        <w:spacing w:after="0" w:line="66"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As soon as practicable after the rights distribution date, separate rights certificates will be mailed to the holders of record of our common stock as of the close of business on the rights distribution date. From and after the rights distribution date, the separate rights certificates alone will represent the rights. All shares of our common stock issued prior to the rights distribution date will be issued with rights. Shares of our common stock issued after the rights distribution date in connection with specified employee benefit plans or upon conversion of specified securities will be issued with rights. Except as otherwise determined by our board of directors, no other shares of our common stock issued after the rights distribution date will be issued with rights.</w:t>
      </w:r>
    </w:p>
    <w:p>
      <w:pPr>
        <w:spacing w:after="0" w:line="5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Flip-in event. </w:t>
      </w:r>
      <w:r>
        <w:rPr>
          <w:rFonts w:ascii="Arial" w:cs="Arial" w:eastAsia="Arial" w:hAnsi="Arial"/>
          <w:sz w:val="17"/>
          <w:szCs w:val="17"/>
          <w:color w:val="auto"/>
        </w:rPr>
        <w:t>If a person or group, other than an exempted person, becomes the beneficial owner of 15% or more of the outstanding shares of our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described below, each holder of a right will thereafter have the right to receive, upon exercise, a number of shares of our common stock, or, in some circumstances, cash, property or other securities of ours, which equals the exercise price of the right divided by one-half of the current market price of our common stock on the date the acquisition occurs. However, following the acquisition:</w:t>
      </w:r>
    </w:p>
    <w:p>
      <w:pPr>
        <w:spacing w:after="0" w:line="69" w:lineRule="exact"/>
        <w:rPr>
          <w:sz w:val="20"/>
          <w:szCs w:val="20"/>
          <w:color w:val="auto"/>
        </w:rPr>
      </w:pPr>
    </w:p>
    <w:p>
      <w:pPr>
        <w:ind w:left="5580" w:right="4160" w:hanging="5575"/>
        <w:spacing w:after="0" w:line="514" w:lineRule="auto"/>
        <w:tabs>
          <w:tab w:leader="none" w:pos="329" w:val="left"/>
        </w:tabs>
        <w:numPr>
          <w:ilvl w:val="0"/>
          <w:numId w:val="308"/>
        </w:numPr>
        <w:rPr>
          <w:rFonts w:ascii="Arial" w:cs="Arial" w:eastAsia="Arial" w:hAnsi="Arial"/>
          <w:sz w:val="17"/>
          <w:szCs w:val="17"/>
          <w:b w:val="1"/>
          <w:bCs w:val="1"/>
          <w:color w:val="auto"/>
        </w:rPr>
      </w:pPr>
      <w:r>
        <w:rPr>
          <w:rFonts w:ascii="Arial" w:cs="Arial" w:eastAsia="Arial" w:hAnsi="Arial"/>
          <w:sz w:val="17"/>
          <w:szCs w:val="17"/>
          <w:color w:val="auto"/>
        </w:rPr>
        <w:t>rights will not be exercisable until the rights are no longer redeemable by us as set forth below; and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254875" cy="209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66" w:name="page367"/>
    <w:bookmarkEnd w:id="366"/>
    <w:p>
      <w:pPr>
        <w:ind w:left="340" w:hanging="335"/>
        <w:spacing w:after="0"/>
        <w:tabs>
          <w:tab w:leader="none" w:pos="340" w:val="left"/>
        </w:tabs>
        <w:numPr>
          <w:ilvl w:val="0"/>
          <w:numId w:val="309"/>
        </w:numPr>
        <w:rPr>
          <w:rFonts w:ascii="Arial" w:cs="Arial" w:eastAsia="Arial" w:hAnsi="Arial"/>
          <w:sz w:val="16"/>
          <w:szCs w:val="16"/>
          <w:b w:val="1"/>
          <w:bCs w:val="1"/>
          <w:color w:val="auto"/>
        </w:rPr>
      </w:pPr>
      <w:r>
        <w:rPr>
          <w:rFonts w:ascii="Arial" w:cs="Arial" w:eastAsia="Arial" w:hAnsi="Arial"/>
          <w:sz w:val="16"/>
          <w:szCs w:val="16"/>
          <w:color w:val="auto"/>
        </w:rPr>
        <w:t>all rights that are, or were, under the circumstances specified in the rights agreement, beneficially owned by any acquiring person will be null and void.</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event set forth in this paragraph is referred to as a flip-in event. A flip-in event would not occur if there is an offer for all of our outstanding shares of common stock that at least 75% of our board of directors determines is fair to our stockholders and in their best interests.</w:t>
      </w:r>
    </w:p>
    <w:p>
      <w:pPr>
        <w:spacing w:after="0" w:line="47"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b w:val="1"/>
          <w:bCs w:val="1"/>
          <w:color w:val="auto"/>
        </w:rPr>
        <w:t xml:space="preserve">Flip-over event. </w:t>
      </w:r>
      <w:r>
        <w:rPr>
          <w:rFonts w:ascii="Arial" w:cs="Arial" w:eastAsia="Arial" w:hAnsi="Arial"/>
          <w:sz w:val="17"/>
          <w:szCs w:val="17"/>
          <w:color w:val="auto"/>
        </w:rPr>
        <w:t>If at any time after a person or group, other than an exempted person, has become the beneficial owner of 15% or more of the outstanding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our common stock:</w:t>
      </w:r>
    </w:p>
    <w:p>
      <w:pPr>
        <w:spacing w:after="0" w:line="48" w:lineRule="exact"/>
        <w:rPr>
          <w:sz w:val="20"/>
          <w:szCs w:val="20"/>
          <w:color w:val="auto"/>
        </w:rPr>
      </w:pPr>
    </w:p>
    <w:p>
      <w:pPr>
        <w:ind w:left="340" w:hanging="335"/>
        <w:spacing w:after="0"/>
        <w:tabs>
          <w:tab w:leader="none" w:pos="340" w:val="left"/>
        </w:tabs>
        <w:numPr>
          <w:ilvl w:val="0"/>
          <w:numId w:val="310"/>
        </w:numPr>
        <w:rPr>
          <w:rFonts w:ascii="Arial" w:cs="Arial" w:eastAsia="Arial" w:hAnsi="Arial"/>
          <w:sz w:val="17"/>
          <w:szCs w:val="17"/>
          <w:b w:val="1"/>
          <w:bCs w:val="1"/>
          <w:color w:val="auto"/>
        </w:rPr>
      </w:pPr>
      <w:r>
        <w:rPr>
          <w:rFonts w:ascii="Arial" w:cs="Arial" w:eastAsia="Arial" w:hAnsi="Arial"/>
          <w:sz w:val="17"/>
          <w:szCs w:val="17"/>
          <w:color w:val="auto"/>
        </w:rPr>
        <w:t>we are acquired in a merger or other business combination transaction in which we are not the surviving corporation;</w:t>
      </w:r>
    </w:p>
    <w:p>
      <w:pPr>
        <w:spacing w:after="0" w:line="223" w:lineRule="exact"/>
        <w:rPr>
          <w:rFonts w:ascii="Arial" w:cs="Arial" w:eastAsia="Arial" w:hAnsi="Arial"/>
          <w:sz w:val="17"/>
          <w:szCs w:val="17"/>
          <w:b w:val="1"/>
          <w:bCs w:val="1"/>
          <w:color w:val="auto"/>
        </w:rPr>
      </w:pPr>
    </w:p>
    <w:p>
      <w:pPr>
        <w:ind w:left="340" w:hanging="335"/>
        <w:spacing w:after="0" w:line="289" w:lineRule="auto"/>
        <w:tabs>
          <w:tab w:leader="none" w:pos="340" w:val="left"/>
        </w:tabs>
        <w:numPr>
          <w:ilvl w:val="0"/>
          <w:numId w:val="310"/>
        </w:numPr>
        <w:rPr>
          <w:rFonts w:ascii="Arial" w:cs="Arial" w:eastAsia="Arial" w:hAnsi="Arial"/>
          <w:sz w:val="17"/>
          <w:szCs w:val="17"/>
          <w:b w:val="1"/>
          <w:bCs w:val="1"/>
          <w:color w:val="auto"/>
        </w:rPr>
      </w:pPr>
      <w:r>
        <w:rPr>
          <w:rFonts w:ascii="Arial" w:cs="Arial" w:eastAsia="Arial" w:hAnsi="Arial"/>
          <w:sz w:val="17"/>
          <w:szCs w:val="17"/>
          <w:color w:val="auto"/>
        </w:rPr>
        <w:t>we are the surviving entity in a merger of other business combination transaction but our common stock is changed or exchanged for stock or securities of any other person or for cash or any other property; or</w:t>
      </w:r>
    </w:p>
    <w:p>
      <w:pPr>
        <w:spacing w:after="0" w:line="157" w:lineRule="exact"/>
        <w:rPr>
          <w:rFonts w:ascii="Arial" w:cs="Arial" w:eastAsia="Arial" w:hAnsi="Arial"/>
          <w:sz w:val="17"/>
          <w:szCs w:val="17"/>
          <w:b w:val="1"/>
          <w:bCs w:val="1"/>
          <w:color w:val="auto"/>
        </w:rPr>
      </w:pPr>
    </w:p>
    <w:p>
      <w:pPr>
        <w:ind w:left="340" w:hanging="335"/>
        <w:spacing w:after="0"/>
        <w:tabs>
          <w:tab w:leader="none" w:pos="340" w:val="left"/>
        </w:tabs>
        <w:numPr>
          <w:ilvl w:val="0"/>
          <w:numId w:val="310"/>
        </w:numPr>
        <w:rPr>
          <w:rFonts w:ascii="Arial" w:cs="Arial" w:eastAsia="Arial" w:hAnsi="Arial"/>
          <w:sz w:val="17"/>
          <w:szCs w:val="17"/>
          <w:b w:val="1"/>
          <w:bCs w:val="1"/>
          <w:color w:val="auto"/>
        </w:rPr>
      </w:pPr>
      <w:r>
        <w:rPr>
          <w:rFonts w:ascii="Arial" w:cs="Arial" w:eastAsia="Arial" w:hAnsi="Arial"/>
          <w:sz w:val="17"/>
          <w:szCs w:val="17"/>
          <w:color w:val="auto"/>
        </w:rPr>
        <w:t>more than 50% of our assets or earning power is sold or transferred,</w:t>
      </w:r>
    </w:p>
    <w:p>
      <w:pPr>
        <w:spacing w:after="0" w:line="11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then each holder of a right, except rights which previously have been voided as set forth above, shall thereafter have the right to receive, upon exercise, that number of shares of common stock of the acquiring company which equals the exercise price of the right divided by one-half of the current market price of that company’s common stock at the date of the occurrence of the event.</w:t>
      </w:r>
    </w:p>
    <w:p>
      <w:pPr>
        <w:spacing w:after="0" w:line="66" w:lineRule="exact"/>
        <w:rPr>
          <w:sz w:val="20"/>
          <w:szCs w:val="20"/>
          <w:color w:val="auto"/>
        </w:rPr>
      </w:pPr>
    </w:p>
    <w:p>
      <w:pPr>
        <w:ind w:right="80"/>
        <w:spacing w:after="0" w:line="322" w:lineRule="auto"/>
        <w:rPr>
          <w:sz w:val="20"/>
          <w:szCs w:val="20"/>
          <w:color w:val="auto"/>
        </w:rPr>
      </w:pPr>
      <w:r>
        <w:rPr>
          <w:rFonts w:ascii="Arial" w:cs="Arial" w:eastAsia="Arial" w:hAnsi="Arial"/>
          <w:sz w:val="16"/>
          <w:szCs w:val="16"/>
          <w:color w:val="auto"/>
        </w:rPr>
        <w:t>The event set forth in this paragraph is referred to as a flip-over event. A flip-over event does not arise if the merger or other transaction follows an offer for all of our outstanding shares of common stock that at least 75% of our board of directors determines is fair to our stockholders and in their best interests.</w:t>
      </w:r>
    </w:p>
    <w:p>
      <w:pPr>
        <w:spacing w:after="0" w:line="24" w:lineRule="exact"/>
        <w:rPr>
          <w:sz w:val="20"/>
          <w:szCs w:val="20"/>
          <w:color w:val="auto"/>
        </w:rPr>
      </w:pPr>
    </w:p>
    <w:p>
      <w:pPr>
        <w:spacing w:after="0" w:line="329" w:lineRule="auto"/>
        <w:rPr>
          <w:sz w:val="20"/>
          <w:szCs w:val="20"/>
          <w:color w:val="auto"/>
        </w:rPr>
      </w:pPr>
      <w:r>
        <w:rPr>
          <w:rFonts w:ascii="Arial" w:cs="Arial" w:eastAsia="Arial" w:hAnsi="Arial"/>
          <w:sz w:val="15"/>
          <w:szCs w:val="15"/>
          <w:b w:val="1"/>
          <w:bCs w:val="1"/>
          <w:color w:val="auto"/>
        </w:rPr>
        <w:t xml:space="preserve">Exchange of rights. </w:t>
      </w:r>
      <w:r>
        <w:rPr>
          <w:rFonts w:ascii="Arial" w:cs="Arial" w:eastAsia="Arial" w:hAnsi="Arial"/>
          <w:sz w:val="15"/>
          <w:szCs w:val="15"/>
          <w:color w:val="auto"/>
        </w:rPr>
        <w:t>At any time after a flip-in event, when no person owns a majority of our common stock, our board of directors may exchange the rights, other</w:t>
      </w:r>
      <w:r>
        <w:rPr>
          <w:rFonts w:ascii="Arial" w:cs="Arial" w:eastAsia="Arial" w:hAnsi="Arial"/>
          <w:sz w:val="15"/>
          <w:szCs w:val="15"/>
          <w:b w:val="1"/>
          <w:bCs w:val="1"/>
          <w:color w:val="auto"/>
        </w:rPr>
        <w:t xml:space="preserve"> </w:t>
      </w:r>
      <w:r>
        <w:rPr>
          <w:rFonts w:ascii="Arial" w:cs="Arial" w:eastAsia="Arial" w:hAnsi="Arial"/>
          <w:sz w:val="15"/>
          <w:szCs w:val="15"/>
          <w:color w:val="auto"/>
        </w:rPr>
        <w:t>than rights owned by the acquiring person that have become void, in whole or in part, at an exchange ratio of one share of our common stock, or one one-thousandth of a share of Series A preferred stock, or of a share of a class or series of preferred stock having equivalent rights, preferences and privileges, per right.</w:t>
      </w:r>
    </w:p>
    <w:p>
      <w:pPr>
        <w:spacing w:after="0" w:line="24" w:lineRule="exact"/>
        <w:rPr>
          <w:sz w:val="20"/>
          <w:szCs w:val="20"/>
          <w:color w:val="auto"/>
        </w:rPr>
      </w:pPr>
    </w:p>
    <w:p>
      <w:pPr>
        <w:ind w:right="400"/>
        <w:spacing w:after="0" w:line="276" w:lineRule="auto"/>
        <w:rPr>
          <w:sz w:val="20"/>
          <w:szCs w:val="20"/>
          <w:color w:val="auto"/>
        </w:rPr>
      </w:pPr>
      <w:r>
        <w:rPr>
          <w:rFonts w:ascii="Arial" w:cs="Arial" w:eastAsia="Arial" w:hAnsi="Arial"/>
          <w:sz w:val="17"/>
          <w:szCs w:val="17"/>
          <w:b w:val="1"/>
          <w:bCs w:val="1"/>
          <w:color w:val="auto"/>
        </w:rPr>
        <w:t xml:space="preserve">Adjustments. </w:t>
      </w:r>
      <w:r>
        <w:rPr>
          <w:rFonts w:ascii="Arial" w:cs="Arial" w:eastAsia="Arial" w:hAnsi="Arial"/>
          <w:sz w:val="17"/>
          <w:szCs w:val="17"/>
          <w:color w:val="auto"/>
        </w:rPr>
        <w:t>The purchase price of the rights, and the number of securities purchasable, are subject to adjustment from time to time to prevent dilution.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rights associated with each share of common stock is also subject to adjustment in the event of a stock splits, subdivisions, consolidations or combinations of our common stock that occur prior to the rights distribution date.</w:t>
      </w:r>
    </w:p>
    <w:p>
      <w:pPr>
        <w:spacing w:after="0" w:line="5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Series A junior participating preferred stock. </w:t>
      </w:r>
      <w:r>
        <w:rPr>
          <w:rFonts w:ascii="Arial" w:cs="Arial" w:eastAsia="Arial" w:hAnsi="Arial"/>
          <w:sz w:val="16"/>
          <w:szCs w:val="16"/>
          <w:color w:val="auto"/>
        </w:rPr>
        <w:t>Series A preferred stock purchasable upon exercise of the rights will not be redeemable. Each share of series A</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will be entitled to receive when, as and if declared by our board of directors, a minimum preferential quarterly dividend payment of $10 per share or, if greater, an aggregate dividend of 1,000 times the dividend declared per share of our common stock. In the event of liquidation, the holders of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913" w:right="279" w:bottom="1440" w:gutter="0" w:footer="0" w:header="0"/>
        </w:sectPr>
      </w:pPr>
    </w:p>
    <w:bookmarkStart w:id="367" w:name="page368"/>
    <w:bookmarkEnd w:id="367"/>
    <w:p>
      <w:pPr>
        <w:ind w:right="140"/>
        <w:spacing w:after="0" w:line="265" w:lineRule="auto"/>
        <w:rPr>
          <w:sz w:val="20"/>
          <w:szCs w:val="20"/>
          <w:color w:val="auto"/>
        </w:rPr>
      </w:pPr>
      <w:r>
        <w:rPr>
          <w:rFonts w:ascii="Arial" w:cs="Arial" w:eastAsia="Arial" w:hAnsi="Arial"/>
          <w:sz w:val="17"/>
          <w:szCs w:val="17"/>
          <w:color w:val="auto"/>
        </w:rPr>
        <w:t>the series A preferred stock will be entitled to a minimum preferential liquidation payment of $1,000 per share, plus accrued and unpaid dividends, and will be entitled to an aggregate payment of 1,000 times the payment made per share of our common stock. Each share of series A preferred stock will have 1,000 votes, voting together with our common stock. In the event of any merger, consolidation or other transaction in which our common stock is changed or exchanged, each share of series A preferred stock will be entitled to receive 1,000 times the amount received per share of our common stock. These rights are protected by customary antidilution provisions.</w:t>
      </w:r>
    </w:p>
    <w:p>
      <w:pPr>
        <w:spacing w:after="0" w:line="73"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Because of the nature of the series A preferred stock’s dividend, liquidation and voting rights, the value of one one thousandth of a share of series A preferred stock purchasable upon exercise of each right should approximate the value of one share of common stock.</w:t>
      </w:r>
    </w:p>
    <w:p>
      <w:pPr>
        <w:spacing w:after="0" w:line="4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Redemption of rights. </w:t>
      </w:r>
      <w:r>
        <w:rPr>
          <w:rFonts w:ascii="Arial" w:cs="Arial" w:eastAsia="Arial" w:hAnsi="Arial"/>
          <w:sz w:val="16"/>
          <w:szCs w:val="16"/>
          <w:color w:val="auto"/>
        </w:rPr>
        <w:t>At any time until ten business days following the date of a public announcement that a person or group, other than an exempted person, has</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or obtained the right to acquire beneficial ownership of 15% or more of the outstanding shares of our common stock, or such later date upon which one of our executive officers first has actual knowledge of such event or such later date as our board of directors may determine, we may redeem the rights in whole, but not in part, at a price of $.001 per right, payable in cash or stock. Immediately upon the redemption of the rights or such earlier time as established by our board of directors, the rights will terminate and the only right of the holders of rights will be to receive the redemption price.</w:t>
      </w:r>
    </w:p>
    <w:p>
      <w:pPr>
        <w:spacing w:after="0" w:line="52"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Status of rights holder and tax affects. </w:t>
      </w:r>
      <w:r>
        <w:rPr>
          <w:rFonts w:ascii="Arial" w:cs="Arial" w:eastAsia="Arial" w:hAnsi="Arial"/>
          <w:sz w:val="17"/>
          <w:szCs w:val="17"/>
          <w:color w:val="auto"/>
        </w:rPr>
        <w:t>Until a right is exercised, the holder of the right, as such, will have no rights as a stockholder of ours, including no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vote or to receive dividends. Although the distribution of the rights should not be taxable to stockholders or to us, stockholders may, depending upon the circumstances, recognize taxable income in the event that the rights become exercisable for our common stock, or other consideration, or for common stock of the acquiring company as described above.</w:t>
      </w:r>
    </w:p>
    <w:p>
      <w:pPr>
        <w:spacing w:after="0" w:line="6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color w:val="auto"/>
        </w:rPr>
        <w:t xml:space="preserve">Board’s authority to amend. </w:t>
      </w:r>
      <w:r>
        <w:rPr>
          <w:rFonts w:ascii="Arial" w:cs="Arial" w:eastAsia="Arial" w:hAnsi="Arial"/>
          <w:sz w:val="17"/>
          <w:szCs w:val="17"/>
          <w:color w:val="auto"/>
        </w:rPr>
        <w:t>Our board of directors may amend any provision of the rights agreement, other than the redemption price, prior to the date on which</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are no longer redeemable. Once the rights are no longer redeemable, our board’s authority to amend the rights agreement is limited to correcting ambiguities or defective or inconsistent provisions in a manner that does not adversely affect the interest of holders of rights.</w:t>
      </w:r>
    </w:p>
    <w:p>
      <w:pPr>
        <w:spacing w:after="0" w:line="5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Effects of the rights. </w:t>
      </w:r>
      <w:r>
        <w:rPr>
          <w:rFonts w:ascii="Arial" w:cs="Arial" w:eastAsia="Arial" w:hAnsi="Arial"/>
          <w:sz w:val="16"/>
          <w:szCs w:val="16"/>
          <w:color w:val="auto"/>
        </w:rPr>
        <w:t>The rights are intended to protect our stockholders in the event of an unfair or coercive offer to acquire our company and to provide our</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with adequate time to evaluate unsolicited offers. The rights may have anti-takeover effects. The rights will cause substantial dilution to a person or group that attempts to acquire us without conditioning the offer on a substantial number of rights being acquired. The rights, however, should not affect any prospective offeror willing to make an offer at a fair price and otherwise in the best interests of us and our stockholders, as determined by our board of directors. The rights should not interfere with any merger or other business combination approved by our board of directors.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C-4</w:t>
      </w:r>
    </w:p>
    <w:p>
      <w:pPr>
        <w:sectPr>
          <w:pgSz w:w="11900" w:h="16838" w:orient="portrait"/>
          <w:cols w:equalWidth="0" w:num="1">
            <w:col w:w="11420"/>
          </w:cols>
          <w:pgMar w:left="240" w:top="913" w:right="2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153670</wp:posOffset>
            </wp:positionV>
            <wp:extent cx="1205865" cy="1993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05865" cy="1993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+1 617 526 6000 (t)</w:t>
      </w:r>
    </w:p>
    <w:p>
      <w:pPr>
        <w:spacing w:after="0" w:line="26"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+1 617 526 5000 (f)</w:t>
      </w:r>
    </w:p>
    <w:p>
      <w:pPr>
        <w:spacing w:after="0" w:line="37"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wilmerhale.com</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October 27, 2006</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Emergent BioSolutions Inc.</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300 Professional Drive,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Gaithersburg, MD 20879</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u w:val="single" w:color="auto"/>
          <w:color w:val="auto"/>
        </w:rPr>
        <w:t>Registration Statement on Form S-1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119" w:lineRule="exact"/>
        <w:rPr>
          <w:sz w:val="20"/>
          <w:szCs w:val="20"/>
          <w:color w:val="auto"/>
        </w:rPr>
      </w:pPr>
    </w:p>
    <w:p>
      <w:pPr>
        <w:ind w:right="140" w:firstLine="259"/>
        <w:spacing w:after="0" w:line="280" w:lineRule="auto"/>
        <w:rPr>
          <w:sz w:val="20"/>
          <w:szCs w:val="20"/>
          <w:color w:val="auto"/>
        </w:rPr>
      </w:pPr>
      <w:r>
        <w:rPr>
          <w:rFonts w:ascii="Arial" w:cs="Arial" w:eastAsia="Arial" w:hAnsi="Arial"/>
          <w:sz w:val="16"/>
          <w:szCs w:val="16"/>
          <w:color w:val="auto"/>
        </w:rPr>
        <w:t>This opinion is furnished to you in connection with a Registration Statement on Form S-1 (File No. 333-136622) (the “Registration Statement”) filed with the Securities and Exchange Commission (the “Commission”) under the Securities Act of 1933, as amended (the “Securities Act”), for the registration of (a) an aggregate of 5,750,000 shares of Common Stock, $0.001 par value per share (the “Shares”), of Emergent BioSolutions Inc., a Delaware corporation (the “Company”), of which (i) up to 5,270,000 Shares (including 270,000 Shares issuable upon exercise of an over-allotment option granted by the Company) will be issued and sold by the Company and (ii) up to 480,000 Shares may be sold by certain stockholders of the Company (the “Selling Stockholders”) upon exercise of an over-allotment option granted by the Selling Stockholders, and (b) the associated Series A Junior Participating Preferred Stock Purchase Rights (the “Rights”) to be issued pursuant to a Rights Agreement (the “Rights Agreement”) to be entered into by and between the Company and American Stock Transfer &amp; Trust Company, as Rights Agent (the “Rights Agent”), the form of which has been filed as Exhibit 4.1 to the Registration Statement.</w:t>
      </w:r>
    </w:p>
    <w:p>
      <w:pPr>
        <w:spacing w:after="0" w:line="64" w:lineRule="exact"/>
        <w:rPr>
          <w:sz w:val="20"/>
          <w:szCs w:val="20"/>
          <w:color w:val="auto"/>
        </w:rPr>
      </w:pPr>
    </w:p>
    <w:p>
      <w:pPr>
        <w:ind w:right="140" w:firstLine="259"/>
        <w:spacing w:after="0" w:line="325" w:lineRule="auto"/>
        <w:rPr>
          <w:sz w:val="20"/>
          <w:szCs w:val="20"/>
          <w:color w:val="auto"/>
        </w:rPr>
      </w:pPr>
      <w:r>
        <w:rPr>
          <w:rFonts w:ascii="Arial" w:cs="Arial" w:eastAsia="Arial" w:hAnsi="Arial"/>
          <w:sz w:val="15"/>
          <w:szCs w:val="15"/>
          <w:color w:val="auto"/>
        </w:rPr>
        <w:t>The Shares are to be sold by the Company and the Selling Stockholders pursuant to an underwriting agreement (the “Underwriting Agreement”) to be entered into by and among the Company, the Selling Stockholders and J.P. Morgan Securities Inc., Cowen and Company, LLC and HSBC Securities (USA) Inc., as representatives of the several underwriters named in the Underwriting Agreement, the form of which has been filed as Exhibit 1.1 to the Registration Statement.</w:t>
      </w:r>
    </w:p>
    <w:p>
      <w:pPr>
        <w:spacing w:after="0" w:line="33" w:lineRule="exact"/>
        <w:rPr>
          <w:sz w:val="20"/>
          <w:szCs w:val="20"/>
          <w:color w:val="auto"/>
        </w:rPr>
      </w:pPr>
    </w:p>
    <w:p>
      <w:pPr>
        <w:ind w:right="180" w:firstLine="259"/>
        <w:spacing w:after="0" w:line="285" w:lineRule="auto"/>
        <w:rPr>
          <w:sz w:val="20"/>
          <w:szCs w:val="20"/>
          <w:color w:val="auto"/>
        </w:rPr>
      </w:pPr>
      <w:r>
        <w:rPr>
          <w:rFonts w:ascii="Arial" w:cs="Arial" w:eastAsia="Arial" w:hAnsi="Arial"/>
          <w:sz w:val="16"/>
          <w:szCs w:val="16"/>
          <w:color w:val="auto"/>
        </w:rPr>
        <w:t>We are acting as counsel for the Company in connection with the sale by the Company and the Selling Stockholders of the Shares. We have examined signed copies of the Registration Statement as filed with the Commission. We have also examined and relied upon the Underwriting Agreement, the form of Rights Agreement, minutes of meetings of the stockholders and the Board of Directors of the Company as provided to us by the Company, stock record books of the Company as provided to us by the Company, the Certificate of Incorporation and By-Laws of the Company, each as restated and/or amended to date, and such other documents as we have deemed necessary for purposes of rendering the opinions hereinafter set forth.</w:t>
      </w:r>
    </w:p>
    <w:p>
      <w:pPr>
        <w:spacing w:after="0" w:line="60" w:lineRule="exact"/>
        <w:rPr>
          <w:sz w:val="20"/>
          <w:szCs w:val="20"/>
          <w:color w:val="auto"/>
        </w:rPr>
      </w:pPr>
    </w:p>
    <w:p>
      <w:pPr>
        <w:ind w:right="560" w:firstLine="262"/>
        <w:spacing w:after="0" w:line="289" w:lineRule="auto"/>
        <w:rPr>
          <w:sz w:val="20"/>
          <w:szCs w:val="20"/>
          <w:color w:val="auto"/>
        </w:rPr>
      </w:pPr>
      <w:r>
        <w:rPr>
          <w:rFonts w:ascii="Arial" w:cs="Arial" w:eastAsia="Arial" w:hAnsi="Arial"/>
          <w:sz w:val="17"/>
          <w:szCs w:val="17"/>
          <w:color w:val="auto"/>
        </w:rPr>
        <w:t>In our examination of the foregoing documents, we have assumed the genuineness of all signatures, the authenticity of all documents submitted to us as originals, the conformity to</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Wilmer Cutler Pickering Hale and Dorr </w:t>
      </w:r>
      <w:r>
        <w:rPr>
          <w:rFonts w:ascii="Arial" w:cs="Arial" w:eastAsia="Arial" w:hAnsi="Arial"/>
          <w:sz w:val="9"/>
          <w:szCs w:val="9"/>
          <w:color w:val="auto"/>
        </w:rPr>
        <w:t>LLP</w:t>
      </w:r>
      <w:r>
        <w:rPr>
          <w:rFonts w:ascii="Arial" w:cs="Arial" w:eastAsia="Arial" w:hAnsi="Arial"/>
          <w:sz w:val="14"/>
          <w:szCs w:val="14"/>
          <w:color w:val="auto"/>
        </w:rPr>
        <w:t>, 60 State Street, Boston, Massachusetts 02109</w:t>
      </w:r>
    </w:p>
    <w:p>
      <w:pPr>
        <w:jc w:val="center"/>
        <w:spacing w:after="0"/>
        <w:rPr>
          <w:sz w:val="20"/>
          <w:szCs w:val="20"/>
          <w:color w:val="auto"/>
        </w:rPr>
      </w:pPr>
      <w:r>
        <w:rPr>
          <w:rFonts w:ascii="Arial" w:cs="Arial" w:eastAsia="Arial" w:hAnsi="Arial"/>
          <w:sz w:val="14"/>
          <w:szCs w:val="14"/>
          <w:color w:val="auto"/>
        </w:rPr>
        <w:t>Baltimore Beijing Berlin Boston Brussels London Munich New York Northern Virginia Oxford Palo Alto Waltham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373380</wp:posOffset>
            </wp:positionV>
            <wp:extent cx="7254875" cy="209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369" w:name="page370"/>
    <w:bookmarkEnd w:id="36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6200775</wp:posOffset>
            </wp:positionH>
            <wp:positionV relativeFrom="page">
              <wp:posOffset>588010</wp:posOffset>
            </wp:positionV>
            <wp:extent cx="1205865" cy="1993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clrChange>
                        <a:clrFrom>
                          <a:srgbClr val="FFFFFF"/>
                        </a:clrFrom>
                        <a:clrTo>
                          <a:srgbClr val="FFFFFF">
                            <a:alpha val="0"/>
                          </a:srgbClr>
                        </a:clrTo>
                      </a:clrChange>
                      <a:extLst>
                        <a:ext uri="{28A0092B-C50C-407E-A947-70E740481C1C}"/>
                      </a:extLst>
                    </a:blip>
                    <a:srcRect/>
                    <a:stretch>
                      <a:fillRect/>
                    </a:stretch>
                  </pic:blipFill>
                  <pic:spPr bwMode="auto">
                    <a:xfrm>
                      <a:off x="0" y="0"/>
                      <a:ext cx="1205865" cy="199390"/>
                    </a:xfrm>
                    <a:prstGeom prst="rect">
                      <a:avLst/>
                    </a:prstGeom>
                    <a:noFill/>
                  </pic:spPr>
                </pic:pic>
              </a:graphicData>
            </a:graphic>
          </wp:anchor>
        </w:drawing>
        <w:t>Emergent BioSolutions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October 27, 2006</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Page 2</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original documents of all documents submitted to us as copies, the authenticity of the originals of such latter documents and the legal competence of all signatories to such documents.</w:t>
      </w:r>
    </w:p>
    <w:p>
      <w:pPr>
        <w:spacing w:after="0" w:line="53" w:lineRule="exact"/>
        <w:rPr>
          <w:sz w:val="20"/>
          <w:szCs w:val="20"/>
          <w:color w:val="auto"/>
        </w:rPr>
      </w:pPr>
    </w:p>
    <w:p>
      <w:pPr>
        <w:ind w:firstLine="262"/>
        <w:spacing w:after="0" w:line="281" w:lineRule="auto"/>
        <w:rPr>
          <w:sz w:val="20"/>
          <w:szCs w:val="20"/>
          <w:color w:val="auto"/>
        </w:rPr>
      </w:pPr>
      <w:r>
        <w:rPr>
          <w:rFonts w:ascii="Arial" w:cs="Arial" w:eastAsia="Arial" w:hAnsi="Arial"/>
          <w:sz w:val="16"/>
          <w:szCs w:val="16"/>
          <w:color w:val="auto"/>
        </w:rPr>
        <w:t>Our opinion in clause (ii) below, insofar as it relates to the Selling Stockholders’ shares being fully paid, is based solely on a certificate of the Chief Financial Officer of the Company confirming the Company’s receipt of the consideration called for by the applicable resolutions authorizing the issuance of such shares. Our opinion in clause (iii) below assumes (a) the due authorization, execution and delivery of the Rights Agreement in substantially the form filed as Exhibit 4.4 to the Registration Statement by the Rights Agent and the Company, (b) that the Rights Agreement is a binding obligation of the Rights Agent, (c) that the members of the board of directors of the Company have acted in a manner consistent with their fiduciary duties as required under applicable law in adopting the Rights Agreement and (d) the filing with the Secretary of State of the State of Delaware of the Certificate of Designations with respect to the Series A Junior Participating Preferred Stock, $0.001 par value per share, of the Company issuable upon exercise of the Rights.</w:t>
      </w:r>
    </w:p>
    <w:p>
      <w:pPr>
        <w:spacing w:after="0" w:line="63" w:lineRule="exact"/>
        <w:rPr>
          <w:sz w:val="20"/>
          <w:szCs w:val="20"/>
          <w:color w:val="auto"/>
        </w:rPr>
      </w:pPr>
    </w:p>
    <w:p>
      <w:pPr>
        <w:ind w:right="760" w:firstLine="259"/>
        <w:spacing w:after="0" w:line="289" w:lineRule="auto"/>
        <w:rPr>
          <w:sz w:val="20"/>
          <w:szCs w:val="20"/>
          <w:color w:val="auto"/>
        </w:rPr>
      </w:pPr>
      <w:r>
        <w:rPr>
          <w:rFonts w:ascii="Arial" w:cs="Arial" w:eastAsia="Arial" w:hAnsi="Arial"/>
          <w:sz w:val="17"/>
          <w:szCs w:val="17"/>
          <w:color w:val="auto"/>
        </w:rPr>
        <w:t>We express no opinion herein as to the laws of any state or jurisdiction other than the state laws of the Commonwealth of Massachusetts, the General Corporation Law of the State of Delaware and the federal laws of the United States of America.</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Based upon and subject to the foregoing, we are of the opinion that:</w:t>
      </w:r>
    </w:p>
    <w:p>
      <w:pPr>
        <w:spacing w:after="0" w:line="119" w:lineRule="exact"/>
        <w:rPr>
          <w:sz w:val="20"/>
          <w:szCs w:val="20"/>
          <w:color w:val="auto"/>
        </w:rPr>
      </w:pPr>
    </w:p>
    <w:p>
      <w:pPr>
        <w:ind w:right="140" w:firstLine="267"/>
        <w:spacing w:after="0" w:line="289" w:lineRule="auto"/>
        <w:tabs>
          <w:tab w:leader="none" w:pos="47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Shares to be issued and sold by the Company have been duly authorized for issuance and, when such Shares are issued and paid for in accordance with the terms and conditions of the Underwriting Agreement, such Shares will be validly issued, fully paid and nonassessable;</w:t>
      </w:r>
    </w:p>
    <w:p>
      <w:pPr>
        <w:spacing w:after="0" w:line="53" w:lineRule="exact"/>
        <w:rPr>
          <w:rFonts w:ascii="Arial" w:cs="Arial" w:eastAsia="Arial" w:hAnsi="Arial"/>
          <w:sz w:val="17"/>
          <w:szCs w:val="17"/>
          <w:color w:val="auto"/>
        </w:rPr>
      </w:pPr>
    </w:p>
    <w:p>
      <w:pPr>
        <w:ind w:left="520" w:hanging="253"/>
        <w:spacing w:after="0"/>
        <w:tabs>
          <w:tab w:leader="none" w:pos="52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Shares to be sold by the Selling Stockholders have been duly authorized and are validly issued, fully paid and nonassessable; and</w:t>
      </w:r>
    </w:p>
    <w:p>
      <w:pPr>
        <w:spacing w:after="0" w:line="118" w:lineRule="exact"/>
        <w:rPr>
          <w:rFonts w:ascii="Arial" w:cs="Arial" w:eastAsia="Arial" w:hAnsi="Arial"/>
          <w:sz w:val="17"/>
          <w:szCs w:val="17"/>
          <w:color w:val="auto"/>
        </w:rPr>
      </w:pPr>
    </w:p>
    <w:p>
      <w:pPr>
        <w:ind w:right="160" w:firstLine="267"/>
        <w:spacing w:after="0" w:line="273" w:lineRule="auto"/>
        <w:tabs>
          <w:tab w:leader="none" w:pos="567"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Rights have been duly authorized by the Company and, when the Shares are issued and paid for in accordance with the terms and conditions of the Underwriting Agreement and the Rights are issued by the Company in accordance with the terms and conditions of the Rights Agreement, the Rights attributable to the Shares will be validly issued.</w:t>
      </w:r>
    </w:p>
    <w:p>
      <w:pPr>
        <w:spacing w:after="0" w:line="66" w:lineRule="exact"/>
        <w:rPr>
          <w:sz w:val="20"/>
          <w:szCs w:val="20"/>
          <w:color w:val="auto"/>
        </w:rPr>
      </w:pPr>
    </w:p>
    <w:p>
      <w:pPr>
        <w:ind w:right="40" w:firstLine="262"/>
        <w:spacing w:after="0" w:line="273"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363855</wp:posOffset>
            </wp:positionV>
            <wp:extent cx="7254875" cy="209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32" w:right="239" w:bottom="1440" w:gutter="0" w:footer="0" w:header="0"/>
        </w:sectPr>
      </w:pPr>
    </w:p>
    <w:bookmarkStart w:id="370" w:name="page371"/>
    <w:bookmarkEnd w:id="37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6200775</wp:posOffset>
            </wp:positionH>
            <wp:positionV relativeFrom="page">
              <wp:posOffset>588010</wp:posOffset>
            </wp:positionV>
            <wp:extent cx="1205865" cy="1993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1205865" cy="199390"/>
                    </a:xfrm>
                    <a:prstGeom prst="rect">
                      <a:avLst/>
                    </a:prstGeom>
                    <a:noFill/>
                  </pic:spPr>
                </pic:pic>
              </a:graphicData>
            </a:graphic>
          </wp:anchor>
        </w:drawing>
        <w:t>Emergent BioSolutions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October 27, 2006</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hereby consent to the filing of this opinion with the Commission as an exhibit to the Registration Statement in accordance with the requirements of</w:t>
      </w:r>
    </w:p>
    <w:p>
      <w:pPr>
        <w:spacing w:after="0" w:line="3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Item 601(b)(5) of Regulation S-K under the Securities Act and to the use of our name therein and in the related Prospectus under the caption “Validity of Common Stock.” In giving such consent, we do not hereby admit that we are in the category of persons whose consent is required under Section 7 of the Securities Act or the rules and regulations of the Commission.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WILMER CUTLER PICKERING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HALE AND DORR LLP</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By:</w:t>
        <w:tab/>
        <w:t>/s/ David E. Redlick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25400</wp:posOffset>
            </wp:positionV>
            <wp:extent cx="208724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087245" cy="8255"/>
                    </a:xfrm>
                    <a:prstGeom prst="rect">
                      <a:avLst/>
                    </a:prstGeom>
                    <a:noFill/>
                  </pic:spPr>
                </pic:pic>
              </a:graphicData>
            </a:graphic>
          </wp:anchor>
        </w:drawing>
      </w:r>
    </w:p>
    <w:p>
      <w:pPr>
        <w:spacing w:after="0" w:line="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David E. Redlick, a Partner</w:t>
      </w:r>
    </w:p>
    <w:p>
      <w:pPr>
        <w:sectPr>
          <w:pgSz w:w="11900" w:h="16838" w:orient="portrait"/>
          <w:cols w:equalWidth="0" w:num="1">
            <w:col w:w="11380"/>
          </w:cols>
          <w:pgMar w:left="240" w:top="1332" w:right="279" w:bottom="1440" w:gutter="0" w:footer="0" w:header="0"/>
        </w:sectPr>
      </w:pPr>
    </w:p>
    <w:bookmarkStart w:id="371" w:name="page372"/>
    <w:bookmarkEnd w:id="371"/>
    <w:p>
      <w:pPr>
        <w:jc w:val="right"/>
        <w:spacing w:after="0"/>
        <w:rPr>
          <w:sz w:val="20"/>
          <w:szCs w:val="20"/>
          <w:color w:val="auto"/>
        </w:rPr>
      </w:pPr>
      <w:r>
        <w:rPr>
          <w:rFonts w:ascii="Arial" w:cs="Arial" w:eastAsia="Arial" w:hAnsi="Arial"/>
          <w:sz w:val="17"/>
          <w:szCs w:val="17"/>
          <w:color w:val="auto"/>
        </w:rPr>
        <w:t>Exhibit 10.3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EMERGENT BIOSOLUTIONS INC.</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2006 STOCK INCENTIVE PLAN</w:t>
      </w:r>
    </w:p>
    <w:p>
      <w:pPr>
        <w:spacing w:after="0" w:line="224" w:lineRule="exact"/>
        <w:rPr>
          <w:sz w:val="20"/>
          <w:szCs w:val="20"/>
          <w:color w:val="auto"/>
        </w:rPr>
      </w:pPr>
    </w:p>
    <w:p>
      <w:pPr>
        <w:ind w:left="180" w:hanging="175"/>
        <w:spacing w:after="0"/>
        <w:tabs>
          <w:tab w:leader="none" w:pos="180"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Purpose</w:t>
      </w:r>
    </w:p>
    <w:p>
      <w:pPr>
        <w:spacing w:after="0" w:line="119" w:lineRule="exact"/>
        <w:rPr>
          <w:sz w:val="20"/>
          <w:szCs w:val="20"/>
          <w:color w:val="auto"/>
        </w:rPr>
      </w:pPr>
    </w:p>
    <w:p>
      <w:pPr>
        <w:ind w:right="20" w:firstLine="215"/>
        <w:spacing w:after="0" w:line="262" w:lineRule="auto"/>
        <w:rPr>
          <w:sz w:val="20"/>
          <w:szCs w:val="20"/>
          <w:color w:val="auto"/>
        </w:rPr>
      </w:pPr>
      <w:r>
        <w:rPr>
          <w:rFonts w:ascii="Arial" w:cs="Arial" w:eastAsia="Arial" w:hAnsi="Arial"/>
          <w:sz w:val="17"/>
          <w:szCs w:val="17"/>
          <w:color w:val="auto"/>
        </w:rPr>
        <w:t>The purpose of this 2006 Stock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of Emergent BioSolutions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align their interests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and any other business venture (including, without limitation, joint venture or limited liability company) in which the Company has a controlling interest, as determined by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w:t>
      </w:r>
    </w:p>
    <w:p>
      <w:pPr>
        <w:spacing w:after="0" w:line="182" w:lineRule="exact"/>
        <w:rPr>
          <w:sz w:val="20"/>
          <w:szCs w:val="20"/>
          <w:color w:val="auto"/>
        </w:rPr>
      </w:pPr>
    </w:p>
    <w:p>
      <w:pPr>
        <w:ind w:left="180" w:hanging="175"/>
        <w:spacing w:after="0"/>
        <w:tabs>
          <w:tab w:leader="none" w:pos="180"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Eligibility</w:t>
      </w:r>
    </w:p>
    <w:p>
      <w:pPr>
        <w:spacing w:after="0" w:line="119" w:lineRule="exact"/>
        <w:rPr>
          <w:sz w:val="20"/>
          <w:szCs w:val="20"/>
          <w:color w:val="auto"/>
        </w:rPr>
      </w:pPr>
    </w:p>
    <w:p>
      <w:pPr>
        <w:ind w:firstLine="208"/>
        <w:spacing w:after="0" w:line="359" w:lineRule="auto"/>
        <w:rPr>
          <w:sz w:val="20"/>
          <w:szCs w:val="20"/>
          <w:color w:val="auto"/>
        </w:rPr>
      </w:pPr>
      <w:r>
        <w:rPr>
          <w:rFonts w:ascii="Arial" w:cs="Arial" w:eastAsia="Arial" w:hAnsi="Arial"/>
          <w:sz w:val="15"/>
          <w:szCs w:val="15"/>
          <w:color w:val="auto"/>
        </w:rPr>
        <w:t>All of the Company’s employees, officers, directors, consultants and advisors are eligible to receive options, stock appreciation rights, restricted stock, restricted stock units and other stock-unit awards (each, an “</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under the Plan. Each person who receives an Award under the Plan is deemed a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w:t>
      </w:r>
    </w:p>
    <w:p>
      <w:pPr>
        <w:spacing w:after="0" w:line="113" w:lineRule="exact"/>
        <w:rPr>
          <w:sz w:val="20"/>
          <w:szCs w:val="20"/>
          <w:color w:val="auto"/>
        </w:rPr>
      </w:pPr>
    </w:p>
    <w:p>
      <w:pPr>
        <w:ind w:left="180" w:hanging="175"/>
        <w:spacing w:after="0"/>
        <w:tabs>
          <w:tab w:leader="none" w:pos="180"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Administration and Delegation</w:t>
      </w:r>
    </w:p>
    <w:p>
      <w:pPr>
        <w:spacing w:after="0" w:line="118" w:lineRule="exact"/>
        <w:rPr>
          <w:rFonts w:ascii="Arial" w:cs="Arial" w:eastAsia="Arial" w:hAnsi="Arial"/>
          <w:sz w:val="17"/>
          <w:szCs w:val="17"/>
          <w:color w:val="auto"/>
        </w:rPr>
      </w:pPr>
    </w:p>
    <w:p>
      <w:pPr>
        <w:ind w:right="20" w:firstLine="223"/>
        <w:spacing w:after="0" w:line="262" w:lineRule="auto"/>
        <w:tabs>
          <w:tab w:leader="none" w:pos="455" w:val="left"/>
        </w:tabs>
        <w:numPr>
          <w:ilvl w:val="1"/>
          <w:numId w:val="314"/>
        </w:numPr>
        <w:rPr>
          <w:rFonts w:ascii="Arial" w:cs="Arial" w:eastAsia="Arial" w:hAnsi="Arial"/>
          <w:sz w:val="17"/>
          <w:szCs w:val="17"/>
          <w:color w:val="auto"/>
        </w:rPr>
      </w:pPr>
      <w:r>
        <w:rPr>
          <w:rFonts w:ascii="Arial" w:cs="Arial" w:eastAsia="Arial" w:hAnsi="Arial"/>
          <w:sz w:val="17"/>
          <w:szCs w:val="17"/>
          <w:u w:val="single" w:color="auto"/>
          <w:color w:val="auto"/>
        </w:rPr>
        <w:t>Administration by Board of Directors</w:t>
      </w:r>
      <w:r>
        <w:rPr>
          <w:rFonts w:ascii="Arial" w:cs="Arial" w:eastAsia="Arial" w:hAnsi="Arial"/>
          <w:sz w:val="17"/>
          <w:szCs w:val="17"/>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77" w:lineRule="exact"/>
        <w:rPr>
          <w:rFonts w:ascii="Arial" w:cs="Arial" w:eastAsia="Arial" w:hAnsi="Arial"/>
          <w:sz w:val="17"/>
          <w:szCs w:val="17"/>
          <w:color w:val="auto"/>
        </w:rPr>
      </w:pPr>
    </w:p>
    <w:p>
      <w:pPr>
        <w:ind w:right="260" w:firstLine="223"/>
        <w:spacing w:after="0" w:line="297" w:lineRule="auto"/>
        <w:tabs>
          <w:tab w:leader="none" w:pos="465" w:val="left"/>
        </w:tabs>
        <w:numPr>
          <w:ilvl w:val="1"/>
          <w:numId w:val="314"/>
        </w:numPr>
        <w:rPr>
          <w:rFonts w:ascii="Arial" w:cs="Arial" w:eastAsia="Arial" w:hAnsi="Arial"/>
          <w:sz w:val="16"/>
          <w:szCs w:val="16"/>
          <w:color w:val="auto"/>
        </w:rPr>
      </w:pPr>
      <w:r>
        <w:rPr>
          <w:rFonts w:ascii="Arial" w:cs="Arial" w:eastAsia="Arial" w:hAnsi="Arial"/>
          <w:sz w:val="16"/>
          <w:szCs w:val="16"/>
          <w:u w:val="single" w:color="auto"/>
          <w:color w:val="auto"/>
        </w:rPr>
        <w:t>Appointment of Committees</w:t>
      </w:r>
      <w:r>
        <w:rPr>
          <w:rFonts w:ascii="Arial" w:cs="Arial" w:eastAsia="Arial" w:hAnsi="Arial"/>
          <w:sz w:val="16"/>
          <w:szCs w:val="16"/>
          <w:color w:val="auto"/>
        </w:rPr>
        <w:t>. To the extent permitted by applicable law, the Board may delegate any or all of its powers under the Plan to one or more committees or subcommittees of the Board (a “</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7254875" cy="209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72" w:name="page373"/>
    <w:bookmarkEnd w:id="372"/>
    <w:p>
      <w:pPr>
        <w:ind w:left="-5" w:right="40" w:firstLine="223"/>
        <w:spacing w:after="0" w:line="283" w:lineRule="auto"/>
        <w:tabs>
          <w:tab w:leader="none" w:pos="451"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Delegation to Officers</w:t>
      </w:r>
      <w:r>
        <w:rPr>
          <w:rFonts w:ascii="Arial" w:cs="Arial" w:eastAsia="Arial" w:hAnsi="Arial"/>
          <w:sz w:val="16"/>
          <w:szCs w:val="16"/>
          <w:color w:val="auto"/>
        </w:rPr>
        <w:t>. To the extent permitted by applicable law, the Board may delegate to one or more officers of the Company the power to grant Awards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to any “officer” of the Company (as defined by Rule 16a-1 under the Exchange Act).</w:t>
      </w:r>
    </w:p>
    <w:p>
      <w:pPr>
        <w:spacing w:after="0" w:line="164" w:lineRule="exact"/>
        <w:rPr>
          <w:rFonts w:ascii="Arial" w:cs="Arial" w:eastAsia="Arial" w:hAnsi="Arial"/>
          <w:sz w:val="16"/>
          <w:szCs w:val="16"/>
          <w:color w:val="auto"/>
        </w:rPr>
      </w:pPr>
    </w:p>
    <w:p>
      <w:pPr>
        <w:ind w:left="175" w:hanging="175"/>
        <w:spacing w:after="0"/>
        <w:tabs>
          <w:tab w:leader="none" w:pos="175" w:val="left"/>
        </w:tabs>
        <w:numPr>
          <w:ilvl w:val="0"/>
          <w:numId w:val="316"/>
        </w:numPr>
        <w:rPr>
          <w:rFonts w:ascii="Arial" w:cs="Arial" w:eastAsia="Arial" w:hAnsi="Arial"/>
          <w:sz w:val="17"/>
          <w:szCs w:val="17"/>
          <w:color w:val="auto"/>
        </w:rPr>
      </w:pPr>
      <w:r>
        <w:rPr>
          <w:rFonts w:ascii="Arial" w:cs="Arial" w:eastAsia="Arial" w:hAnsi="Arial"/>
          <w:sz w:val="17"/>
          <w:szCs w:val="17"/>
          <w:u w:val="single" w:color="auto"/>
          <w:color w:val="auto"/>
        </w:rPr>
        <w:t>Stock Available for Awards</w:t>
      </w:r>
    </w:p>
    <w:p>
      <w:pPr>
        <w:spacing w:after="0" w:line="118" w:lineRule="exact"/>
        <w:rPr>
          <w:rFonts w:ascii="Arial" w:cs="Arial" w:eastAsia="Arial" w:hAnsi="Arial"/>
          <w:sz w:val="17"/>
          <w:szCs w:val="17"/>
          <w:color w:val="auto"/>
        </w:rPr>
      </w:pPr>
    </w:p>
    <w:p>
      <w:pPr>
        <w:ind w:left="-5" w:right="260" w:firstLine="223"/>
        <w:spacing w:after="0" w:line="289" w:lineRule="auto"/>
        <w:tabs>
          <w:tab w:leader="none" w:pos="451" w:val="left"/>
        </w:tabs>
        <w:numPr>
          <w:ilvl w:val="1"/>
          <w:numId w:val="316"/>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adjustment under Section 10, Awards may be made under the Plan for up to the number of shares of common stock, $0.001 par value per share, of the Company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that is equal to the sum of:</w:t>
      </w:r>
    </w:p>
    <w:p>
      <w:pPr>
        <w:spacing w:after="0" w:line="53" w:lineRule="exact"/>
        <w:rPr>
          <w:rFonts w:ascii="Arial" w:cs="Arial" w:eastAsia="Arial" w:hAnsi="Arial"/>
          <w:sz w:val="17"/>
          <w:szCs w:val="17"/>
          <w:color w:val="auto"/>
        </w:rPr>
      </w:pPr>
    </w:p>
    <w:p>
      <w:pPr>
        <w:ind w:left="675" w:hanging="239"/>
        <w:spacing w:after="0"/>
        <w:tabs>
          <w:tab w:leader="none" w:pos="675" w:val="left"/>
        </w:tabs>
        <w:numPr>
          <w:ilvl w:val="2"/>
          <w:numId w:val="316"/>
        </w:numPr>
        <w:rPr>
          <w:rFonts w:ascii="Arial" w:cs="Arial" w:eastAsia="Arial" w:hAnsi="Arial"/>
          <w:sz w:val="17"/>
          <w:szCs w:val="17"/>
          <w:color w:val="auto"/>
        </w:rPr>
      </w:pPr>
      <w:r>
        <w:rPr>
          <w:rFonts w:ascii="Arial" w:cs="Arial" w:eastAsia="Arial" w:hAnsi="Arial"/>
          <w:sz w:val="17"/>
          <w:szCs w:val="17"/>
          <w:color w:val="auto"/>
        </w:rPr>
        <w:t>503,500 shares of Common Stock; plus</w:t>
      </w:r>
    </w:p>
    <w:p>
      <w:pPr>
        <w:spacing w:after="0" w:line="118" w:lineRule="exact"/>
        <w:rPr>
          <w:rFonts w:ascii="Arial" w:cs="Arial" w:eastAsia="Arial" w:hAnsi="Arial"/>
          <w:sz w:val="17"/>
          <w:szCs w:val="17"/>
          <w:color w:val="auto"/>
        </w:rPr>
      </w:pPr>
    </w:p>
    <w:p>
      <w:pPr>
        <w:ind w:left="-5" w:firstLine="441"/>
        <w:spacing w:after="0" w:line="283" w:lineRule="auto"/>
        <w:tabs>
          <w:tab w:leader="none" w:pos="679" w:val="left"/>
        </w:tabs>
        <w:numPr>
          <w:ilvl w:val="2"/>
          <w:numId w:val="316"/>
        </w:numPr>
        <w:rPr>
          <w:rFonts w:ascii="Arial" w:cs="Arial" w:eastAsia="Arial" w:hAnsi="Arial"/>
          <w:sz w:val="16"/>
          <w:szCs w:val="16"/>
          <w:color w:val="auto"/>
        </w:rPr>
      </w:pPr>
      <w:r>
        <w:rPr>
          <w:rFonts w:ascii="Arial" w:cs="Arial" w:eastAsia="Arial" w:hAnsi="Arial"/>
          <w:sz w:val="16"/>
          <w:szCs w:val="16"/>
          <w:color w:val="auto"/>
        </w:rPr>
        <w:t>such additional number of shares of Common Stock as is equal to the sum of (x) the number of shares of class B common stock, $0.01 par value per share, of the Company (the “</w:t>
      </w:r>
      <w:r>
        <w:rPr>
          <w:rFonts w:ascii="Arial" w:cs="Arial" w:eastAsia="Arial" w:hAnsi="Arial"/>
          <w:sz w:val="16"/>
          <w:szCs w:val="16"/>
          <w:b w:val="1"/>
          <w:bCs w:val="1"/>
          <w:i w:val="1"/>
          <w:iCs w:val="1"/>
          <w:color w:val="auto"/>
        </w:rPr>
        <w:t>Class B Common Stock</w:t>
      </w:r>
      <w:r>
        <w:rPr>
          <w:rFonts w:ascii="Arial" w:cs="Arial" w:eastAsia="Arial" w:hAnsi="Arial"/>
          <w:sz w:val="16"/>
          <w:szCs w:val="16"/>
          <w:color w:val="auto"/>
        </w:rPr>
        <w:t>”) reserved for issuance under the Company’s Employee Stock Option Plan as amended and restated effective January 26, 2005 (the “</w:t>
      </w:r>
      <w:r>
        <w:rPr>
          <w:rFonts w:ascii="Arial" w:cs="Arial" w:eastAsia="Arial" w:hAnsi="Arial"/>
          <w:sz w:val="16"/>
          <w:szCs w:val="16"/>
          <w:b w:val="1"/>
          <w:bCs w:val="1"/>
          <w:i w:val="1"/>
          <w:iCs w:val="1"/>
          <w:color w:val="auto"/>
        </w:rPr>
        <w:t>Existing Plan</w:t>
      </w:r>
      <w:r>
        <w:rPr>
          <w:rFonts w:ascii="Arial" w:cs="Arial" w:eastAsia="Arial" w:hAnsi="Arial"/>
          <w:sz w:val="16"/>
          <w:szCs w:val="16"/>
          <w:color w:val="auto"/>
        </w:rPr>
        <w:t>”) that remain available for grant under the Existing Plan immediately prior to the closing of the Company’s initial public offering and (y) the number of shares of Class B Common Stock subject to awards granted under the Existing Plan which awards expire, terminate or are otherwise surrendered, canceled, forfeited or repurchased by the Company at their original issuance price pursuant to a contractual repurchase right (subject, however, in the case of Incentive Stock Options (as hereinafter defined) to any limitations of the Code); plus</w:t>
      </w:r>
    </w:p>
    <w:p>
      <w:pPr>
        <w:spacing w:after="0" w:line="60" w:lineRule="exact"/>
        <w:rPr>
          <w:rFonts w:ascii="Arial" w:cs="Arial" w:eastAsia="Arial" w:hAnsi="Arial"/>
          <w:sz w:val="16"/>
          <w:szCs w:val="16"/>
          <w:color w:val="auto"/>
        </w:rPr>
      </w:pPr>
    </w:p>
    <w:p>
      <w:pPr>
        <w:ind w:left="-5" w:right="100" w:firstLine="441"/>
        <w:spacing w:after="0" w:line="322" w:lineRule="auto"/>
        <w:tabs>
          <w:tab w:leader="none" w:pos="679" w:val="left"/>
        </w:tabs>
        <w:numPr>
          <w:ilvl w:val="2"/>
          <w:numId w:val="316"/>
        </w:numPr>
        <w:rPr>
          <w:rFonts w:ascii="Arial" w:cs="Arial" w:eastAsia="Arial" w:hAnsi="Arial"/>
          <w:sz w:val="16"/>
          <w:szCs w:val="16"/>
          <w:color w:val="auto"/>
        </w:rPr>
      </w:pPr>
      <w:r>
        <w:rPr>
          <w:rFonts w:ascii="Arial" w:cs="Arial" w:eastAsia="Arial" w:hAnsi="Arial"/>
          <w:sz w:val="16"/>
          <w:szCs w:val="16"/>
          <w:color w:val="auto"/>
        </w:rPr>
        <w:t>an increase to be added on the first day of the first quarter of the Company’s fiscal year 2007 equal to the lesser of (i) 428,700 shares of Common Stock, (ii) 1.5 % of the aggregate number of shares of Common Stock outstanding on such date or (iii) an amount determined by the Board; plus</w:t>
      </w:r>
    </w:p>
    <w:p>
      <w:pPr>
        <w:spacing w:after="0" w:line="30" w:lineRule="exact"/>
        <w:rPr>
          <w:rFonts w:ascii="Arial" w:cs="Arial" w:eastAsia="Arial" w:hAnsi="Arial"/>
          <w:sz w:val="16"/>
          <w:szCs w:val="16"/>
          <w:color w:val="auto"/>
        </w:rPr>
      </w:pPr>
    </w:p>
    <w:p>
      <w:pPr>
        <w:ind w:left="-5" w:right="60" w:firstLine="441"/>
        <w:spacing w:after="0" w:line="322" w:lineRule="auto"/>
        <w:tabs>
          <w:tab w:leader="none" w:pos="679" w:val="left"/>
        </w:tabs>
        <w:numPr>
          <w:ilvl w:val="2"/>
          <w:numId w:val="316"/>
        </w:numPr>
        <w:rPr>
          <w:rFonts w:ascii="Arial" w:cs="Arial" w:eastAsia="Arial" w:hAnsi="Arial"/>
          <w:sz w:val="16"/>
          <w:szCs w:val="16"/>
          <w:color w:val="auto"/>
        </w:rPr>
      </w:pPr>
      <w:r>
        <w:rPr>
          <w:rFonts w:ascii="Arial" w:cs="Arial" w:eastAsia="Arial" w:hAnsi="Arial"/>
          <w:sz w:val="16"/>
          <w:szCs w:val="16"/>
          <w:color w:val="auto"/>
        </w:rPr>
        <w:t>an increase to be added on the first day of the third quarter of the Company’s fiscal year 2007 equal to the lesser of (i) 463,200 shares of Common Stock, (ii) 1.5 % of the aggregate number of shares of Common Stock outstanding on such date or (iii) an amount determined by the Board; plus</w:t>
      </w:r>
    </w:p>
    <w:p>
      <w:pPr>
        <w:spacing w:after="0" w:line="30" w:lineRule="exact"/>
        <w:rPr>
          <w:rFonts w:ascii="Arial" w:cs="Arial" w:eastAsia="Arial" w:hAnsi="Arial"/>
          <w:sz w:val="16"/>
          <w:szCs w:val="16"/>
          <w:color w:val="auto"/>
        </w:rPr>
      </w:pPr>
    </w:p>
    <w:p>
      <w:pPr>
        <w:ind w:left="-5" w:right="100" w:firstLine="441"/>
        <w:spacing w:after="0" w:line="322" w:lineRule="auto"/>
        <w:tabs>
          <w:tab w:leader="none" w:pos="679" w:val="left"/>
        </w:tabs>
        <w:numPr>
          <w:ilvl w:val="2"/>
          <w:numId w:val="316"/>
        </w:numPr>
        <w:rPr>
          <w:rFonts w:ascii="Arial" w:cs="Arial" w:eastAsia="Arial" w:hAnsi="Arial"/>
          <w:sz w:val="16"/>
          <w:szCs w:val="16"/>
          <w:color w:val="auto"/>
        </w:rPr>
      </w:pPr>
      <w:r>
        <w:rPr>
          <w:rFonts w:ascii="Arial" w:cs="Arial" w:eastAsia="Arial" w:hAnsi="Arial"/>
          <w:sz w:val="16"/>
          <w:szCs w:val="16"/>
          <w:color w:val="auto"/>
        </w:rPr>
        <w:t>an increase to be added on the first day of the first quarter of the Company’s fiscal year 2008 equal to the lesser of (i) 926,400 shares of Common Stock, (ii) 3.0 % of the aggregate number of shares of Common Stock outstanding on such date or (iii) an amount determined by the Board; plus</w:t>
      </w:r>
    </w:p>
    <w:p>
      <w:pPr>
        <w:spacing w:after="0" w:line="30" w:lineRule="exact"/>
        <w:rPr>
          <w:rFonts w:ascii="Arial" w:cs="Arial" w:eastAsia="Arial" w:hAnsi="Arial"/>
          <w:sz w:val="16"/>
          <w:szCs w:val="16"/>
          <w:color w:val="auto"/>
        </w:rPr>
      </w:pPr>
    </w:p>
    <w:p>
      <w:pPr>
        <w:ind w:left="-5" w:right="60" w:firstLine="441"/>
        <w:spacing w:after="0" w:line="322" w:lineRule="auto"/>
        <w:tabs>
          <w:tab w:leader="none" w:pos="679" w:val="left"/>
        </w:tabs>
        <w:numPr>
          <w:ilvl w:val="2"/>
          <w:numId w:val="316"/>
        </w:numPr>
        <w:rPr>
          <w:rFonts w:ascii="Arial" w:cs="Arial" w:eastAsia="Arial" w:hAnsi="Arial"/>
          <w:sz w:val="16"/>
          <w:szCs w:val="16"/>
          <w:color w:val="auto"/>
        </w:rPr>
      </w:pPr>
      <w:r>
        <w:rPr>
          <w:rFonts w:ascii="Arial" w:cs="Arial" w:eastAsia="Arial" w:hAnsi="Arial"/>
          <w:sz w:val="16"/>
          <w:szCs w:val="16"/>
          <w:color w:val="auto"/>
        </w:rPr>
        <w:t>an increase to be added on the first day of the third quarter of the Company’s fiscal year 2008 equal to the lesser of (i) 466,100 shares of Common Stock, (ii) 1.5 % of the aggregate number of shares of Common Stock outstanding on such date or (iii) an amount determined by the Board; plus</w:t>
      </w:r>
    </w:p>
    <w:p>
      <w:pPr>
        <w:spacing w:after="0" w:line="109"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875" cy="209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15"/>
          </w:cols>
          <w:pgMar w:left="245" w:top="913" w:right="239" w:bottom="1440" w:gutter="0" w:footer="0" w:header="0"/>
        </w:sectPr>
      </w:pPr>
    </w:p>
    <w:bookmarkStart w:id="373" w:name="page374"/>
    <w:bookmarkEnd w:id="373"/>
    <w:p>
      <w:pPr>
        <w:ind w:left="680" w:hanging="239"/>
        <w:spacing w:after="0"/>
        <w:tabs>
          <w:tab w:leader="none" w:pos="680" w:val="left"/>
        </w:tabs>
        <w:numPr>
          <w:ilvl w:val="1"/>
          <w:numId w:val="317"/>
        </w:numPr>
        <w:rPr>
          <w:rFonts w:ascii="Arial" w:cs="Arial" w:eastAsia="Arial" w:hAnsi="Arial"/>
          <w:sz w:val="15"/>
          <w:szCs w:val="15"/>
          <w:color w:val="auto"/>
        </w:rPr>
      </w:pPr>
      <w:r>
        <w:rPr>
          <w:rFonts w:ascii="Arial" w:cs="Arial" w:eastAsia="Arial" w:hAnsi="Arial"/>
          <w:sz w:val="15"/>
          <w:szCs w:val="15"/>
          <w:color w:val="auto"/>
        </w:rPr>
        <w:t>an increase to be added on the first day of the first quarter of the Company’s fiscal year 2009 equal to the lesser of (i) 937,900 shares of Common Stock,</w:t>
      </w:r>
    </w:p>
    <w:p>
      <w:pPr>
        <w:spacing w:after="0" w:line="49" w:lineRule="exact"/>
        <w:rPr>
          <w:rFonts w:ascii="Arial" w:cs="Arial" w:eastAsia="Arial" w:hAnsi="Arial"/>
          <w:sz w:val="15"/>
          <w:szCs w:val="15"/>
          <w:color w:val="auto"/>
        </w:rPr>
      </w:pPr>
    </w:p>
    <w:p>
      <w:pPr>
        <w:ind w:left="260" w:hanging="255"/>
        <w:spacing w:after="0"/>
        <w:tabs>
          <w:tab w:leader="none" w:pos="2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3.0 % of the aggregate number of shares of Common Stock outstanding on such date or (iii) an amount determined by the Board; plus</w:t>
      </w:r>
    </w:p>
    <w:p>
      <w:pPr>
        <w:spacing w:after="0" w:line="106" w:lineRule="exact"/>
        <w:rPr>
          <w:rFonts w:ascii="Arial" w:cs="Arial" w:eastAsia="Arial" w:hAnsi="Arial"/>
          <w:sz w:val="17"/>
          <w:szCs w:val="17"/>
          <w:color w:val="auto"/>
        </w:rPr>
      </w:pPr>
    </w:p>
    <w:p>
      <w:pPr>
        <w:ind w:left="680" w:hanging="239"/>
        <w:spacing w:after="0"/>
        <w:tabs>
          <w:tab w:leader="none" w:pos="680" w:val="left"/>
        </w:tabs>
        <w:numPr>
          <w:ilvl w:val="1"/>
          <w:numId w:val="318"/>
        </w:numPr>
        <w:rPr>
          <w:rFonts w:ascii="Arial" w:cs="Arial" w:eastAsia="Arial" w:hAnsi="Arial"/>
          <w:sz w:val="15"/>
          <w:szCs w:val="15"/>
          <w:color w:val="auto"/>
        </w:rPr>
      </w:pPr>
      <w:r>
        <w:rPr>
          <w:rFonts w:ascii="Arial" w:cs="Arial" w:eastAsia="Arial" w:hAnsi="Arial"/>
          <w:sz w:val="15"/>
          <w:szCs w:val="15"/>
          <w:color w:val="auto"/>
        </w:rPr>
        <w:t>an increase to be added on the first day of the third quarter of the Company’s fiscal year 2009 equal to the lesser of (i) 471,800 shares of Common Stock,</w:t>
      </w:r>
    </w:p>
    <w:p>
      <w:pPr>
        <w:spacing w:after="0" w:line="49" w:lineRule="exact"/>
        <w:rPr>
          <w:rFonts w:ascii="Arial" w:cs="Arial" w:eastAsia="Arial" w:hAnsi="Arial"/>
          <w:sz w:val="15"/>
          <w:szCs w:val="15"/>
          <w:color w:val="auto"/>
        </w:rPr>
      </w:pPr>
    </w:p>
    <w:p>
      <w:pPr>
        <w:ind w:left="260" w:hanging="255"/>
        <w:spacing w:after="0"/>
        <w:tabs>
          <w:tab w:leader="none" w:pos="2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1.5 % of the aggregate number of shares of Common Stock outstanding on such date or (iii) an amount determined by the Board.</w:t>
      </w:r>
    </w:p>
    <w:p>
      <w:pPr>
        <w:spacing w:after="0" w:line="107" w:lineRule="exact"/>
        <w:rPr>
          <w:sz w:val="20"/>
          <w:szCs w:val="20"/>
          <w:color w:val="auto"/>
        </w:rPr>
      </w:pPr>
    </w:p>
    <w:p>
      <w:pPr>
        <w:ind w:right="80" w:firstLine="218"/>
        <w:spacing w:after="0" w:line="285" w:lineRule="auto"/>
        <w:rPr>
          <w:sz w:val="20"/>
          <w:szCs w:val="20"/>
          <w:color w:val="auto"/>
        </w:rPr>
      </w:pPr>
      <w:r>
        <w:rPr>
          <w:rFonts w:ascii="Arial" w:cs="Arial" w:eastAsia="Arial" w:hAnsi="Arial"/>
          <w:sz w:val="16"/>
          <w:szCs w:val="16"/>
          <w:color w:val="auto"/>
        </w:rPr>
        <w:t>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is settled in cash or results in any Common Stock not being issued, the unused Common Stock covered by such Award shall again be available for the grant of Awards under the Plan. However, in the case of Incentive Stock Options (as hereinafter defined), the foregoing provisions shall be subject to any limitations under the Code. Shares issued under the Plan may consist in whole or in part of authorized but unissued shares or treasury shares.</w:t>
      </w:r>
    </w:p>
    <w:p>
      <w:pPr>
        <w:spacing w:after="0" w:line="60" w:lineRule="exact"/>
        <w:rPr>
          <w:sz w:val="20"/>
          <w:szCs w:val="20"/>
          <w:color w:val="auto"/>
        </w:rPr>
      </w:pPr>
    </w:p>
    <w:p>
      <w:pPr>
        <w:ind w:right="40" w:firstLine="223"/>
        <w:spacing w:after="0" w:line="267" w:lineRule="auto"/>
        <w:tabs>
          <w:tab w:leader="none" w:pos="465" w:val="left"/>
        </w:tabs>
        <w:numPr>
          <w:ilvl w:val="1"/>
          <w:numId w:val="320"/>
        </w:numPr>
        <w:rPr>
          <w:rFonts w:ascii="Arial" w:cs="Arial" w:eastAsia="Arial" w:hAnsi="Arial"/>
          <w:sz w:val="17"/>
          <w:szCs w:val="17"/>
          <w:color w:val="auto"/>
        </w:rPr>
      </w:pPr>
      <w:r>
        <w:rPr>
          <w:rFonts w:ascii="Arial" w:cs="Arial" w:eastAsia="Arial" w:hAnsi="Arial"/>
          <w:sz w:val="17"/>
          <w:szCs w:val="17"/>
          <w:u w:val="single" w:color="auto"/>
          <w:color w:val="auto"/>
        </w:rPr>
        <w:t>Section 162(m) Per-Participant Limit</w:t>
      </w:r>
      <w:r>
        <w:rPr>
          <w:rFonts w:ascii="Arial" w:cs="Arial" w:eastAsia="Arial" w:hAnsi="Arial"/>
          <w:sz w:val="17"/>
          <w:szCs w:val="17"/>
          <w:color w:val="auto"/>
        </w:rPr>
        <w:t>. The maximum number of shares of Common Stock with respect to which Awards may be granted to any Participant under the Plan shall be 287,700 per fiscal year. For purposes of the foregoing limit, the combination of an Option in tandem with a SAR (as each is hereafter defined) shall be treated as a single Award. The per-Participant limit described in this Section 4(b) shall be construed and applied consistently with Section 162(m) of the Code or any successor provision thereto, and the regulations thereunder (“</w:t>
      </w:r>
      <w:r>
        <w:rPr>
          <w:rFonts w:ascii="Arial" w:cs="Arial" w:eastAsia="Arial" w:hAnsi="Arial"/>
          <w:sz w:val="17"/>
          <w:szCs w:val="17"/>
          <w:b w:val="1"/>
          <w:bCs w:val="1"/>
          <w:i w:val="1"/>
          <w:iCs w:val="1"/>
          <w:color w:val="auto"/>
        </w:rPr>
        <w:t>Section 162(m)</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firstLine="223"/>
        <w:spacing w:after="0" w:line="265" w:lineRule="auto"/>
        <w:tabs>
          <w:tab w:leader="none" w:pos="455" w:val="left"/>
        </w:tabs>
        <w:numPr>
          <w:ilvl w:val="1"/>
          <w:numId w:val="320"/>
        </w:numPr>
        <w:rPr>
          <w:rFonts w:ascii="Arial" w:cs="Arial" w:eastAsia="Arial" w:hAnsi="Arial"/>
          <w:sz w:val="17"/>
          <w:szCs w:val="17"/>
          <w:color w:val="auto"/>
        </w:rPr>
      </w:pPr>
      <w:r>
        <w:rPr>
          <w:rFonts w:ascii="Arial" w:cs="Arial" w:eastAsia="Arial" w:hAnsi="Arial"/>
          <w:sz w:val="17"/>
          <w:szCs w:val="17"/>
          <w:u w:val="single" w:color="auto"/>
          <w:color w:val="auto"/>
        </w:rPr>
        <w:t>Substitute Awards</w:t>
      </w:r>
      <w:r>
        <w:rPr>
          <w:rFonts w:ascii="Arial" w:cs="Arial" w:eastAsia="Arial" w:hAnsi="Arial"/>
          <w:sz w:val="17"/>
          <w:szCs w:val="17"/>
          <w:color w:val="auto"/>
        </w:rPr>
        <w:t>. In connection with a merger or consolidation of an entity with the Company or the acquisition by the Company of property or stock of an entity, the Board may grant Awards in substitution for any options or other stock or stock unit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77" w:lineRule="exact"/>
        <w:rPr>
          <w:rFonts w:ascii="Arial" w:cs="Arial" w:eastAsia="Arial" w:hAnsi="Arial"/>
          <w:sz w:val="17"/>
          <w:szCs w:val="17"/>
          <w:color w:val="auto"/>
        </w:rPr>
      </w:pPr>
    </w:p>
    <w:p>
      <w:pPr>
        <w:ind w:left="180" w:hanging="175"/>
        <w:spacing w:after="0"/>
        <w:tabs>
          <w:tab w:leader="none" w:pos="180"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Stock Options</w:t>
      </w:r>
    </w:p>
    <w:p>
      <w:pPr>
        <w:spacing w:after="0" w:line="118" w:lineRule="exact"/>
        <w:rPr>
          <w:rFonts w:ascii="Arial" w:cs="Arial" w:eastAsia="Arial" w:hAnsi="Arial"/>
          <w:sz w:val="17"/>
          <w:szCs w:val="17"/>
          <w:color w:val="auto"/>
        </w:rPr>
      </w:pPr>
    </w:p>
    <w:p>
      <w:pPr>
        <w:ind w:right="20" w:firstLine="223"/>
        <w:spacing w:after="0" w:line="267" w:lineRule="auto"/>
        <w:tabs>
          <w:tab w:leader="none" w:pos="455"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The Board may grant options to purchase Common Stock (each, an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right="360" w:firstLine="223"/>
        <w:spacing w:after="0" w:line="297" w:lineRule="auto"/>
        <w:tabs>
          <w:tab w:leader="none" w:pos="465" w:val="left"/>
        </w:tabs>
        <w:numPr>
          <w:ilvl w:val="1"/>
          <w:numId w:val="321"/>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An Option that the Board intends to be an “incentive stock option” as defined in Section 422 of the Code (an “</w:t>
      </w:r>
      <w:r>
        <w:rPr>
          <w:rFonts w:ascii="Arial" w:cs="Arial" w:eastAsia="Arial" w:hAnsi="Arial"/>
          <w:sz w:val="16"/>
          <w:szCs w:val="16"/>
          <w:b w:val="1"/>
          <w:bCs w:val="1"/>
          <w:i w:val="1"/>
          <w:iCs w:val="1"/>
          <w:color w:val="auto"/>
        </w:rPr>
        <w:t>Incentive Stock</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shall only be granted to employees of Emergent BioSolutions Inc., any of Emergent BioSolutions Inc.’s present or future parent or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corporations as defined in Sections 424(e) or (f) of the Code, and any other entities the employees of which are eligible to receive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74" w:name="page375"/>
    <w:bookmarkEnd w:id="374"/>
    <w:p>
      <w:pPr>
        <w:ind w:right="360"/>
        <w:spacing w:after="0" w:line="267" w:lineRule="auto"/>
        <w:rPr>
          <w:sz w:val="20"/>
          <w:szCs w:val="20"/>
          <w:color w:val="auto"/>
        </w:rPr>
      </w:pPr>
      <w:r>
        <w:rPr>
          <w:rFonts w:ascii="Arial" w:cs="Arial" w:eastAsia="Arial" w:hAnsi="Arial"/>
          <w:sz w:val="17"/>
          <w:szCs w:val="17"/>
          <w:color w:val="auto"/>
        </w:rPr>
        <w:t>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73" w:lineRule="exact"/>
        <w:rPr>
          <w:sz w:val="20"/>
          <w:szCs w:val="20"/>
          <w:color w:val="auto"/>
        </w:rPr>
      </w:pPr>
    </w:p>
    <w:p>
      <w:pPr>
        <w:ind w:right="320" w:firstLine="223"/>
        <w:spacing w:after="0" w:line="322" w:lineRule="auto"/>
        <w:tabs>
          <w:tab w:leader="none" w:pos="455" w:val="left"/>
        </w:tabs>
        <w:numPr>
          <w:ilvl w:val="1"/>
          <w:numId w:val="322"/>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Board shall establish the exercise price of each Option and specify such exercise price in the applicable option agreement; provided, however, that the exercise price shall not be less than 100% of the Fair Market Value (as defined below) on the date the Option is granted.</w:t>
      </w:r>
    </w:p>
    <w:p>
      <w:pPr>
        <w:spacing w:after="0" w:line="30" w:lineRule="exact"/>
        <w:rPr>
          <w:rFonts w:ascii="Arial" w:cs="Arial" w:eastAsia="Arial" w:hAnsi="Arial"/>
          <w:sz w:val="16"/>
          <w:szCs w:val="16"/>
          <w:color w:val="auto"/>
        </w:rPr>
      </w:pPr>
    </w:p>
    <w:p>
      <w:pPr>
        <w:ind w:right="340" w:firstLine="223"/>
        <w:spacing w:after="0" w:line="289" w:lineRule="auto"/>
        <w:tabs>
          <w:tab w:leader="none" w:pos="465"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Duration of Options</w:t>
      </w:r>
      <w:r>
        <w:rPr>
          <w:rFonts w:ascii="Arial" w:cs="Arial" w:eastAsia="Arial" w:hAnsi="Arial"/>
          <w:sz w:val="17"/>
          <w:szCs w:val="17"/>
          <w:color w:val="auto"/>
        </w:rPr>
        <w:t>. Each Option shall be exercisable at such times and subject to such terms and conditions as the Board may specify in the applicable option agreement; provided, however, that no Option will be granted for a term in excess of 10 years.</w:t>
      </w:r>
    </w:p>
    <w:p>
      <w:pPr>
        <w:spacing w:after="0" w:line="53" w:lineRule="exact"/>
        <w:rPr>
          <w:rFonts w:ascii="Arial" w:cs="Arial" w:eastAsia="Arial" w:hAnsi="Arial"/>
          <w:sz w:val="17"/>
          <w:szCs w:val="17"/>
          <w:color w:val="auto"/>
        </w:rPr>
      </w:pPr>
    </w:p>
    <w:p>
      <w:pPr>
        <w:ind w:firstLine="223"/>
        <w:spacing w:after="0" w:line="265" w:lineRule="auto"/>
        <w:tabs>
          <w:tab w:leader="none" w:pos="455"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Subject to Section 11(e),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spacing w:after="0" w:line="73" w:lineRule="exact"/>
        <w:rPr>
          <w:rFonts w:ascii="Arial" w:cs="Arial" w:eastAsia="Arial" w:hAnsi="Arial"/>
          <w:sz w:val="17"/>
          <w:szCs w:val="17"/>
          <w:color w:val="auto"/>
        </w:rPr>
      </w:pPr>
    </w:p>
    <w:p>
      <w:pPr>
        <w:ind w:left="440" w:hanging="217"/>
        <w:spacing w:after="0"/>
        <w:tabs>
          <w:tab w:leader="none" w:pos="440"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Payment Upon Exercise</w:t>
      </w:r>
      <w:r>
        <w:rPr>
          <w:rFonts w:ascii="Arial" w:cs="Arial" w:eastAsia="Arial" w:hAnsi="Arial"/>
          <w:sz w:val="17"/>
          <w:szCs w:val="17"/>
          <w:color w:val="auto"/>
        </w:rPr>
        <w:t>. Common Stock purchased upon the exercise of an Option granted under the Plan shall be paid for as follows:</w:t>
      </w:r>
    </w:p>
    <w:p>
      <w:pPr>
        <w:spacing w:after="0" w:line="118" w:lineRule="exact"/>
        <w:rPr>
          <w:rFonts w:ascii="Arial" w:cs="Arial" w:eastAsia="Arial" w:hAnsi="Arial"/>
          <w:sz w:val="17"/>
          <w:szCs w:val="17"/>
          <w:color w:val="auto"/>
        </w:rPr>
      </w:pPr>
    </w:p>
    <w:p>
      <w:pPr>
        <w:ind w:left="680" w:hanging="239"/>
        <w:spacing w:after="0"/>
        <w:tabs>
          <w:tab w:leader="none" w:pos="680" w:val="left"/>
        </w:tabs>
        <w:numPr>
          <w:ilvl w:val="2"/>
          <w:numId w:val="322"/>
        </w:numPr>
        <w:rPr>
          <w:rFonts w:ascii="Arial" w:cs="Arial" w:eastAsia="Arial" w:hAnsi="Arial"/>
          <w:sz w:val="17"/>
          <w:szCs w:val="17"/>
          <w:color w:val="auto"/>
        </w:rPr>
      </w:pPr>
      <w:r>
        <w:rPr>
          <w:rFonts w:ascii="Arial" w:cs="Arial" w:eastAsia="Arial" w:hAnsi="Arial"/>
          <w:sz w:val="17"/>
          <w:szCs w:val="17"/>
          <w:color w:val="auto"/>
        </w:rPr>
        <w:t>in cash or by check, payable to the order of the Company;</w:t>
      </w:r>
    </w:p>
    <w:p>
      <w:pPr>
        <w:spacing w:after="0" w:line="118" w:lineRule="exact"/>
        <w:rPr>
          <w:rFonts w:ascii="Arial" w:cs="Arial" w:eastAsia="Arial" w:hAnsi="Arial"/>
          <w:sz w:val="17"/>
          <w:szCs w:val="17"/>
          <w:color w:val="auto"/>
        </w:rPr>
      </w:pPr>
    </w:p>
    <w:p>
      <w:pPr>
        <w:ind w:right="40" w:firstLine="441"/>
        <w:spacing w:after="0" w:line="267" w:lineRule="auto"/>
        <w:tabs>
          <w:tab w:leader="none" w:pos="683" w:val="left"/>
        </w:tabs>
        <w:numPr>
          <w:ilvl w:val="2"/>
          <w:numId w:val="322"/>
        </w:numPr>
        <w:rPr>
          <w:rFonts w:ascii="Arial" w:cs="Arial" w:eastAsia="Arial" w:hAnsi="Arial"/>
          <w:sz w:val="17"/>
          <w:szCs w:val="17"/>
          <w:color w:val="auto"/>
        </w:rPr>
      </w:pPr>
      <w:r>
        <w:rPr>
          <w:rFonts w:ascii="Arial" w:cs="Arial" w:eastAsia="Arial" w:hAnsi="Arial"/>
          <w:sz w:val="17"/>
          <w:szCs w:val="17"/>
          <w:color w:val="auto"/>
        </w:rPr>
        <w:t>except as otherwise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72" w:lineRule="exact"/>
        <w:rPr>
          <w:rFonts w:ascii="Arial" w:cs="Arial" w:eastAsia="Arial" w:hAnsi="Arial"/>
          <w:sz w:val="17"/>
          <w:szCs w:val="17"/>
          <w:color w:val="auto"/>
        </w:rPr>
      </w:pPr>
    </w:p>
    <w:p>
      <w:pPr>
        <w:ind w:firstLine="441"/>
        <w:spacing w:after="0" w:line="265" w:lineRule="auto"/>
        <w:tabs>
          <w:tab w:leader="none" w:pos="683" w:val="left"/>
        </w:tabs>
        <w:numPr>
          <w:ilvl w:val="2"/>
          <w:numId w:val="322"/>
        </w:numPr>
        <w:rPr>
          <w:rFonts w:ascii="Arial" w:cs="Arial" w:eastAsia="Arial" w:hAnsi="Arial"/>
          <w:sz w:val="17"/>
          <w:szCs w:val="17"/>
          <w:color w:val="auto"/>
        </w:rPr>
      </w:pPr>
      <w:r>
        <w:rPr>
          <w:rFonts w:ascii="Arial" w:cs="Arial" w:eastAsia="Arial" w:hAnsi="Arial"/>
          <w:sz w:val="17"/>
          <w:szCs w:val="17"/>
          <w:color w:val="auto"/>
        </w:rPr>
        <w:t>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w:t>
      </w:r>
      <w:r>
        <w:rPr>
          <w:rFonts w:ascii="Arial" w:cs="Arial" w:eastAsia="Arial" w:hAnsi="Arial"/>
          <w:sz w:val="17"/>
          <w:szCs w:val="17"/>
          <w:b w:val="1"/>
          <w:bCs w:val="1"/>
          <w:i w:val="1"/>
          <w:iCs w:val="1"/>
          <w:color w:val="auto"/>
        </w:rPr>
        <w:t>Fair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Market Value</w:t>
      </w:r>
      <w:r>
        <w:rPr>
          <w:rFonts w:ascii="Arial" w:cs="Arial" w:eastAsia="Arial" w:hAnsi="Arial"/>
          <w:sz w:val="17"/>
          <w:szCs w:val="17"/>
          <w:color w:val="auto"/>
        </w:rPr>
        <w:t>”), provided (i) such method of payment is then permitted under applicable law, (ii) such Common Stock, if acquired directly from the Company,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owned by the Participant for such minimum period of time, if any, as may be established by the Board in its discretion and (iii) such Common Stock is not subject to any repurchase, forfeiture, unfulfilled vesting or other similar requirements;</w:t>
      </w:r>
    </w:p>
    <w:p>
      <w:pPr>
        <w:spacing w:after="0" w:line="73" w:lineRule="exact"/>
        <w:rPr>
          <w:rFonts w:ascii="Arial" w:cs="Arial" w:eastAsia="Arial" w:hAnsi="Arial"/>
          <w:sz w:val="17"/>
          <w:szCs w:val="17"/>
          <w:color w:val="auto"/>
        </w:rPr>
      </w:pPr>
    </w:p>
    <w:p>
      <w:pPr>
        <w:ind w:left="680" w:hanging="239"/>
        <w:spacing w:after="0"/>
        <w:tabs>
          <w:tab w:leader="none" w:pos="680" w:val="left"/>
        </w:tabs>
        <w:numPr>
          <w:ilvl w:val="2"/>
          <w:numId w:val="322"/>
        </w:numPr>
        <w:rPr>
          <w:rFonts w:ascii="Arial" w:cs="Arial" w:eastAsia="Arial" w:hAnsi="Arial"/>
          <w:sz w:val="16"/>
          <w:szCs w:val="16"/>
          <w:color w:val="auto"/>
        </w:rPr>
      </w:pPr>
      <w:r>
        <w:rPr>
          <w:rFonts w:ascii="Arial" w:cs="Arial" w:eastAsia="Arial" w:hAnsi="Arial"/>
          <w:sz w:val="16"/>
          <w:szCs w:val="16"/>
          <w:color w:val="auto"/>
        </w:rPr>
        <w:t>to the extent permitted by applicable law and provided for in the applicable option agreement or approved by the Board, in its sole discretion, by</w:t>
      </w:r>
    </w:p>
    <w:p>
      <w:pPr>
        <w:spacing w:after="0" w:line="37" w:lineRule="exact"/>
        <w:rPr>
          <w:rFonts w:ascii="Arial" w:cs="Arial" w:eastAsia="Arial" w:hAnsi="Arial"/>
          <w:sz w:val="16"/>
          <w:szCs w:val="16"/>
          <w:color w:val="auto"/>
        </w:rPr>
      </w:pPr>
    </w:p>
    <w:p>
      <w:pPr>
        <w:ind w:left="220" w:hanging="215"/>
        <w:spacing w:after="0"/>
        <w:tabs>
          <w:tab w:leader="none" w:pos="22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delivery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75" w:name="page376"/>
    <w:bookmarkEnd w:id="375"/>
    <w:p>
      <w:pPr>
        <w:ind w:right="300"/>
        <w:spacing w:after="0" w:line="289" w:lineRule="auto"/>
        <w:rPr>
          <w:sz w:val="20"/>
          <w:szCs w:val="20"/>
          <w:color w:val="auto"/>
        </w:rPr>
      </w:pPr>
      <w:r>
        <w:rPr>
          <w:rFonts w:ascii="Arial" w:cs="Arial" w:eastAsia="Arial" w:hAnsi="Arial"/>
          <w:sz w:val="17"/>
          <w:szCs w:val="17"/>
          <w:color w:val="auto"/>
        </w:rPr>
        <w:t>of a promissory note of the Participant to the Company on terms determined by the Board, or (ii) payment of such other lawful consideration as the Board may determine; or</w:t>
      </w:r>
    </w:p>
    <w:p>
      <w:pPr>
        <w:spacing w:after="0" w:line="53" w:lineRule="exact"/>
        <w:rPr>
          <w:sz w:val="20"/>
          <w:szCs w:val="20"/>
          <w:color w:val="auto"/>
        </w:rPr>
      </w:pPr>
    </w:p>
    <w:p>
      <w:pPr>
        <w:ind w:left="680" w:hanging="239"/>
        <w:spacing w:after="0"/>
        <w:tabs>
          <w:tab w:leader="none" w:pos="680" w:val="left"/>
        </w:tabs>
        <w:numPr>
          <w:ilvl w:val="2"/>
          <w:numId w:val="324"/>
        </w:numPr>
        <w:rPr>
          <w:rFonts w:ascii="Arial" w:cs="Arial" w:eastAsia="Arial" w:hAnsi="Arial"/>
          <w:sz w:val="17"/>
          <w:szCs w:val="17"/>
          <w:color w:val="auto"/>
        </w:rPr>
      </w:pPr>
      <w:r>
        <w:rPr>
          <w:rFonts w:ascii="Arial" w:cs="Arial" w:eastAsia="Arial" w:hAnsi="Arial"/>
          <w:sz w:val="17"/>
          <w:szCs w:val="17"/>
          <w:color w:val="auto"/>
        </w:rPr>
        <w:t>by any combination of the above permitted forms of payment.</w:t>
      </w:r>
    </w:p>
    <w:p>
      <w:pPr>
        <w:spacing w:after="0" w:line="118" w:lineRule="exact"/>
        <w:rPr>
          <w:rFonts w:ascii="Arial" w:cs="Arial" w:eastAsia="Arial" w:hAnsi="Arial"/>
          <w:sz w:val="17"/>
          <w:szCs w:val="17"/>
          <w:color w:val="auto"/>
        </w:rPr>
      </w:pPr>
    </w:p>
    <w:p>
      <w:pPr>
        <w:ind w:firstLine="223"/>
        <w:spacing w:after="0" w:line="265" w:lineRule="auto"/>
        <w:tabs>
          <w:tab w:leader="none" w:pos="465" w:val="left"/>
        </w:tabs>
        <w:numPr>
          <w:ilvl w:val="1"/>
          <w:numId w:val="325"/>
        </w:numPr>
        <w:rPr>
          <w:rFonts w:ascii="Arial" w:cs="Arial" w:eastAsia="Arial" w:hAnsi="Arial"/>
          <w:sz w:val="17"/>
          <w:szCs w:val="17"/>
          <w:color w:val="auto"/>
        </w:rPr>
      </w:pPr>
      <w:r>
        <w:rPr>
          <w:rFonts w:ascii="Arial" w:cs="Arial" w:eastAsia="Arial" w:hAnsi="Arial"/>
          <w:sz w:val="17"/>
          <w:szCs w:val="17"/>
          <w:u w:val="single" w:color="auto"/>
          <w:color w:val="auto"/>
        </w:rPr>
        <w:t>Limitation on Repricing</w:t>
      </w:r>
      <w:r>
        <w:rPr>
          <w:rFonts w:ascii="Arial" w:cs="Arial" w:eastAsia="Arial" w:hAnsi="Arial"/>
          <w:sz w:val="17"/>
          <w:szCs w:val="17"/>
          <w:color w:val="auto"/>
        </w:rPr>
        <w:t>. Unless such action is approved by the Company’s stockholders: (i) outstanding Options granted under the Plan may not be amended to provide an exercise price per share that is lower than the then-current exercise price per share of such outstanding Option (other than adjustments pursuant to Section 10) and (ii) the Board may also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w:t>
      </w:r>
    </w:p>
    <w:p>
      <w:pPr>
        <w:spacing w:after="0" w:line="177" w:lineRule="exact"/>
        <w:rPr>
          <w:rFonts w:ascii="Arial" w:cs="Arial" w:eastAsia="Arial" w:hAnsi="Arial"/>
          <w:sz w:val="17"/>
          <w:szCs w:val="17"/>
          <w:color w:val="auto"/>
        </w:rPr>
      </w:pPr>
    </w:p>
    <w:p>
      <w:pPr>
        <w:ind w:left="180" w:hanging="175"/>
        <w:spacing w:after="0"/>
        <w:tabs>
          <w:tab w:leader="none" w:pos="180" w:val="left"/>
        </w:tabs>
        <w:numPr>
          <w:ilvl w:val="0"/>
          <w:numId w:val="326"/>
        </w:numPr>
        <w:rPr>
          <w:rFonts w:ascii="Arial" w:cs="Arial" w:eastAsia="Arial" w:hAnsi="Arial"/>
          <w:sz w:val="17"/>
          <w:szCs w:val="17"/>
          <w:color w:val="auto"/>
        </w:rPr>
      </w:pPr>
      <w:r>
        <w:rPr>
          <w:rFonts w:ascii="Arial" w:cs="Arial" w:eastAsia="Arial" w:hAnsi="Arial"/>
          <w:sz w:val="17"/>
          <w:szCs w:val="17"/>
          <w:u w:val="single" w:color="auto"/>
          <w:color w:val="auto"/>
        </w:rPr>
        <w:t>Director Options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right="360" w:firstLine="223"/>
        <w:spacing w:after="0" w:line="273" w:lineRule="auto"/>
        <w:tabs>
          <w:tab w:leader="none" w:pos="455" w:val="left"/>
        </w:tabs>
        <w:numPr>
          <w:ilvl w:val="1"/>
          <w:numId w:val="326"/>
        </w:numPr>
        <w:rPr>
          <w:rFonts w:ascii="Arial" w:cs="Arial" w:eastAsia="Arial" w:hAnsi="Arial"/>
          <w:sz w:val="17"/>
          <w:szCs w:val="17"/>
          <w:color w:val="auto"/>
        </w:rPr>
      </w:pPr>
      <w:r>
        <w:rPr>
          <w:rFonts w:ascii="Arial" w:cs="Arial" w:eastAsia="Arial" w:hAnsi="Arial"/>
          <w:sz w:val="17"/>
          <w:szCs w:val="17"/>
          <w:u w:val="single" w:color="auto"/>
          <w:color w:val="auto"/>
        </w:rPr>
        <w:t>Initial Grant</w:t>
      </w:r>
      <w:r>
        <w:rPr>
          <w:rFonts w:ascii="Arial" w:cs="Arial" w:eastAsia="Arial" w:hAnsi="Arial"/>
          <w:sz w:val="17"/>
          <w:szCs w:val="17"/>
          <w:color w:val="auto"/>
        </w:rPr>
        <w:t>. Upon the commencement of service on the Board by any individual who is not then an employee of the Company or any subsidiary of the Company, the Company shall grant to such person a Nonstatutory Stock Option to purchase 21,600 shares of Common Stock (subject to adjustment under Section 10).</w:t>
      </w:r>
    </w:p>
    <w:p>
      <w:pPr>
        <w:spacing w:after="0" w:line="66" w:lineRule="exact"/>
        <w:rPr>
          <w:rFonts w:ascii="Arial" w:cs="Arial" w:eastAsia="Arial" w:hAnsi="Arial"/>
          <w:sz w:val="17"/>
          <w:szCs w:val="17"/>
          <w:color w:val="auto"/>
        </w:rPr>
      </w:pPr>
    </w:p>
    <w:p>
      <w:pPr>
        <w:ind w:firstLine="223"/>
        <w:spacing w:after="0" w:line="262" w:lineRule="auto"/>
        <w:tabs>
          <w:tab w:leader="none" w:pos="465" w:val="left"/>
        </w:tabs>
        <w:numPr>
          <w:ilvl w:val="1"/>
          <w:numId w:val="326"/>
        </w:numPr>
        <w:rPr>
          <w:rFonts w:ascii="Arial" w:cs="Arial" w:eastAsia="Arial" w:hAnsi="Arial"/>
          <w:sz w:val="17"/>
          <w:szCs w:val="17"/>
          <w:color w:val="auto"/>
        </w:rPr>
      </w:pPr>
      <w:r>
        <w:rPr>
          <w:rFonts w:ascii="Arial" w:cs="Arial" w:eastAsia="Arial" w:hAnsi="Arial"/>
          <w:sz w:val="17"/>
          <w:szCs w:val="17"/>
          <w:u w:val="single" w:color="auto"/>
          <w:color w:val="auto"/>
        </w:rPr>
        <w:t>Annual Grant</w:t>
      </w:r>
      <w:r>
        <w:rPr>
          <w:rFonts w:ascii="Arial" w:cs="Arial" w:eastAsia="Arial" w:hAnsi="Arial"/>
          <w:sz w:val="17"/>
          <w:szCs w:val="17"/>
          <w:color w:val="auto"/>
        </w:rPr>
        <w:t>. On the date of each annual meeting of stockholders of the Company, the Company shall grant to each member of the Board who is both serving as a director of the Company immediately prior to and immediately following such annual meeting and who is not then an employee of the Company or any of its subsidiaries, a Nonstatutory Stock Option to purchase 14,400 shares of Common Stock (subject to adjustment under Section 10); provided, however, that a director shall not be eligible to receive an option grant under this Section 6(b) until such director has served on the Board for at least six months. If the non-employee director shall be serving as the Chair of a Committee, such annual grant provided above shall be increased by 7,200 shares of Common Stock for a total annual grant of 21,600 shares; provided, however, that such director shall be entitled to only one such increase per year even if serving as Chair for more than one Committee.</w:t>
      </w:r>
    </w:p>
    <w:p>
      <w:pPr>
        <w:spacing w:after="0" w:line="77" w:lineRule="exact"/>
        <w:rPr>
          <w:rFonts w:ascii="Arial" w:cs="Arial" w:eastAsia="Arial" w:hAnsi="Arial"/>
          <w:sz w:val="17"/>
          <w:szCs w:val="17"/>
          <w:color w:val="auto"/>
        </w:rPr>
      </w:pPr>
    </w:p>
    <w:p>
      <w:pPr>
        <w:ind w:right="100" w:firstLine="223"/>
        <w:spacing w:after="0" w:line="300" w:lineRule="auto"/>
        <w:tabs>
          <w:tab w:leader="none" w:pos="455" w:val="left"/>
        </w:tabs>
        <w:numPr>
          <w:ilvl w:val="1"/>
          <w:numId w:val="326"/>
        </w:numPr>
        <w:rPr>
          <w:rFonts w:ascii="Arial" w:cs="Arial" w:eastAsia="Arial" w:hAnsi="Arial"/>
          <w:sz w:val="15"/>
          <w:szCs w:val="15"/>
          <w:color w:val="auto"/>
        </w:rPr>
      </w:pPr>
      <w:r>
        <w:rPr>
          <w:rFonts w:ascii="Arial" w:cs="Arial" w:eastAsia="Arial" w:hAnsi="Arial"/>
          <w:sz w:val="15"/>
          <w:szCs w:val="15"/>
          <w:u w:val="single" w:color="auto"/>
          <w:color w:val="auto"/>
        </w:rPr>
        <w:t>Terms of Director Options</w:t>
      </w:r>
      <w:r>
        <w:rPr>
          <w:rFonts w:ascii="Arial" w:cs="Arial" w:eastAsia="Arial" w:hAnsi="Arial"/>
          <w:sz w:val="15"/>
          <w:szCs w:val="15"/>
          <w:color w:val="auto"/>
        </w:rPr>
        <w:t>. Options granted under this Section 6 shall (i) have an exercise price equal to the closing sale price (for the primary trading session) of the Common Stock on the New York Stock Exchange, the Nasdaq Stock Market or such other national securities exchange on which the Common Stock is then traded on the trading date immediately prior to the date of grant (and if the Common Stock is not then traded on the New York Stock Exchange, the Nasdaq Stock Market or a national securities exchange, the fair market value of the Common Stock on such date as determined by the Board), (ii) vest one-third per year over three years on the anniversary of the date of grant provided that the individual is serving on the Board on such date (or in the case of an option granted under Section 6(b), if earlier, on the date which is one business day prior to date of the Company’s next annual meeting), provided that no additional vesting shall take place after the Participant ceases to serve as a director and further provided that the Board may provide for accelerated vesting in the case of death, disability, attainment of mandatory retirement age or retirement following at least 10 years of service, (iii) expire on the earlier of 10 years from the date of grant or three months following cessation of service on the Board and (iv) contain such other terms and conditions as the Board shall determine.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76" w:name="page377"/>
    <w:bookmarkEnd w:id="376"/>
    <w:p>
      <w:pPr>
        <w:ind w:left="-5" w:right="140" w:firstLine="223"/>
        <w:spacing w:after="0" w:line="289" w:lineRule="auto"/>
        <w:tabs>
          <w:tab w:leader="none" w:pos="460" w:val="left"/>
        </w:tabs>
        <w:numPr>
          <w:ilvl w:val="1"/>
          <w:numId w:val="327"/>
        </w:numPr>
        <w:rPr>
          <w:rFonts w:ascii="Arial" w:cs="Arial" w:eastAsia="Arial" w:hAnsi="Arial"/>
          <w:sz w:val="17"/>
          <w:szCs w:val="17"/>
          <w:color w:val="auto"/>
        </w:rPr>
      </w:pPr>
      <w:r>
        <w:rPr>
          <w:rFonts w:ascii="Arial" w:cs="Arial" w:eastAsia="Arial" w:hAnsi="Arial"/>
          <w:sz w:val="17"/>
          <w:szCs w:val="17"/>
          <w:u w:val="single" w:color="auto"/>
          <w:color w:val="auto"/>
        </w:rPr>
        <w:t>Board Discretion</w:t>
      </w:r>
      <w:r>
        <w:rPr>
          <w:rFonts w:ascii="Arial" w:cs="Arial" w:eastAsia="Arial" w:hAnsi="Arial"/>
          <w:sz w:val="17"/>
          <w:szCs w:val="17"/>
          <w:color w:val="auto"/>
        </w:rPr>
        <w:t>. The Board retains the specific authority to from time to time increase or decrease the number of shares subject to options granted under this Section 6, subject to the provisions of Section 4(b)(3).</w:t>
      </w:r>
    </w:p>
    <w:p>
      <w:pPr>
        <w:spacing w:after="0" w:line="157" w:lineRule="exact"/>
        <w:rPr>
          <w:rFonts w:ascii="Arial" w:cs="Arial" w:eastAsia="Arial" w:hAnsi="Arial"/>
          <w:sz w:val="17"/>
          <w:szCs w:val="17"/>
          <w:color w:val="auto"/>
        </w:rPr>
      </w:pPr>
    </w:p>
    <w:p>
      <w:pPr>
        <w:ind w:left="175" w:hanging="175"/>
        <w:spacing w:after="0"/>
        <w:tabs>
          <w:tab w:leader="none" w:pos="175"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Stock Appreciation Rights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5" w:right="160" w:firstLine="223"/>
        <w:spacing w:after="0" w:line="273" w:lineRule="auto"/>
        <w:tabs>
          <w:tab w:leader="none" w:pos="451"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 Stock Appreciation Right, or SAR, is an Award entitling the holder, upon exercise, to receive an amount of Common Stock determined by reference to appreciation, from and after the date of grant, in the fair market value of a share of Common Stock. The date as of which such appreciation or other measure is determined shall be the exercise date.</w:t>
      </w:r>
    </w:p>
    <w:p>
      <w:pPr>
        <w:spacing w:after="0" w:line="66" w:lineRule="exact"/>
        <w:rPr>
          <w:rFonts w:ascii="Arial" w:cs="Arial" w:eastAsia="Arial" w:hAnsi="Arial"/>
          <w:sz w:val="17"/>
          <w:szCs w:val="17"/>
          <w:color w:val="auto"/>
        </w:rPr>
      </w:pPr>
    </w:p>
    <w:p>
      <w:pPr>
        <w:ind w:left="475" w:hanging="257"/>
        <w:spacing w:after="0"/>
        <w:tabs>
          <w:tab w:leader="none" w:pos="475"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Grants</w:t>
      </w:r>
      <w:r>
        <w:rPr>
          <w:rFonts w:ascii="Arial" w:cs="Arial" w:eastAsia="Arial" w:hAnsi="Arial"/>
          <w:sz w:val="17"/>
          <w:szCs w:val="17"/>
          <w:color w:val="auto"/>
        </w:rPr>
        <w:t>. Stock Appreciation Rights may be granted in tandem with, or independently of, Options granted under the Plan.</w:t>
      </w:r>
    </w:p>
    <w:p>
      <w:pPr>
        <w:spacing w:after="0" w:line="118" w:lineRule="exact"/>
        <w:rPr>
          <w:rFonts w:ascii="Arial" w:cs="Arial" w:eastAsia="Arial" w:hAnsi="Arial"/>
          <w:sz w:val="17"/>
          <w:szCs w:val="17"/>
          <w:color w:val="auto"/>
        </w:rPr>
      </w:pPr>
    </w:p>
    <w:p>
      <w:pPr>
        <w:ind w:left="-5" w:firstLine="441"/>
        <w:spacing w:after="0" w:line="280" w:lineRule="auto"/>
        <w:tabs>
          <w:tab w:leader="none" w:pos="679" w:val="left"/>
        </w:tabs>
        <w:numPr>
          <w:ilvl w:val="2"/>
          <w:numId w:val="328"/>
        </w:numPr>
        <w:rPr>
          <w:rFonts w:ascii="Arial" w:cs="Arial" w:eastAsia="Arial" w:hAnsi="Arial"/>
          <w:sz w:val="16"/>
          <w:szCs w:val="16"/>
          <w:color w:val="auto"/>
        </w:rPr>
      </w:pPr>
      <w:r>
        <w:rPr>
          <w:rFonts w:ascii="Arial" w:cs="Arial" w:eastAsia="Arial" w:hAnsi="Arial"/>
          <w:sz w:val="16"/>
          <w:szCs w:val="16"/>
          <w:u w:val="single" w:color="auto"/>
          <w:color w:val="auto"/>
        </w:rPr>
        <w:t>Tandem Awards</w:t>
      </w:r>
      <w:r>
        <w:rPr>
          <w:rFonts w:ascii="Arial" w:cs="Arial" w:eastAsia="Arial" w:hAnsi="Arial"/>
          <w:sz w:val="16"/>
          <w:szCs w:val="16"/>
          <w:color w:val="auto"/>
        </w:rPr>
        <w:t>. When Stock Appreciation Rights are expressly granted in tandem with Options, (i) the Stock Appreciation Right will be exercisable only at such time or times, and to the extent, that the related Option is exercisable (except to the extent designated by the Board in connection with a Reorganization Event or a Change in Control Event) and will be exercisable in accordance with the procedure required for exercise of the related Option; (ii) the Stock Appreciation Right will terminate and no longer be exercisable upon the termination or exercise of the related Option, except to the extent designated by the Board in connection with a Reorganization Event or a Change in Control Event and except that a Stock Appreciation Right granted with respect to less than the full number of shares covered by an Option will not be reduced until the number of shares as to which the related Option has been exercised or has terminated exceeds the number of shares not covered by the Stock Appreciation Right; (iii) the Option will terminate and no longer be exercisable upon the exercise of the related Stock Appreciation Right; and (iv) the Stock Appreciation Right will be transferable only with the related Option.</w:t>
      </w:r>
    </w:p>
    <w:p>
      <w:pPr>
        <w:spacing w:after="0" w:line="63" w:lineRule="exact"/>
        <w:rPr>
          <w:rFonts w:ascii="Arial" w:cs="Arial" w:eastAsia="Arial" w:hAnsi="Arial"/>
          <w:sz w:val="16"/>
          <w:szCs w:val="16"/>
          <w:color w:val="auto"/>
        </w:rPr>
      </w:pPr>
    </w:p>
    <w:p>
      <w:pPr>
        <w:ind w:left="-5" w:right="140" w:firstLine="441"/>
        <w:spacing w:after="0" w:line="289" w:lineRule="auto"/>
        <w:tabs>
          <w:tab w:leader="none" w:pos="679" w:val="left"/>
        </w:tabs>
        <w:numPr>
          <w:ilvl w:val="2"/>
          <w:numId w:val="328"/>
        </w:numPr>
        <w:rPr>
          <w:rFonts w:ascii="Arial" w:cs="Arial" w:eastAsia="Arial" w:hAnsi="Arial"/>
          <w:sz w:val="17"/>
          <w:szCs w:val="17"/>
          <w:color w:val="auto"/>
        </w:rPr>
      </w:pPr>
      <w:r>
        <w:rPr>
          <w:rFonts w:ascii="Arial" w:cs="Arial" w:eastAsia="Arial" w:hAnsi="Arial"/>
          <w:sz w:val="17"/>
          <w:szCs w:val="17"/>
          <w:u w:val="single" w:color="auto"/>
          <w:color w:val="auto"/>
        </w:rPr>
        <w:t>Independent SARs</w:t>
      </w:r>
      <w:r>
        <w:rPr>
          <w:rFonts w:ascii="Arial" w:cs="Arial" w:eastAsia="Arial" w:hAnsi="Arial"/>
          <w:sz w:val="17"/>
          <w:szCs w:val="17"/>
          <w:color w:val="auto"/>
        </w:rPr>
        <w:t>. A Stock Appreciation Right not expressly granted in tandem with an Option will become exercisable at such time or times, and on such conditions, as the Board may specify in the SAR Award.</w:t>
      </w:r>
    </w:p>
    <w:p>
      <w:pPr>
        <w:spacing w:after="0" w:line="53" w:lineRule="exact"/>
        <w:rPr>
          <w:rFonts w:ascii="Arial" w:cs="Arial" w:eastAsia="Arial" w:hAnsi="Arial"/>
          <w:sz w:val="17"/>
          <w:szCs w:val="17"/>
          <w:color w:val="auto"/>
        </w:rPr>
      </w:pPr>
    </w:p>
    <w:p>
      <w:pPr>
        <w:ind w:left="-5" w:right="280" w:firstLine="223"/>
        <w:spacing w:after="0" w:line="289" w:lineRule="auto"/>
        <w:tabs>
          <w:tab w:leader="none" w:pos="451" w:val="left"/>
        </w:tabs>
        <w:numPr>
          <w:ilvl w:val="1"/>
          <w:numId w:val="328"/>
        </w:numPr>
        <w:rPr>
          <w:rFonts w:ascii="Arial" w:cs="Arial" w:eastAsia="Arial" w:hAnsi="Arial"/>
          <w:sz w:val="17"/>
          <w:szCs w:val="17"/>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Stock Appreciation Rights may be exercised by delivery to the Company of a written notice of exercise signed by the proper person or by any other form of notice (including electronic notice) approved by the Board, together with any other documents required by the Board.</w:t>
      </w:r>
    </w:p>
    <w:p>
      <w:pPr>
        <w:spacing w:after="0" w:line="92" w:lineRule="exact"/>
        <w:rPr>
          <w:rFonts w:ascii="Arial" w:cs="Arial" w:eastAsia="Arial" w:hAnsi="Arial"/>
          <w:sz w:val="17"/>
          <w:szCs w:val="17"/>
          <w:color w:val="auto"/>
        </w:rPr>
      </w:pPr>
    </w:p>
    <w:p>
      <w:pPr>
        <w:ind w:left="175" w:hanging="175"/>
        <w:spacing w:after="0"/>
        <w:tabs>
          <w:tab w:leader="none" w:pos="175"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Restricted Stock; Restricted Stock Units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5" w:firstLine="223"/>
        <w:spacing w:after="0" w:line="289" w:lineRule="auto"/>
        <w:tabs>
          <w:tab w:leader="none" w:pos="451"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Board may grant Awards entitling recipients to acquire shares of Common Stock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subject to the right of the Company to repurchase all or part of such shares at their issue price or other stated or formula price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to be delivered at</w:t>
      </w:r>
    </w:p>
    <w:p>
      <w:pPr>
        <w:spacing w:after="0" w:line="122" w:lineRule="exact"/>
        <w:rPr>
          <w:sz w:val="20"/>
          <w:szCs w:val="20"/>
          <w:color w:val="auto"/>
        </w:rPr>
      </w:pPr>
    </w:p>
    <w:p>
      <w:pPr>
        <w:jc w:val="center"/>
        <w:ind w:right="-74"/>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875" cy="209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35"/>
          </w:cols>
          <w:pgMar w:left="245" w:top="913" w:right="319" w:bottom="1440" w:gutter="0" w:footer="0" w:header="0"/>
        </w:sectPr>
      </w:pPr>
    </w:p>
    <w:bookmarkStart w:id="377" w:name="page378"/>
    <w:bookmarkEnd w:id="377"/>
    <w:p>
      <w:pPr>
        <w:ind w:right="240"/>
        <w:spacing w:after="0" w:line="289" w:lineRule="auto"/>
        <w:rPr>
          <w:sz w:val="20"/>
          <w:szCs w:val="20"/>
          <w:color w:val="auto"/>
        </w:rPr>
      </w:pPr>
      <w:r>
        <w:rPr>
          <w:rFonts w:ascii="Arial" w:cs="Arial" w:eastAsia="Arial" w:hAnsi="Arial"/>
          <w:sz w:val="17"/>
          <w:szCs w:val="17"/>
          <w:color w:val="auto"/>
        </w:rPr>
        <w:t>the time such shares of Common Stock vest (“</w:t>
      </w:r>
      <w:r>
        <w:rPr>
          <w:rFonts w:ascii="Arial" w:cs="Arial" w:eastAsia="Arial" w:hAnsi="Arial"/>
          <w:sz w:val="17"/>
          <w:szCs w:val="17"/>
          <w:b w:val="1"/>
          <w:bCs w:val="1"/>
          <w:i w:val="1"/>
          <w:iCs w:val="1"/>
          <w:color w:val="auto"/>
        </w:rPr>
        <w:t>Restricted Stock Units</w:t>
      </w:r>
      <w:r>
        <w:rPr>
          <w:rFonts w:ascii="Arial" w:cs="Arial" w:eastAsia="Arial" w:hAnsi="Arial"/>
          <w:sz w:val="17"/>
          <w:szCs w:val="17"/>
          <w:color w:val="auto"/>
        </w:rPr>
        <w:t>”) (Restricted Stock and Restricted Stock Units are each referred to herein as a “</w:t>
      </w:r>
      <w:r>
        <w:rPr>
          <w:rFonts w:ascii="Arial" w:cs="Arial" w:eastAsia="Arial" w:hAnsi="Arial"/>
          <w:sz w:val="17"/>
          <w:szCs w:val="17"/>
          <w:b w:val="1"/>
          <w:bCs w:val="1"/>
          <w:i w:val="1"/>
          <w:iCs w:val="1"/>
          <w:color w:val="auto"/>
        </w:rPr>
        <w:t>Restricted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 Award</w:t>
      </w:r>
      <w:r>
        <w:rPr>
          <w:rFonts w:ascii="Arial" w:cs="Arial" w:eastAsia="Arial" w:hAnsi="Arial"/>
          <w:sz w:val="17"/>
          <w:szCs w:val="17"/>
          <w:color w:val="auto"/>
        </w:rPr>
        <w:t>”).</w:t>
      </w:r>
    </w:p>
    <w:p>
      <w:pPr>
        <w:spacing w:after="0" w:line="53" w:lineRule="exact"/>
        <w:rPr>
          <w:sz w:val="20"/>
          <w:szCs w:val="20"/>
          <w:color w:val="auto"/>
        </w:rPr>
      </w:pPr>
    </w:p>
    <w:p>
      <w:pPr>
        <w:ind w:right="460" w:firstLine="223"/>
        <w:spacing w:after="0" w:line="289" w:lineRule="auto"/>
        <w:tabs>
          <w:tab w:leader="none" w:pos="465"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Terms and Conditions for all Restricted Stock Awards</w:t>
      </w:r>
      <w:r>
        <w:rPr>
          <w:rFonts w:ascii="Arial" w:cs="Arial" w:eastAsia="Arial" w:hAnsi="Arial"/>
          <w:sz w:val="17"/>
          <w:szCs w:val="17"/>
          <w:color w:val="auto"/>
        </w:rPr>
        <w:t>. The Board shall determine the terms and conditions of a Restricted Stock Award, including the conditions for vesting and repurchase (or forfeiture) and the issue price.</w:t>
      </w:r>
    </w:p>
    <w:p>
      <w:pPr>
        <w:spacing w:after="0" w:line="53" w:lineRule="exact"/>
        <w:rPr>
          <w:rFonts w:ascii="Arial" w:cs="Arial" w:eastAsia="Arial" w:hAnsi="Arial"/>
          <w:sz w:val="17"/>
          <w:szCs w:val="17"/>
          <w:color w:val="auto"/>
        </w:rPr>
      </w:pPr>
    </w:p>
    <w:p>
      <w:pPr>
        <w:ind w:left="460" w:hanging="237"/>
        <w:spacing w:after="0"/>
        <w:tabs>
          <w:tab w:leader="none" w:pos="460"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Additional Provisions Relating to Restricted Stock</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firstLine="441"/>
        <w:spacing w:after="0" w:line="308" w:lineRule="auto"/>
        <w:tabs>
          <w:tab w:leader="none" w:pos="683" w:val="left"/>
        </w:tabs>
        <w:numPr>
          <w:ilvl w:val="1"/>
          <w:numId w:val="329"/>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Participants holding shares of Restricted Stock will be entitled to all ordinary cash dividends paid with respect to such shares, unless otherwise provided by the Board. If any such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stockholders of that class of stock or, if later, the 15th day of the third month following the date the dividends are paid to stockholders of that class of stock.</w:t>
      </w:r>
    </w:p>
    <w:p>
      <w:pPr>
        <w:spacing w:after="0" w:line="45" w:lineRule="exact"/>
        <w:rPr>
          <w:rFonts w:ascii="Arial" w:cs="Arial" w:eastAsia="Arial" w:hAnsi="Arial"/>
          <w:sz w:val="15"/>
          <w:szCs w:val="15"/>
          <w:color w:val="auto"/>
        </w:rPr>
      </w:pPr>
    </w:p>
    <w:p>
      <w:pPr>
        <w:ind w:firstLine="441"/>
        <w:spacing w:after="0" w:line="285" w:lineRule="auto"/>
        <w:tabs>
          <w:tab w:leader="none" w:pos="683" w:val="left"/>
        </w:tabs>
        <w:numPr>
          <w:ilvl w:val="1"/>
          <w:numId w:val="329"/>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Arial" w:cs="Arial" w:eastAsia="Arial" w:hAnsi="Arial"/>
          <w:sz w:val="16"/>
          <w:szCs w:val="16"/>
          <w:b w:val="1"/>
          <w:bCs w:val="1"/>
          <w:i w:val="1"/>
          <w:iCs w:val="1"/>
          <w:color w:val="auto"/>
        </w:rPr>
        <w:t>Designated Beneficiary</w:t>
      </w:r>
      <w:r>
        <w:rPr>
          <w:rFonts w:ascii="Arial" w:cs="Arial" w:eastAsia="Arial" w:hAnsi="Arial"/>
          <w:sz w:val="16"/>
          <w:szCs w:val="16"/>
          <w:color w:val="auto"/>
        </w:rPr>
        <w:t>”). In the absence of an effective designation by a Participant, “Designated Beneficiary” shall mean the Participant’s estate.</w:t>
      </w:r>
    </w:p>
    <w:p>
      <w:pPr>
        <w:spacing w:after="0" w:line="59" w:lineRule="exact"/>
        <w:rPr>
          <w:rFonts w:ascii="Arial" w:cs="Arial" w:eastAsia="Arial" w:hAnsi="Arial"/>
          <w:sz w:val="16"/>
          <w:szCs w:val="16"/>
          <w:color w:val="auto"/>
        </w:rPr>
      </w:pPr>
    </w:p>
    <w:p>
      <w:pPr>
        <w:ind w:left="480" w:hanging="257"/>
        <w:spacing w:after="0"/>
        <w:tabs>
          <w:tab w:leader="none" w:pos="480" w:val="left"/>
        </w:tabs>
        <w:numPr>
          <w:ilvl w:val="0"/>
          <w:numId w:val="329"/>
        </w:numPr>
        <w:rPr>
          <w:rFonts w:ascii="Arial" w:cs="Arial" w:eastAsia="Arial" w:hAnsi="Arial"/>
          <w:sz w:val="17"/>
          <w:szCs w:val="17"/>
          <w:color w:val="auto"/>
        </w:rPr>
      </w:pPr>
      <w:r>
        <w:rPr>
          <w:rFonts w:ascii="Arial" w:cs="Arial" w:eastAsia="Arial" w:hAnsi="Arial"/>
          <w:sz w:val="17"/>
          <w:szCs w:val="17"/>
          <w:u w:val="single" w:color="auto"/>
          <w:color w:val="auto"/>
        </w:rPr>
        <w:t>Additional Provisions Relating to Restricted Stock Units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right="120" w:firstLine="441"/>
        <w:spacing w:after="0" w:line="267" w:lineRule="auto"/>
        <w:tabs>
          <w:tab w:leader="none" w:pos="683"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Upon the vesting of and/or lapsing of any other restrictions (i.e., settlement) with respect to each Restricted Stock Unit, the Participant shall be 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w:t>
      </w:r>
    </w:p>
    <w:p>
      <w:pPr>
        <w:spacing w:after="0" w:line="72" w:lineRule="exact"/>
        <w:rPr>
          <w:rFonts w:ascii="Arial" w:cs="Arial" w:eastAsia="Arial" w:hAnsi="Arial"/>
          <w:sz w:val="17"/>
          <w:szCs w:val="17"/>
          <w:color w:val="auto"/>
        </w:rPr>
      </w:pPr>
    </w:p>
    <w:p>
      <w:pPr>
        <w:ind w:left="680" w:hanging="239"/>
        <w:spacing w:after="0"/>
        <w:tabs>
          <w:tab w:leader="none" w:pos="680"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A Participant shall have no voting rights with respect to any Restricted Stock Units.</w:t>
      </w:r>
    </w:p>
    <w:p>
      <w:pPr>
        <w:spacing w:after="0" w:line="118" w:lineRule="exact"/>
        <w:rPr>
          <w:rFonts w:ascii="Arial" w:cs="Arial" w:eastAsia="Arial" w:hAnsi="Arial"/>
          <w:sz w:val="17"/>
          <w:szCs w:val="17"/>
          <w:color w:val="auto"/>
        </w:rPr>
      </w:pPr>
    </w:p>
    <w:p>
      <w:pPr>
        <w:ind w:right="40" w:firstLine="441"/>
        <w:spacing w:after="0" w:line="265" w:lineRule="auto"/>
        <w:tabs>
          <w:tab w:leader="none" w:pos="683" w:val="left"/>
        </w:tabs>
        <w:numPr>
          <w:ilvl w:val="1"/>
          <w:numId w:val="329"/>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w:t>
      </w:r>
      <w:r>
        <w:rPr>
          <w:rFonts w:ascii="Arial" w:cs="Arial" w:eastAsia="Arial" w:hAnsi="Arial"/>
          <w:sz w:val="17"/>
          <w:szCs w:val="17"/>
          <w:b w:val="1"/>
          <w:bCs w:val="1"/>
          <w:i w:val="1"/>
          <w:iCs w:val="1"/>
          <w:color w:val="auto"/>
        </w:rPr>
        <w:t>Dividend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Equivalents</w:t>
      </w:r>
      <w:r>
        <w:rPr>
          <w:rFonts w:ascii="Arial" w:cs="Arial" w:eastAsia="Arial" w:hAnsi="Arial"/>
          <w:sz w:val="17"/>
          <w:szCs w:val="17"/>
          <w:color w:val="auto"/>
        </w:rPr>
        <w:t>”). Dividend Equivalents may be paid currently or credited to an account for the Participants, may be settled in cash and/or shares of Common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may be subject to the same restrictions on transfer and forfeitability as the Restricted Stock Units with respect to which paid, as determined by the Board in its sole discretion, subject in each case to such terms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78" w:name="page379"/>
    <w:bookmarkEnd w:id="378"/>
    <w:p>
      <w:pPr>
        <w:spacing w:after="0"/>
        <w:rPr>
          <w:sz w:val="20"/>
          <w:szCs w:val="20"/>
          <w:color w:val="auto"/>
        </w:rPr>
      </w:pPr>
      <w:r>
        <w:rPr>
          <w:rFonts w:ascii="Arial" w:cs="Arial" w:eastAsia="Arial" w:hAnsi="Arial"/>
          <w:sz w:val="17"/>
          <w:szCs w:val="17"/>
          <w:color w:val="auto"/>
        </w:rPr>
        <w:t>and conditions as the Board shall establish, in each case to be set forth in the applicable Award agreement.</w:t>
      </w:r>
    </w:p>
    <w:p>
      <w:pPr>
        <w:spacing w:after="0" w:line="119" w:lineRule="exact"/>
        <w:rPr>
          <w:sz w:val="20"/>
          <w:szCs w:val="20"/>
          <w:color w:val="auto"/>
        </w:rPr>
      </w:pPr>
    </w:p>
    <w:p>
      <w:pPr>
        <w:ind w:left="180" w:hanging="175"/>
        <w:spacing w:after="0"/>
        <w:tabs>
          <w:tab w:leader="none" w:pos="180"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Other Stock-Unit Awards</w:t>
      </w:r>
    </w:p>
    <w:p>
      <w:pPr>
        <w:spacing w:after="0" w:line="11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Other Awards of shares of Common Stock, and other Awards that are valued in whole or in part by reference to, or are otherwise based on, shares of Common Stock or other property, may be granted hereunder to Participants (“</w:t>
      </w:r>
      <w:r>
        <w:rPr>
          <w:rFonts w:ascii="Arial" w:cs="Arial" w:eastAsia="Arial" w:hAnsi="Arial"/>
          <w:sz w:val="17"/>
          <w:szCs w:val="17"/>
          <w:b w:val="1"/>
          <w:bCs w:val="1"/>
          <w:i w:val="1"/>
          <w:iCs w:val="1"/>
          <w:color w:val="auto"/>
        </w:rPr>
        <w:t>Other Stock Unit Awards</w:t>
      </w:r>
      <w:r>
        <w:rPr>
          <w:rFonts w:ascii="Arial" w:cs="Arial" w:eastAsia="Arial" w:hAnsi="Arial"/>
          <w:sz w:val="17"/>
          <w:szCs w:val="17"/>
          <w:color w:val="auto"/>
        </w:rPr>
        <w:t>”), including without limitation Awards entitling recipients to receive shares of Common Stock to be delivered in the future.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terms and conditions of each Other Stock Unit Award, including any purchase price applicable thereto.</w:t>
      </w:r>
    </w:p>
    <w:p>
      <w:pPr>
        <w:spacing w:after="0" w:line="77" w:lineRule="exact"/>
        <w:rPr>
          <w:sz w:val="20"/>
          <w:szCs w:val="20"/>
          <w:color w:val="auto"/>
        </w:rPr>
      </w:pPr>
    </w:p>
    <w:p>
      <w:pPr>
        <w:ind w:left="480" w:hanging="257"/>
        <w:spacing w:after="0"/>
        <w:tabs>
          <w:tab w:leader="none" w:pos="480"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Adjustments for Changes in Common Stock and Certain Other Events</w:t>
      </w:r>
      <w:r>
        <w:rPr>
          <w:rFonts w:ascii="Arial" w:cs="Arial" w:eastAsia="Arial" w:hAnsi="Arial"/>
          <w:sz w:val="17"/>
          <w:szCs w:val="17"/>
          <w:color w:val="auto"/>
        </w:rPr>
        <w:t>.</w:t>
      </w:r>
    </w:p>
    <w:p>
      <w:pPr>
        <w:spacing w:after="0" w:line="119" w:lineRule="exact"/>
        <w:rPr>
          <w:sz w:val="20"/>
          <w:szCs w:val="20"/>
          <w:color w:val="auto"/>
        </w:rPr>
      </w:pPr>
    </w:p>
    <w:p>
      <w:pPr>
        <w:ind w:firstLine="223"/>
        <w:spacing w:after="0" w:line="260" w:lineRule="auto"/>
        <w:tabs>
          <w:tab w:leader="none" w:pos="455"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Changes in Capitalization</w:t>
      </w:r>
      <w:r>
        <w:rPr>
          <w:rFonts w:ascii="Arial" w:cs="Arial" w:eastAsia="Arial" w:hAnsi="Arial"/>
          <w:sz w:val="17"/>
          <w:szCs w:val="17"/>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per-Participant limit set forth in Section 4(b), (iii) the number and class of securities and exercise price per share of each outstanding Option and each Option issuable under Section 6, (iv) the share- and per-share provisions and the exercise price of each SAR, (v) the number of shares subject to and the repurchase price per share subject to each outstanding Restricted Stock Award, and (vi) the share- and per-share-related provisions and the purchase price, if any, of each outstanding Other Stock Unit Award, shall be appropriately adjusted by the Company (or substituted Awards may be made, if applicable) to the extent determined by the Board. Without limiting the generality of the foregoing, in the event the Company effects a split of the Common Stock by means of a stock dividend and the exercise price of and the number of shares subject to any outstanding Options are adjusted as of the date of the distribution of the dividend (rather than as of the record date for such dividend), then optionees who exercise such Options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77" w:lineRule="exact"/>
        <w:rPr>
          <w:rFonts w:ascii="Arial" w:cs="Arial" w:eastAsia="Arial" w:hAnsi="Arial"/>
          <w:sz w:val="17"/>
          <w:szCs w:val="17"/>
          <w:color w:val="auto"/>
        </w:rPr>
      </w:pPr>
    </w:p>
    <w:p>
      <w:pPr>
        <w:ind w:left="480" w:hanging="257"/>
        <w:spacing w:after="0"/>
        <w:tabs>
          <w:tab w:leader="none" w:pos="48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Reorganization and Change in Control Events</w:t>
      </w:r>
    </w:p>
    <w:p>
      <w:pPr>
        <w:spacing w:after="0" w:line="118" w:lineRule="exact"/>
        <w:rPr>
          <w:rFonts w:ascii="Arial" w:cs="Arial" w:eastAsia="Arial" w:hAnsi="Arial"/>
          <w:sz w:val="17"/>
          <w:szCs w:val="17"/>
          <w:color w:val="auto"/>
        </w:rPr>
      </w:pPr>
    </w:p>
    <w:p>
      <w:pPr>
        <w:ind w:left="680" w:hanging="239"/>
        <w:spacing w:after="0"/>
        <w:tabs>
          <w:tab w:leader="none" w:pos="68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118" w:lineRule="exact"/>
        <w:rPr>
          <w:rFonts w:ascii="Arial" w:cs="Arial" w:eastAsia="Arial" w:hAnsi="Arial"/>
          <w:sz w:val="17"/>
          <w:szCs w:val="17"/>
          <w:color w:val="auto"/>
        </w:rPr>
      </w:pPr>
    </w:p>
    <w:p>
      <w:pPr>
        <w:ind w:left="1020" w:hanging="334"/>
        <w:spacing w:after="0"/>
        <w:tabs>
          <w:tab w:leader="none" w:pos="1020" w:val="left"/>
        </w:tabs>
        <w:numPr>
          <w:ilvl w:val="2"/>
          <w:numId w:val="332"/>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Reorganization Event</w:t>
      </w:r>
      <w:r>
        <w:rPr>
          <w:rFonts w:ascii="Arial" w:cs="Arial" w:eastAsia="Arial" w:hAnsi="Arial"/>
          <w:sz w:val="17"/>
          <w:szCs w:val="17"/>
          <w:color w:val="auto"/>
        </w:rPr>
        <w:t>” shall mean:</w:t>
      </w:r>
    </w:p>
    <w:p>
      <w:pPr>
        <w:spacing w:after="0" w:line="118" w:lineRule="exact"/>
        <w:rPr>
          <w:rFonts w:ascii="Arial" w:cs="Arial" w:eastAsia="Arial" w:hAnsi="Arial"/>
          <w:sz w:val="17"/>
          <w:szCs w:val="17"/>
          <w:color w:val="auto"/>
        </w:rPr>
      </w:pPr>
    </w:p>
    <w:p>
      <w:pPr>
        <w:ind w:left="1360" w:right="540" w:hanging="334"/>
        <w:spacing w:after="0" w:line="289" w:lineRule="auto"/>
        <w:tabs>
          <w:tab w:leader="none" w:pos="1360" w:val="left"/>
        </w:tabs>
        <w:numPr>
          <w:ilvl w:val="3"/>
          <w:numId w:val="332"/>
        </w:numPr>
        <w:rPr>
          <w:rFonts w:ascii="Arial" w:cs="Arial" w:eastAsia="Arial" w:hAnsi="Arial"/>
          <w:sz w:val="17"/>
          <w:szCs w:val="17"/>
          <w:color w:val="auto"/>
        </w:rPr>
      </w:pPr>
      <w:r>
        <w:rPr>
          <w:rFonts w:ascii="Arial" w:cs="Arial" w:eastAsia="Arial" w:hAnsi="Arial"/>
          <w:sz w:val="17"/>
          <w:szCs w:val="17"/>
          <w:color w:val="auto"/>
        </w:rPr>
        <w:t>any merger or consolidation of the Company with or into another entity as a result of which all of the Common Stock of the Company is converted into or exchanged for the right to receive cash, securities or other property or is cancelled;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79" w:name="page380"/>
    <w:bookmarkEnd w:id="379"/>
    <w:p>
      <w:pPr>
        <w:ind w:left="714" w:hanging="374"/>
        <w:spacing w:after="0"/>
        <w:tabs>
          <w:tab w:leader="none" w:pos="714" w:val="left"/>
        </w:tabs>
        <w:numPr>
          <w:ilvl w:val="1"/>
          <w:numId w:val="333"/>
        </w:numPr>
        <w:rPr>
          <w:rFonts w:ascii="Arial" w:cs="Arial" w:eastAsia="Arial" w:hAnsi="Arial"/>
          <w:sz w:val="16"/>
          <w:szCs w:val="16"/>
          <w:color w:val="auto"/>
        </w:rPr>
      </w:pPr>
      <w:r>
        <w:rPr>
          <w:rFonts w:ascii="Arial" w:cs="Arial" w:eastAsia="Arial" w:hAnsi="Arial"/>
          <w:sz w:val="16"/>
          <w:szCs w:val="16"/>
          <w:color w:val="auto"/>
        </w:rPr>
        <w:t>any exchange of all of the Common Stock of the Company for cash, securities or other property pursuant to a share exchange transaction; or</w:t>
      </w:r>
    </w:p>
    <w:p>
      <w:pPr>
        <w:spacing w:after="0" w:line="143" w:lineRule="exact"/>
        <w:rPr>
          <w:rFonts w:ascii="Arial" w:cs="Arial" w:eastAsia="Arial" w:hAnsi="Arial"/>
          <w:sz w:val="16"/>
          <w:szCs w:val="16"/>
          <w:color w:val="auto"/>
        </w:rPr>
      </w:pPr>
    </w:p>
    <w:p>
      <w:pPr>
        <w:ind w:left="714" w:hanging="374"/>
        <w:spacing w:after="0"/>
        <w:tabs>
          <w:tab w:leader="none" w:pos="714" w:val="left"/>
        </w:tabs>
        <w:numPr>
          <w:ilvl w:val="1"/>
          <w:numId w:val="333"/>
        </w:numPr>
        <w:rPr>
          <w:rFonts w:ascii="Arial" w:cs="Arial" w:eastAsia="Arial" w:hAnsi="Arial"/>
          <w:sz w:val="17"/>
          <w:szCs w:val="17"/>
          <w:color w:val="auto"/>
        </w:rPr>
      </w:pPr>
      <w:r>
        <w:rPr>
          <w:rFonts w:ascii="Arial" w:cs="Arial" w:eastAsia="Arial" w:hAnsi="Arial"/>
          <w:sz w:val="17"/>
          <w:szCs w:val="17"/>
          <w:color w:val="auto"/>
        </w:rPr>
        <w:t>any liquidation or dissolution of the Company.</w:t>
      </w:r>
    </w:p>
    <w:p>
      <w:pPr>
        <w:spacing w:after="0" w:line="118" w:lineRule="exact"/>
        <w:rPr>
          <w:rFonts w:ascii="Arial" w:cs="Arial" w:eastAsia="Arial" w:hAnsi="Arial"/>
          <w:sz w:val="17"/>
          <w:szCs w:val="17"/>
          <w:color w:val="auto"/>
        </w:rPr>
      </w:pPr>
    </w:p>
    <w:p>
      <w:pPr>
        <w:ind w:left="334" w:hanging="334"/>
        <w:spacing w:after="0"/>
        <w:tabs>
          <w:tab w:leader="none" w:pos="334"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Change in Control Event</w:t>
      </w:r>
      <w:r>
        <w:rPr>
          <w:rFonts w:ascii="Arial" w:cs="Arial" w:eastAsia="Arial" w:hAnsi="Arial"/>
          <w:sz w:val="17"/>
          <w:szCs w:val="17"/>
          <w:color w:val="auto"/>
        </w:rPr>
        <w:t>” shall mean:</w:t>
      </w:r>
    </w:p>
    <w:p>
      <w:pPr>
        <w:spacing w:after="0" w:line="118" w:lineRule="exact"/>
        <w:rPr>
          <w:rFonts w:ascii="Arial" w:cs="Arial" w:eastAsia="Arial" w:hAnsi="Arial"/>
          <w:sz w:val="17"/>
          <w:szCs w:val="17"/>
          <w:color w:val="auto"/>
        </w:rPr>
      </w:pPr>
    </w:p>
    <w:p>
      <w:pPr>
        <w:ind w:left="674" w:right="100" w:hanging="334"/>
        <w:spacing w:after="0" w:line="260" w:lineRule="auto"/>
        <w:tabs>
          <w:tab w:leader="none" w:pos="674" w:val="left"/>
        </w:tabs>
        <w:numPr>
          <w:ilvl w:val="1"/>
          <w:numId w:val="334"/>
        </w:numPr>
        <w:rPr>
          <w:rFonts w:ascii="Arial" w:cs="Arial" w:eastAsia="Arial" w:hAnsi="Arial"/>
          <w:sz w:val="17"/>
          <w:szCs w:val="17"/>
          <w:color w:val="auto"/>
        </w:rPr>
      </w:pPr>
      <w:r>
        <w:rPr>
          <w:rFonts w:ascii="Arial" w:cs="Arial" w:eastAsia="Arial" w:hAnsi="Arial"/>
          <w:sz w:val="17"/>
          <w:szCs w:val="17"/>
          <w:color w:val="auto"/>
        </w:rPr>
        <w:t>the acquisition by an individual, entity or group (within the meaning of Section 13(d)(3) or 14(d)(2) of the Exchange Act) (a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of beneficial ownership of any capital stock of the Company if, after such acquisition, such Person beneficially owns (within the meaning of Rule 13d 3 promulgated under the Exchange Act) 50% or more of either (x) the aggregate number of shares of Common Stock then-outstanding (the “</w:t>
      </w:r>
      <w:r>
        <w:rPr>
          <w:rFonts w:ascii="Arial" w:cs="Arial" w:eastAsia="Arial" w:hAnsi="Arial"/>
          <w:sz w:val="17"/>
          <w:szCs w:val="17"/>
          <w:b w:val="1"/>
          <w:bCs w:val="1"/>
          <w:i w:val="1"/>
          <w:iCs w:val="1"/>
          <w:color w:val="auto"/>
        </w:rPr>
        <w:t>Outstanding Company Common Stock</w:t>
      </w:r>
      <w:r>
        <w:rPr>
          <w:rFonts w:ascii="Arial" w:cs="Arial" w:eastAsia="Arial" w:hAnsi="Arial"/>
          <w:sz w:val="17"/>
          <w:szCs w:val="17"/>
          <w:color w:val="auto"/>
        </w:rPr>
        <w:t>”) or (y) the combined voting power of the then-outstanding securities of the Company entitled to vote generally in the election of directors (the “</w:t>
      </w:r>
      <w:r>
        <w:rPr>
          <w:rFonts w:ascii="Arial" w:cs="Arial" w:eastAsia="Arial" w:hAnsi="Arial"/>
          <w:sz w:val="17"/>
          <w:szCs w:val="17"/>
          <w:b w:val="1"/>
          <w:bCs w:val="1"/>
          <w:i w:val="1"/>
          <w:iCs w:val="1"/>
          <w:color w:val="auto"/>
        </w:rPr>
        <w:t>Outstanding Company Voting Securities</w:t>
      </w:r>
      <w:r>
        <w:rPr>
          <w:rFonts w:ascii="Arial" w:cs="Arial" w:eastAsia="Arial" w:hAnsi="Arial"/>
          <w:sz w:val="17"/>
          <w:szCs w:val="17"/>
          <w:color w:val="auto"/>
        </w:rPr>
        <w:t>”); provided, however, that for purposes of this 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(B) any acquisition by any employee benefit plan (or related trust) sponsored or maintained by the Company or any corporation controlled by the Company, or (C) any acquisition by any corporation pursuant to a Business Combination (as defined below) which complies with clauses (x) and (y) of subsection (iii) of this definition; or</w:t>
      </w:r>
    </w:p>
    <w:p>
      <w:pPr>
        <w:spacing w:after="0" w:line="90" w:lineRule="exact"/>
        <w:rPr>
          <w:rFonts w:ascii="Arial" w:cs="Arial" w:eastAsia="Arial" w:hAnsi="Arial"/>
          <w:sz w:val="17"/>
          <w:szCs w:val="17"/>
          <w:color w:val="auto"/>
        </w:rPr>
      </w:pPr>
    </w:p>
    <w:p>
      <w:pPr>
        <w:ind w:left="674" w:hanging="334"/>
        <w:spacing w:after="0" w:line="263" w:lineRule="auto"/>
        <w:tabs>
          <w:tab w:leader="none" w:pos="674" w:val="left"/>
        </w:tabs>
        <w:numPr>
          <w:ilvl w:val="1"/>
          <w:numId w:val="334"/>
        </w:numPr>
        <w:rPr>
          <w:rFonts w:ascii="Arial" w:cs="Arial" w:eastAsia="Arial" w:hAnsi="Arial"/>
          <w:sz w:val="17"/>
          <w:szCs w:val="17"/>
          <w:color w:val="auto"/>
        </w:rPr>
      </w:pPr>
      <w:r>
        <w:rPr>
          <w:rFonts w:ascii="Arial" w:cs="Arial" w:eastAsia="Arial" w:hAnsi="Arial"/>
          <w:sz w:val="17"/>
          <w:szCs w:val="17"/>
          <w:color w:val="auto"/>
        </w:rPr>
        <w:t>such time as the Continuing Directors (as defined below) do not constitute a majority of the Board (or, if applicable, the Board of Directors of a successor corporation to the Company), where the term “</w:t>
      </w:r>
      <w:r>
        <w:rPr>
          <w:rFonts w:ascii="Arial" w:cs="Arial" w:eastAsia="Arial" w:hAnsi="Arial"/>
          <w:sz w:val="17"/>
          <w:szCs w:val="17"/>
          <w:b w:val="1"/>
          <w:bCs w:val="1"/>
          <w:i w:val="1"/>
          <w:iCs w:val="1"/>
          <w:color w:val="auto"/>
        </w:rPr>
        <w:t>Continuing Director</w:t>
      </w:r>
      <w:r>
        <w:rPr>
          <w:rFonts w:ascii="Arial" w:cs="Arial" w:eastAsia="Arial" w:hAnsi="Arial"/>
          <w:sz w:val="17"/>
          <w:szCs w:val="17"/>
          <w:color w:val="auto"/>
        </w:rPr>
        <w:t>”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w:t>
      </w:r>
    </w:p>
    <w:p>
      <w:pPr>
        <w:spacing w:after="0" w:line="155" w:lineRule="exact"/>
        <w:rPr>
          <w:sz w:val="20"/>
          <w:szCs w:val="20"/>
          <w:color w:val="auto"/>
        </w:rPr>
      </w:pPr>
    </w:p>
    <w:p>
      <w:pPr>
        <w:ind w:left="4934"/>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147320</wp:posOffset>
            </wp:positionV>
            <wp:extent cx="7254875" cy="209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94"/>
          </w:cols>
          <w:pgMar w:left="926" w:top="1017" w:right="279" w:bottom="1440" w:gutter="0" w:footer="0" w:header="0"/>
        </w:sectPr>
      </w:pPr>
    </w:p>
    <w:bookmarkStart w:id="380" w:name="page381"/>
    <w:bookmarkEnd w:id="380"/>
    <w:p>
      <w:pPr>
        <w:jc w:val="both"/>
        <w:ind w:left="674" w:right="320"/>
        <w:spacing w:after="0" w:line="273" w:lineRule="auto"/>
        <w:rPr>
          <w:sz w:val="20"/>
          <w:szCs w:val="20"/>
          <w:color w:val="auto"/>
        </w:rPr>
      </w:pPr>
      <w:r>
        <w:rPr>
          <w:rFonts w:ascii="Arial" w:cs="Arial" w:eastAsia="Arial" w:hAnsi="Arial"/>
          <w:sz w:val="17"/>
          <w:szCs w:val="17"/>
          <w:color w:val="auto"/>
        </w:rPr>
        <w:t>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66" w:lineRule="exact"/>
        <w:rPr>
          <w:sz w:val="20"/>
          <w:szCs w:val="20"/>
          <w:color w:val="auto"/>
        </w:rPr>
      </w:pPr>
    </w:p>
    <w:p>
      <w:pPr>
        <w:ind w:left="714" w:hanging="374"/>
        <w:spacing w:after="0" w:line="274" w:lineRule="auto"/>
        <w:tabs>
          <w:tab w:leader="none" w:pos="714"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the consummation of a merger, consolidation, reorganization, recapitalization or share exchange involving the Company or a sale or other disposition of all or substantially all of the assets of the Company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Arial" w:cs="Arial" w:eastAsia="Arial" w:hAnsi="Arial"/>
          <w:sz w:val="16"/>
          <w:szCs w:val="16"/>
          <w:b w:val="1"/>
          <w:bCs w:val="1"/>
          <w:i w:val="1"/>
          <w:iCs w:val="1"/>
          <w:color w:val="auto"/>
        </w:rPr>
        <w:t>Acquiring Corporation</w:t>
      </w:r>
      <w:r>
        <w:rPr>
          <w:rFonts w:ascii="Arial" w:cs="Arial" w:eastAsia="Arial" w:hAnsi="Arial"/>
          <w:sz w:val="16"/>
          <w:szCs w:val="16"/>
          <w:color w:val="auto"/>
        </w:rPr>
        <w:t>”) in substantially the same proportions as their ownership of the Outstanding Company Common Stock and Outstanding Company Voting Securities, respectively, immediately prior to such Business Combination and</w:t>
      </w:r>
    </w:p>
    <w:p>
      <w:pPr>
        <w:spacing w:after="0" w:line="6" w:lineRule="exact"/>
        <w:rPr>
          <w:rFonts w:ascii="Arial" w:cs="Arial" w:eastAsia="Arial" w:hAnsi="Arial"/>
          <w:sz w:val="16"/>
          <w:szCs w:val="16"/>
          <w:color w:val="auto"/>
        </w:rPr>
      </w:pPr>
    </w:p>
    <w:p>
      <w:pPr>
        <w:ind w:left="714" w:right="40"/>
        <w:spacing w:after="0" w:line="262" w:lineRule="auto"/>
        <w:rPr>
          <w:rFonts w:ascii="Arial" w:cs="Arial" w:eastAsia="Arial" w:hAnsi="Arial"/>
          <w:sz w:val="16"/>
          <w:szCs w:val="16"/>
          <w:color w:val="auto"/>
        </w:rPr>
      </w:pPr>
      <w:r>
        <w:rPr>
          <w:rFonts w:ascii="Arial" w:cs="Arial" w:eastAsia="Arial" w:hAnsi="Arial"/>
          <w:sz w:val="17"/>
          <w:szCs w:val="17"/>
          <w:color w:val="auto"/>
        </w:rPr>
        <w:t>(y)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w:t>
      </w:r>
    </w:p>
    <w:p>
      <w:pPr>
        <w:spacing w:after="0" w:line="90" w:lineRule="exact"/>
        <w:rPr>
          <w:sz w:val="20"/>
          <w:szCs w:val="20"/>
          <w:color w:val="auto"/>
        </w:rPr>
      </w:pPr>
    </w:p>
    <w:p>
      <w:pPr>
        <w:ind w:left="714" w:hanging="374"/>
        <w:spacing w:after="0"/>
        <w:tabs>
          <w:tab w:leader="none" w:pos="714" w:val="left"/>
        </w:tabs>
        <w:numPr>
          <w:ilvl w:val="1"/>
          <w:numId w:val="336"/>
        </w:numPr>
        <w:rPr>
          <w:rFonts w:ascii="Arial" w:cs="Arial" w:eastAsia="Arial" w:hAnsi="Arial"/>
          <w:sz w:val="17"/>
          <w:szCs w:val="17"/>
          <w:color w:val="auto"/>
        </w:rPr>
      </w:pPr>
      <w:r>
        <w:rPr>
          <w:rFonts w:ascii="Arial" w:cs="Arial" w:eastAsia="Arial" w:hAnsi="Arial"/>
          <w:sz w:val="17"/>
          <w:szCs w:val="17"/>
          <w:color w:val="auto"/>
        </w:rPr>
        <w:t>the liquidation or dissolution of the Company.</w:t>
      </w:r>
    </w:p>
    <w:p>
      <w:pPr>
        <w:spacing w:after="0" w:line="118" w:lineRule="exact"/>
        <w:rPr>
          <w:rFonts w:ascii="Arial" w:cs="Arial" w:eastAsia="Arial" w:hAnsi="Arial"/>
          <w:sz w:val="17"/>
          <w:szCs w:val="17"/>
          <w:color w:val="auto"/>
        </w:rPr>
      </w:pPr>
    </w:p>
    <w:p>
      <w:pPr>
        <w:ind w:left="334" w:right="240" w:hanging="334"/>
        <w:spacing w:after="0" w:line="273" w:lineRule="auto"/>
        <w:tabs>
          <w:tab w:leader="none" w:pos="334" w:val="left"/>
        </w:tabs>
        <w:numPr>
          <w:ilvl w:val="0"/>
          <w:numId w:val="3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mean any significant diminution in the Participant’s title, authority, or responsibilities from and after such Reorganization Event or Change in Control Event, as the case may be, or any reduction in the annual cash compensation payable to the Participant from and after such Reorganization Event or Change in Control Event, as the case may be, or the</w:t>
      </w:r>
    </w:p>
    <w:p>
      <w:pPr>
        <w:spacing w:after="0" w:line="145" w:lineRule="exact"/>
        <w:rPr>
          <w:sz w:val="20"/>
          <w:szCs w:val="20"/>
          <w:color w:val="auto"/>
        </w:rPr>
      </w:pPr>
    </w:p>
    <w:p>
      <w:pPr>
        <w:ind w:left="4874"/>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147320</wp:posOffset>
            </wp:positionV>
            <wp:extent cx="7254875" cy="209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734"/>
          </w:cols>
          <w:pgMar w:left="926" w:top="912" w:right="239" w:bottom="1440" w:gutter="0" w:footer="0" w:header="0"/>
        </w:sectPr>
      </w:pPr>
    </w:p>
    <w:bookmarkStart w:id="381" w:name="page382"/>
    <w:bookmarkEnd w:id="381"/>
    <w:p>
      <w:pPr>
        <w:ind w:left="580" w:right="640"/>
        <w:spacing w:after="0" w:line="289" w:lineRule="auto"/>
        <w:rPr>
          <w:sz w:val="20"/>
          <w:szCs w:val="20"/>
          <w:color w:val="auto"/>
        </w:rPr>
      </w:pPr>
      <w:r>
        <w:rPr>
          <w:rFonts w:ascii="Arial" w:cs="Arial" w:eastAsia="Arial" w:hAnsi="Arial"/>
          <w:sz w:val="17"/>
          <w:szCs w:val="17"/>
          <w:color w:val="auto"/>
        </w:rPr>
        <w:t>relocation of the place of business at which the Participant is principally located to a location that is greater than 50 miles from its location immediately prior to such Reorganization Event or Change in Control Event.</w:t>
      </w:r>
    </w:p>
    <w:p>
      <w:pPr>
        <w:spacing w:after="0" w:line="53" w:lineRule="exact"/>
        <w:rPr>
          <w:sz w:val="20"/>
          <w:szCs w:val="20"/>
          <w:color w:val="auto"/>
        </w:rPr>
      </w:pPr>
    </w:p>
    <w:p>
      <w:pPr>
        <w:ind w:left="580" w:right="100" w:hanging="334"/>
        <w:spacing w:after="0" w:line="262" w:lineRule="auto"/>
        <w:tabs>
          <w:tab w:leader="none" w:pos="58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any (i) willful failure by the Participant, which failure is not cured within 30 days of written notice to the Participant from the Company, to perform his or her material responsibilities to the Company, (ii) willful misconduct by the Participant which affects the business reputation of the Company, (iii) material breach by the Participant of any employment, confidentiality, non-competition or non-solicitation agreement with the Company, (iv) conviction or plea of nolo contendere (no contest) by the Participant to a felony, or (v) commission by the Participant of any act involving fraud, theft or dishonesty with respect to the Company’s business or affairs. The Participant shall be considered to have been discharged for “Cause” if the Company determines, within 30 days after the Participant’s resignation, that discharge for Cause was warranted.</w:t>
      </w:r>
    </w:p>
    <w:p>
      <w:pPr>
        <w:spacing w:after="0" w:line="77" w:lineRule="exact"/>
        <w:rPr>
          <w:rFonts w:ascii="Arial" w:cs="Arial" w:eastAsia="Arial" w:hAnsi="Arial"/>
          <w:sz w:val="17"/>
          <w:szCs w:val="17"/>
          <w:color w:val="auto"/>
        </w:rPr>
      </w:pPr>
    </w:p>
    <w:p>
      <w:pPr>
        <w:ind w:left="240" w:hanging="239"/>
        <w:spacing w:after="0"/>
        <w:tabs>
          <w:tab w:leader="none" w:pos="240"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Effect on Options</w:t>
      </w:r>
    </w:p>
    <w:p>
      <w:pPr>
        <w:spacing w:after="0" w:line="118" w:lineRule="exact"/>
        <w:rPr>
          <w:rFonts w:ascii="Arial" w:cs="Arial" w:eastAsia="Arial" w:hAnsi="Arial"/>
          <w:sz w:val="17"/>
          <w:szCs w:val="17"/>
          <w:color w:val="auto"/>
        </w:rPr>
      </w:pPr>
    </w:p>
    <w:p>
      <w:pPr>
        <w:ind w:left="580" w:hanging="334"/>
        <w:spacing w:after="0" w:line="277" w:lineRule="auto"/>
        <w:tabs>
          <w:tab w:leader="none" w:pos="580" w:val="left"/>
        </w:tabs>
        <w:numPr>
          <w:ilvl w:val="1"/>
          <w:numId w:val="339"/>
        </w:numPr>
        <w:rPr>
          <w:rFonts w:ascii="Arial" w:cs="Arial" w:eastAsia="Arial" w:hAnsi="Arial"/>
          <w:sz w:val="16"/>
          <w:szCs w:val="16"/>
          <w:color w:val="auto"/>
        </w:rPr>
      </w:pPr>
      <w:r>
        <w:rPr>
          <w:rFonts w:ascii="Arial" w:cs="Arial" w:eastAsia="Arial" w:hAnsi="Arial"/>
          <w:sz w:val="16"/>
          <w:szCs w:val="16"/>
          <w:u w:val="single" w:color="auto"/>
          <w:color w:val="auto"/>
        </w:rPr>
        <w:t>Reorganization Event</w:t>
      </w:r>
      <w:r>
        <w:rPr>
          <w:rFonts w:ascii="Arial" w:cs="Arial" w:eastAsia="Arial" w:hAnsi="Arial"/>
          <w:sz w:val="16"/>
          <w:szCs w:val="16"/>
          <w:color w:val="auto"/>
        </w:rPr>
        <w:t>. Upon the occurrence of a Reorganization Event (regardless of whether such event also constitutes a Change in Control Event), or the execution by the Company of any agreement with respect to a Reorganization Event (regardless of whether such event will result in a Change in Control Event), the Board shall provide that all outstanding Options shall be assumed, or equivalent options shall be substituted, by the acquiring or succeeding corporation (or an affiliate thereof); provided that if such Reorganization Event also constitutes a Change in Control Event, except to the extent specifically provided to the contrary in the instrument evidencing any Option or any other agreement between a Participant and the Company such assumed or substituted options shall become immediately exercisable in full if, on or prior to the first anniversary of the date of the consummation of the Reorganization Event, the Participant’s employment with the Company or the acquiring or succeeding corporation is terminated for Good Reason by the Participant or is terminated without Cause by the Company or the acquiring or succeeding corporation. For purposes hereof, an Option shall be considered to be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w:t>
      </w:r>
    </w:p>
    <w:p>
      <w:pPr>
        <w:spacing w:after="0" w:line="14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147320</wp:posOffset>
            </wp:positionV>
            <wp:extent cx="7254875" cy="209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880"/>
          </w:cols>
          <w:pgMar w:left="680" w:top="913" w:right="339" w:bottom="1440" w:gutter="0" w:footer="0" w:header="0"/>
        </w:sectPr>
      </w:pPr>
    </w:p>
    <w:bookmarkStart w:id="382" w:name="page383"/>
    <w:bookmarkEnd w:id="382"/>
    <w:p>
      <w:pPr>
        <w:ind w:left="334" w:right="60"/>
        <w:spacing w:after="0" w:line="308" w:lineRule="auto"/>
        <w:rPr>
          <w:sz w:val="20"/>
          <w:szCs w:val="20"/>
          <w:color w:val="auto"/>
        </w:rPr>
      </w:pPr>
      <w:r>
        <w:rPr>
          <w:rFonts w:ascii="Arial" w:cs="Arial" w:eastAsia="Arial" w:hAnsi="Arial"/>
          <w:sz w:val="15"/>
          <w:szCs w:val="15"/>
          <w:color w:val="auto"/>
        </w:rPr>
        <w:t>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46" w:lineRule="exact"/>
        <w:rPr>
          <w:sz w:val="20"/>
          <w:szCs w:val="20"/>
          <w:color w:val="auto"/>
        </w:rPr>
      </w:pPr>
    </w:p>
    <w:p>
      <w:pPr>
        <w:ind w:left="354" w:firstLine="218"/>
        <w:spacing w:after="0" w:line="278" w:lineRule="auto"/>
        <w:rPr>
          <w:sz w:val="20"/>
          <w:szCs w:val="20"/>
          <w:color w:val="auto"/>
        </w:rPr>
      </w:pPr>
      <w:r>
        <w:rPr>
          <w:rFonts w:ascii="Arial" w:cs="Arial" w:eastAsia="Arial" w:hAnsi="Arial"/>
          <w:sz w:val="16"/>
          <w:szCs w:val="16"/>
          <w:color w:val="auto"/>
        </w:rPr>
        <w:t>Notwithstanding the foregoing, if the acquiring or succeeding corporation (or an affiliate thereof) does not agree to assume, or substitute for, some or all of such Options, or in the event of a liquidation or dissolution of the Company, the Board shall, upon written notice to the Participants, provide with respect to any Options that are not to be acquired by an acquiring or succeeding corporation that all then unexercised Options will become exercisable in full as of a specified time prior to the Reorganization Event and will terminate immediately prior to the consummation of such Reorganization Event, except to the extent exercised by the Participants before the consummation of such Reorganization Event; provided, however, that in the event of a Reorganization Event under the terms of which holders of Common Stock will receive upon consummation thereof a cash payment for each share of Common Stock surrendered pursuant to such Reorganization Event (the “</w:t>
      </w:r>
      <w:r>
        <w:rPr>
          <w:rFonts w:ascii="Arial" w:cs="Arial" w:eastAsia="Arial" w:hAnsi="Arial"/>
          <w:sz w:val="16"/>
          <w:szCs w:val="16"/>
          <w:b w:val="1"/>
          <w:bCs w:val="1"/>
          <w:i w:val="1"/>
          <w:iCs w:val="1"/>
          <w:color w:val="auto"/>
        </w:rPr>
        <w:t>Acquisition Price</w:t>
      </w:r>
      <w:r>
        <w:rPr>
          <w:rFonts w:ascii="Arial" w:cs="Arial" w:eastAsia="Arial" w:hAnsi="Arial"/>
          <w:sz w:val="16"/>
          <w:szCs w:val="16"/>
          <w:color w:val="auto"/>
        </w:rPr>
        <w:t>”), then the Board may instead provide that all such outstanding Options shall terminate upon consummation of such Reorganization Event and that each Participant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 and any applicable tax withholdings.</w:t>
      </w:r>
    </w:p>
    <w:p>
      <w:pPr>
        <w:spacing w:after="0" w:line="65" w:lineRule="exact"/>
        <w:rPr>
          <w:sz w:val="20"/>
          <w:szCs w:val="20"/>
          <w:color w:val="auto"/>
        </w:rPr>
      </w:pPr>
    </w:p>
    <w:p>
      <w:pPr>
        <w:ind w:left="334" w:right="120" w:hanging="334"/>
        <w:spacing w:after="0" w:line="263" w:lineRule="auto"/>
        <w:tabs>
          <w:tab w:leader="none" w:pos="334"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Change in Control Event that is not a Reorganization Event</w:t>
      </w:r>
      <w:r>
        <w:rPr>
          <w:rFonts w:ascii="Arial" w:cs="Arial" w:eastAsia="Arial" w:hAnsi="Arial"/>
          <w:sz w:val="17"/>
          <w:szCs w:val="17"/>
          <w:color w:val="auto"/>
        </w:rPr>
        <w:t>. Upon the occurrence of a Change in Control Event that does not also constitute a Reorganization Event, except to the extent specifically provided to the contrary in the instrument evidencing any Option or any other agreement between a Participant and the Company, then outstanding Option shall continue to become vested in accordance with the original vesting schedule set forth in such Option, provided, however, that each such Option shall be immediately exercisable in full if, on or prior to the first anniversary of the date of the consummation of the Change in Control Event, the Participant’s employment with the Company or the acquiring or succeeding corporation is terminated for Good Reason by the Participant or</w:t>
      </w:r>
    </w:p>
    <w:p>
      <w:pPr>
        <w:spacing w:after="0" w:line="155" w:lineRule="exact"/>
        <w:rPr>
          <w:sz w:val="20"/>
          <w:szCs w:val="20"/>
          <w:color w:val="auto"/>
        </w:rPr>
      </w:pPr>
    </w:p>
    <w:p>
      <w:pPr>
        <w:ind w:left="4874"/>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147320</wp:posOffset>
            </wp:positionV>
            <wp:extent cx="7254875" cy="209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674"/>
          </w:cols>
          <w:pgMar w:left="926" w:top="913" w:right="299" w:bottom="1440" w:gutter="0" w:footer="0" w:header="0"/>
        </w:sectPr>
      </w:pPr>
    </w:p>
    <w:bookmarkStart w:id="383" w:name="page384"/>
    <w:bookmarkEnd w:id="383"/>
    <w:p>
      <w:pPr>
        <w:ind w:left="1020"/>
        <w:spacing w:after="0"/>
        <w:rPr>
          <w:sz w:val="20"/>
          <w:szCs w:val="20"/>
          <w:color w:val="auto"/>
        </w:rPr>
      </w:pPr>
      <w:r>
        <w:rPr>
          <w:rFonts w:ascii="Arial" w:cs="Arial" w:eastAsia="Arial" w:hAnsi="Arial"/>
          <w:sz w:val="17"/>
          <w:szCs w:val="17"/>
          <w:color w:val="auto"/>
        </w:rPr>
        <w:t>is terminated without Cause by the Company or the acquiring or succeeding corporation.</w:t>
      </w:r>
    </w:p>
    <w:p>
      <w:pPr>
        <w:spacing w:after="0" w:line="119" w:lineRule="exact"/>
        <w:rPr>
          <w:sz w:val="20"/>
          <w:szCs w:val="20"/>
          <w:color w:val="auto"/>
        </w:rPr>
      </w:pPr>
    </w:p>
    <w:p>
      <w:pPr>
        <w:ind w:left="680" w:hanging="239"/>
        <w:spacing w:after="0"/>
        <w:tabs>
          <w:tab w:leader="none" w:pos="68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Effect on Restricted Stock Awards</w:t>
      </w:r>
    </w:p>
    <w:p>
      <w:pPr>
        <w:spacing w:after="0" w:line="118" w:lineRule="exact"/>
        <w:rPr>
          <w:rFonts w:ascii="Arial" w:cs="Arial" w:eastAsia="Arial" w:hAnsi="Arial"/>
          <w:sz w:val="17"/>
          <w:szCs w:val="17"/>
          <w:color w:val="auto"/>
        </w:rPr>
      </w:pPr>
    </w:p>
    <w:p>
      <w:pPr>
        <w:ind w:left="1020" w:right="140" w:hanging="334"/>
        <w:spacing w:after="0" w:line="314" w:lineRule="auto"/>
        <w:tabs>
          <w:tab w:leader="none" w:pos="1020" w:val="left"/>
        </w:tabs>
        <w:numPr>
          <w:ilvl w:val="1"/>
          <w:numId w:val="341"/>
        </w:numPr>
        <w:rPr>
          <w:rFonts w:ascii="Arial" w:cs="Arial" w:eastAsia="Arial" w:hAnsi="Arial"/>
          <w:sz w:val="15"/>
          <w:szCs w:val="15"/>
          <w:color w:val="auto"/>
        </w:rPr>
      </w:pPr>
      <w:r>
        <w:rPr>
          <w:rFonts w:ascii="Arial" w:cs="Arial" w:eastAsia="Arial" w:hAnsi="Arial"/>
          <w:sz w:val="15"/>
          <w:szCs w:val="15"/>
          <w:u w:val="single" w:color="auto"/>
          <w:color w:val="auto"/>
        </w:rPr>
        <w:t>Reorganization Event that is not a Change in Control Event</w:t>
      </w:r>
      <w:r>
        <w:rPr>
          <w:rFonts w:ascii="Arial" w:cs="Arial" w:eastAsia="Arial" w:hAnsi="Arial"/>
          <w:sz w:val="15"/>
          <w:szCs w:val="15"/>
          <w:color w:val="auto"/>
        </w:rPr>
        <w:t>. Upon the occurrence of a Reorganization Event that is not a Change in Control Event,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w:t>
      </w:r>
    </w:p>
    <w:p>
      <w:pPr>
        <w:spacing w:after="0" w:line="53" w:lineRule="exact"/>
        <w:rPr>
          <w:rFonts w:ascii="Arial" w:cs="Arial" w:eastAsia="Arial" w:hAnsi="Arial"/>
          <w:sz w:val="15"/>
          <w:szCs w:val="15"/>
          <w:color w:val="auto"/>
        </w:rPr>
      </w:pPr>
    </w:p>
    <w:p>
      <w:pPr>
        <w:ind w:left="1020" w:right="40" w:hanging="334"/>
        <w:spacing w:after="0" w:line="281" w:lineRule="auto"/>
        <w:tabs>
          <w:tab w:leader="none" w:pos="1020" w:val="left"/>
        </w:tabs>
        <w:numPr>
          <w:ilvl w:val="1"/>
          <w:numId w:val="341"/>
        </w:numPr>
        <w:rPr>
          <w:rFonts w:ascii="Arial" w:cs="Arial" w:eastAsia="Arial" w:hAnsi="Arial"/>
          <w:sz w:val="16"/>
          <w:szCs w:val="16"/>
          <w:color w:val="auto"/>
        </w:rPr>
      </w:pPr>
      <w:r>
        <w:rPr>
          <w:rFonts w:ascii="Arial" w:cs="Arial" w:eastAsia="Arial" w:hAnsi="Arial"/>
          <w:sz w:val="16"/>
          <w:szCs w:val="16"/>
          <w:u w:val="single" w:color="auto"/>
          <w:color w:val="auto"/>
        </w:rPr>
        <w:t>Change in Control Event</w:t>
      </w:r>
      <w:r>
        <w:rPr>
          <w:rFonts w:ascii="Arial" w:cs="Arial" w:eastAsia="Arial" w:hAnsi="Arial"/>
          <w:sz w:val="16"/>
          <w:szCs w:val="16"/>
          <w:color w:val="auto"/>
        </w:rPr>
        <w:t>. Upon the occurrence of a Change in Control Event (regardless of whether such event also constitutes a Reorganization Event), except to the extent specifically provided to the contrary in the instrument evidencing any Restricted Stock Award or any other agreement between a Participant and the Company, each then-outstanding Restricted Stock Award shall continue to become free from conditions or restrictions in accordance with the original schedule set forth in such Restricted Stock Award, provided, however, that each such Restricted Stock Award shall immediately become free from all conditions or restrictions if, on or prior to the first anniversary of the date of the consummation of the Change in Control Event, the Participant’s employment with the Company or the acquiring or succeeding corporation is terminated for Good Reason by the Participant or is terminated without Cause by the Company or the acquiring or succeeding corporation.</w:t>
      </w:r>
    </w:p>
    <w:p>
      <w:pPr>
        <w:spacing w:after="0" w:line="63" w:lineRule="exact"/>
        <w:rPr>
          <w:rFonts w:ascii="Arial" w:cs="Arial" w:eastAsia="Arial" w:hAnsi="Arial"/>
          <w:sz w:val="16"/>
          <w:szCs w:val="16"/>
          <w:color w:val="auto"/>
        </w:rPr>
      </w:pPr>
    </w:p>
    <w:p>
      <w:pPr>
        <w:ind w:left="680" w:hanging="239"/>
        <w:spacing w:after="0"/>
        <w:tabs>
          <w:tab w:leader="none" w:pos="68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Effect on Stock Appreciation Rights and Other Stock Unit Awards</w:t>
      </w:r>
    </w:p>
    <w:p>
      <w:pPr>
        <w:spacing w:after="0" w:line="119" w:lineRule="exact"/>
        <w:rPr>
          <w:sz w:val="20"/>
          <w:szCs w:val="20"/>
          <w:color w:val="auto"/>
        </w:rPr>
      </w:pPr>
    </w:p>
    <w:p>
      <w:pPr>
        <w:ind w:right="320" w:firstLine="651"/>
        <w:spacing w:after="0" w:line="289" w:lineRule="auto"/>
        <w:rPr>
          <w:sz w:val="20"/>
          <w:szCs w:val="20"/>
          <w:color w:val="auto"/>
        </w:rPr>
      </w:pPr>
      <w:r>
        <w:rPr>
          <w:rFonts w:ascii="Arial" w:cs="Arial" w:eastAsia="Arial" w:hAnsi="Arial"/>
          <w:sz w:val="17"/>
          <w:szCs w:val="17"/>
          <w:color w:val="auto"/>
        </w:rPr>
        <w:t>The Board may specify in an Award at the time of the grant the effect of a Reorganization Event and Change in Control Event on any SAR and Other Stock Unit Award.</w:t>
      </w:r>
    </w:p>
    <w:p>
      <w:pPr>
        <w:spacing w:after="0" w:line="158" w:lineRule="exact"/>
        <w:rPr>
          <w:sz w:val="20"/>
          <w:szCs w:val="20"/>
          <w:color w:val="auto"/>
        </w:rPr>
      </w:pPr>
    </w:p>
    <w:p>
      <w:pPr>
        <w:ind w:left="260" w:hanging="255"/>
        <w:spacing w:after="0"/>
        <w:tabs>
          <w:tab w:leader="none" w:pos="260"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General Provisions Applicable to Awards</w:t>
      </w:r>
    </w:p>
    <w:p>
      <w:pPr>
        <w:spacing w:after="0" w:line="118" w:lineRule="exact"/>
        <w:rPr>
          <w:rFonts w:ascii="Arial" w:cs="Arial" w:eastAsia="Arial" w:hAnsi="Arial"/>
          <w:sz w:val="17"/>
          <w:szCs w:val="17"/>
          <w:color w:val="auto"/>
        </w:rPr>
      </w:pPr>
    </w:p>
    <w:p>
      <w:pPr>
        <w:ind w:firstLine="223"/>
        <w:spacing w:after="0" w:line="263" w:lineRule="auto"/>
        <w:tabs>
          <w:tab w:leader="none" w:pos="455" w:val="left"/>
        </w:tabs>
        <w:numPr>
          <w:ilvl w:val="1"/>
          <w:numId w:val="342"/>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gratuitous transfer of the Award by the Participant to or for the benefit of any immediate family member, domestic partner, family trust or other entity established for the benefit of the Participant and/or an immediate family member thereof if, with respect to such proposed transferee, the Company would be eligible to use a Registration Statement on Form S-8 for the registration of the sale of the Common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2" w:right="259" w:bottom="1440" w:gutter="0" w:footer="0" w:header="0"/>
        </w:sectPr>
      </w:pPr>
    </w:p>
    <w:bookmarkStart w:id="384" w:name="page385"/>
    <w:bookmarkEnd w:id="384"/>
    <w:p>
      <w:pPr>
        <w:spacing w:after="0" w:line="265" w:lineRule="auto"/>
        <w:rPr>
          <w:sz w:val="20"/>
          <w:szCs w:val="20"/>
          <w:color w:val="auto"/>
        </w:rPr>
      </w:pPr>
      <w:r>
        <w:rPr>
          <w:rFonts w:ascii="Arial" w:cs="Arial" w:eastAsia="Arial" w:hAnsi="Arial"/>
          <w:sz w:val="17"/>
          <w:szCs w:val="17"/>
          <w:color w:val="auto"/>
        </w:rPr>
        <w:t>Stock subject to such Award under the Securities Act of 1933, as amended; provided, further, that the Company shall not be required to recognize any such transfer until such time as the Participant and such authorized transferee shall, as a condition to such transfer, deliver to the Company a written instrument in form and substance satisfactory to the Company confirming that such transferee shall be bound by all of the terms and conditions of the Award; and, provided, further, that no option intended to be an incentive stock option shall be transferable unless the Board shall otherwise permit. References to a Participant, to the extent relevant in the context, shall include references to authorized transferees.</w:t>
      </w:r>
    </w:p>
    <w:p>
      <w:pPr>
        <w:spacing w:after="0" w:line="73" w:lineRule="exact"/>
        <w:rPr>
          <w:sz w:val="20"/>
          <w:szCs w:val="20"/>
          <w:color w:val="auto"/>
        </w:rPr>
      </w:pPr>
    </w:p>
    <w:p>
      <w:pPr>
        <w:ind w:right="20" w:firstLine="223"/>
        <w:spacing w:after="0" w:line="289" w:lineRule="auto"/>
        <w:tabs>
          <w:tab w:leader="none" w:pos="465"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Documentation</w:t>
      </w:r>
      <w:r>
        <w:rPr>
          <w:rFonts w:ascii="Arial" w:cs="Arial" w:eastAsia="Arial" w:hAnsi="Arial"/>
          <w:sz w:val="17"/>
          <w:szCs w:val="17"/>
          <w:color w:val="auto"/>
        </w:rPr>
        <w:t>. Each Award shall be evidenced in such form (written, electronic or otherwise) as the Board shall determine. Each Award may contain terms and conditions in addition to those set forth in the Plan.</w:t>
      </w:r>
    </w:p>
    <w:p>
      <w:pPr>
        <w:spacing w:after="0" w:line="53" w:lineRule="exact"/>
        <w:rPr>
          <w:rFonts w:ascii="Arial" w:cs="Arial" w:eastAsia="Arial" w:hAnsi="Arial"/>
          <w:sz w:val="17"/>
          <w:szCs w:val="17"/>
          <w:color w:val="auto"/>
        </w:rPr>
      </w:pPr>
    </w:p>
    <w:p>
      <w:pPr>
        <w:ind w:right="180" w:firstLine="223"/>
        <w:spacing w:after="0" w:line="289" w:lineRule="auto"/>
        <w:tabs>
          <w:tab w:leader="none" w:pos="455"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Board Discretion</w:t>
      </w:r>
      <w:r>
        <w:rPr>
          <w:rFonts w:ascii="Arial" w:cs="Arial" w:eastAsia="Arial" w:hAnsi="Arial"/>
          <w:sz w:val="17"/>
          <w:szCs w:val="17"/>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53" w:lineRule="exact"/>
        <w:rPr>
          <w:rFonts w:ascii="Arial" w:cs="Arial" w:eastAsia="Arial" w:hAnsi="Arial"/>
          <w:sz w:val="17"/>
          <w:szCs w:val="17"/>
          <w:color w:val="auto"/>
        </w:rPr>
      </w:pPr>
    </w:p>
    <w:p>
      <w:pPr>
        <w:ind w:right="60" w:firstLine="223"/>
        <w:spacing w:after="0" w:line="273" w:lineRule="auto"/>
        <w:tabs>
          <w:tab w:leader="none" w:pos="465"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Termination of Status</w:t>
      </w:r>
      <w:r>
        <w:rPr>
          <w:rFonts w:ascii="Arial" w:cs="Arial" w:eastAsia="Arial" w:hAnsi="Arial"/>
          <w:sz w:val="17"/>
          <w:szCs w:val="17"/>
          <w:color w:val="auto"/>
        </w:rPr>
        <w:t>. The Board shall determine the effect on an Award of the disability, death, termination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66" w:lineRule="exact"/>
        <w:rPr>
          <w:rFonts w:ascii="Arial" w:cs="Arial" w:eastAsia="Arial" w:hAnsi="Arial"/>
          <w:sz w:val="17"/>
          <w:szCs w:val="17"/>
          <w:color w:val="auto"/>
        </w:rPr>
      </w:pPr>
    </w:p>
    <w:p>
      <w:pPr>
        <w:ind w:firstLine="223"/>
        <w:spacing w:after="0" w:line="278" w:lineRule="auto"/>
        <w:tabs>
          <w:tab w:leader="none" w:pos="455"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65" w:lineRule="exact"/>
        <w:rPr>
          <w:rFonts w:ascii="Arial" w:cs="Arial" w:eastAsia="Arial" w:hAnsi="Arial"/>
          <w:sz w:val="16"/>
          <w:szCs w:val="16"/>
          <w:color w:val="auto"/>
        </w:rPr>
      </w:pPr>
    </w:p>
    <w:p>
      <w:pPr>
        <w:ind w:right="20" w:firstLine="223"/>
        <w:spacing w:after="0" w:line="267" w:lineRule="auto"/>
        <w:tabs>
          <w:tab w:leader="none" w:pos="436"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Amendment of Award</w:t>
      </w:r>
      <w:r>
        <w:rPr>
          <w:rFonts w:ascii="Arial" w:cs="Arial" w:eastAsia="Arial" w:hAnsi="Arial"/>
          <w:sz w:val="17"/>
          <w:szCs w:val="17"/>
          <w:color w:val="auto"/>
        </w:rPr>
        <w:t>. The Board may amend, modify or terminate any outstanding Award, including but not limited to, substituting therefor another Award of the same or a different type, changing the date of exercise or realization, and converting an Incentive Stock Option to a Nonstatutory Stock Option, provided either (i) that the Participant’s consent to such action shall be required unless the Board determines that the action, taking into account any related action, would not materially and adversely affect the Participant or (ii) that the change is permitted under Section 10 hereof.</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85" w:name="page386"/>
    <w:bookmarkEnd w:id="385"/>
    <w:p>
      <w:pPr>
        <w:ind w:left="-5" w:right="40" w:firstLine="223"/>
        <w:spacing w:after="0" w:line="308" w:lineRule="auto"/>
        <w:tabs>
          <w:tab w:leader="none" w:pos="460" w:val="left"/>
        </w:tabs>
        <w:numPr>
          <w:ilvl w:val="1"/>
          <w:numId w:val="344"/>
        </w:numPr>
        <w:rPr>
          <w:rFonts w:ascii="Arial" w:cs="Arial" w:eastAsia="Arial" w:hAnsi="Arial"/>
          <w:sz w:val="15"/>
          <w:szCs w:val="15"/>
          <w:color w:val="auto"/>
        </w:rPr>
      </w:pPr>
      <w:r>
        <w:rPr>
          <w:rFonts w:ascii="Arial" w:cs="Arial" w:eastAsia="Arial" w:hAnsi="Arial"/>
          <w:sz w:val="15"/>
          <w:szCs w:val="15"/>
          <w:u w:val="single" w:color="auto"/>
          <w:color w:val="auto"/>
        </w:rPr>
        <w:t>Conditions on Delivery of Stock</w:t>
      </w:r>
      <w:r>
        <w:rPr>
          <w:rFonts w:ascii="Arial" w:cs="Arial" w:eastAsia="Arial" w:hAnsi="Arial"/>
          <w:sz w:val="15"/>
          <w:szCs w:val="15"/>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45" w:lineRule="exact"/>
        <w:rPr>
          <w:rFonts w:ascii="Arial" w:cs="Arial" w:eastAsia="Arial" w:hAnsi="Arial"/>
          <w:sz w:val="15"/>
          <w:szCs w:val="15"/>
          <w:color w:val="auto"/>
        </w:rPr>
      </w:pPr>
    </w:p>
    <w:p>
      <w:pPr>
        <w:ind w:left="-5" w:right="140" w:firstLine="223"/>
        <w:spacing w:after="0" w:line="289" w:lineRule="auto"/>
        <w:tabs>
          <w:tab w:leader="none" w:pos="460" w:val="left"/>
        </w:tabs>
        <w:numPr>
          <w:ilvl w:val="1"/>
          <w:numId w:val="344"/>
        </w:numPr>
        <w:rPr>
          <w:rFonts w:ascii="Arial" w:cs="Arial" w:eastAsia="Arial" w:hAnsi="Arial"/>
          <w:sz w:val="17"/>
          <w:szCs w:val="17"/>
          <w:color w:val="auto"/>
        </w:rPr>
      </w:pPr>
      <w:r>
        <w:rPr>
          <w:rFonts w:ascii="Arial" w:cs="Arial" w:eastAsia="Arial" w:hAnsi="Arial"/>
          <w:sz w:val="17"/>
          <w:szCs w:val="17"/>
          <w:u w:val="single" w:color="auto"/>
          <w:color w:val="auto"/>
        </w:rPr>
        <w:t>Acceleration</w:t>
      </w:r>
      <w:r>
        <w:rPr>
          <w:rFonts w:ascii="Arial" w:cs="Arial" w:eastAsia="Arial" w:hAnsi="Arial"/>
          <w:sz w:val="17"/>
          <w:szCs w:val="17"/>
          <w:color w:val="auto"/>
        </w:rPr>
        <w:t>. The Board may at any time provide that any Award shall become immediately exercisable in full or in part, free of some or all restrictions or conditions, or otherwise realizable in full or in part, as the case may be.</w:t>
      </w:r>
    </w:p>
    <w:p>
      <w:pPr>
        <w:spacing w:after="0" w:line="53" w:lineRule="exact"/>
        <w:rPr>
          <w:rFonts w:ascii="Arial" w:cs="Arial" w:eastAsia="Arial" w:hAnsi="Arial"/>
          <w:sz w:val="17"/>
          <w:szCs w:val="17"/>
          <w:color w:val="auto"/>
        </w:rPr>
      </w:pPr>
    </w:p>
    <w:p>
      <w:pPr>
        <w:ind w:left="435" w:hanging="217"/>
        <w:spacing w:after="0"/>
        <w:tabs>
          <w:tab w:leader="none" w:pos="435" w:val="left"/>
        </w:tabs>
        <w:numPr>
          <w:ilvl w:val="1"/>
          <w:numId w:val="344"/>
        </w:numPr>
        <w:rPr>
          <w:rFonts w:ascii="Arial" w:cs="Arial" w:eastAsia="Arial" w:hAnsi="Arial"/>
          <w:sz w:val="17"/>
          <w:szCs w:val="17"/>
          <w:color w:val="auto"/>
        </w:rPr>
      </w:pPr>
      <w:r>
        <w:rPr>
          <w:rFonts w:ascii="Arial" w:cs="Arial" w:eastAsia="Arial" w:hAnsi="Arial"/>
          <w:sz w:val="17"/>
          <w:szCs w:val="17"/>
          <w:u w:val="single" w:color="auto"/>
          <w:color w:val="auto"/>
        </w:rPr>
        <w:t>Performance Awards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5" w:right="60" w:firstLine="441"/>
        <w:spacing w:after="0" w:line="273" w:lineRule="auto"/>
        <w:tabs>
          <w:tab w:leader="none" w:pos="679" w:val="left"/>
        </w:tabs>
        <w:numPr>
          <w:ilvl w:val="2"/>
          <w:numId w:val="344"/>
        </w:numPr>
        <w:rPr>
          <w:rFonts w:ascii="Arial" w:cs="Arial" w:eastAsia="Arial" w:hAnsi="Arial"/>
          <w:sz w:val="17"/>
          <w:szCs w:val="17"/>
          <w:color w:val="auto"/>
        </w:rPr>
      </w:pPr>
      <w:r>
        <w:rPr>
          <w:rFonts w:ascii="Arial" w:cs="Arial" w:eastAsia="Arial" w:hAnsi="Arial"/>
          <w:sz w:val="17"/>
          <w:szCs w:val="17"/>
          <w:u w:val="single" w:color="auto"/>
          <w:color w:val="auto"/>
        </w:rPr>
        <w:t>Grants</w:t>
      </w:r>
      <w:r>
        <w:rPr>
          <w:rFonts w:ascii="Arial" w:cs="Arial" w:eastAsia="Arial" w:hAnsi="Arial"/>
          <w:sz w:val="17"/>
          <w:szCs w:val="17"/>
          <w:color w:val="auto"/>
        </w:rPr>
        <w:t>. Restricted Stock Awards and Other Stock Unit Awards under the Plan may be made subject to the achievement of performance goals pursuant to this Section 11(i) (“</w:t>
      </w: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subject to the limit in Section 4(b) on shares covered by such grants. Performance Awards can also provide for cash payments of up to $750,000 per calendar year per individual.</w:t>
      </w:r>
    </w:p>
    <w:p>
      <w:pPr>
        <w:spacing w:after="0" w:line="66" w:lineRule="exact"/>
        <w:rPr>
          <w:rFonts w:ascii="Arial" w:cs="Arial" w:eastAsia="Arial" w:hAnsi="Arial"/>
          <w:sz w:val="17"/>
          <w:szCs w:val="17"/>
          <w:color w:val="auto"/>
        </w:rPr>
      </w:pPr>
    </w:p>
    <w:p>
      <w:pPr>
        <w:ind w:left="-5" w:right="40" w:firstLine="441"/>
        <w:spacing w:after="0" w:line="265" w:lineRule="auto"/>
        <w:tabs>
          <w:tab w:leader="none" w:pos="679" w:val="left"/>
        </w:tabs>
        <w:numPr>
          <w:ilvl w:val="2"/>
          <w:numId w:val="344"/>
        </w:numPr>
        <w:rPr>
          <w:rFonts w:ascii="Arial" w:cs="Arial" w:eastAsia="Arial" w:hAnsi="Arial"/>
          <w:sz w:val="17"/>
          <w:szCs w:val="17"/>
          <w:color w:val="auto"/>
        </w:rPr>
      </w:pPr>
      <w:r>
        <w:rPr>
          <w:rFonts w:ascii="Arial" w:cs="Arial" w:eastAsia="Arial" w:hAnsi="Arial"/>
          <w:sz w:val="17"/>
          <w:szCs w:val="17"/>
          <w:u w:val="single" w:color="auto"/>
          <w:color w:val="auto"/>
        </w:rPr>
        <w:t>Committee</w:t>
      </w:r>
      <w:r>
        <w:rPr>
          <w:rFonts w:ascii="Arial" w:cs="Arial" w:eastAsia="Arial" w:hAnsi="Arial"/>
          <w:sz w:val="17"/>
          <w:szCs w:val="17"/>
          <w:color w:val="auto"/>
        </w:rPr>
        <w:t>. Grants of Performance Awards to any Covered Employee intended to qualify as “performance-based compensation” under Section 162(m) (“</w:t>
      </w:r>
      <w:r>
        <w:rPr>
          <w:rFonts w:ascii="Arial" w:cs="Arial" w:eastAsia="Arial" w:hAnsi="Arial"/>
          <w:sz w:val="17"/>
          <w:szCs w:val="17"/>
          <w:b w:val="1"/>
          <w:bCs w:val="1"/>
          <w:i w:val="1"/>
          <w:iCs w:val="1"/>
          <w:color w:val="auto"/>
        </w:rPr>
        <w:t>Performance-Based Compensation</w:t>
      </w:r>
      <w:r>
        <w:rPr>
          <w:rFonts w:ascii="Arial" w:cs="Arial" w:eastAsia="Arial" w:hAnsi="Arial"/>
          <w:sz w:val="17"/>
          <w:szCs w:val="17"/>
          <w:color w:val="auto"/>
        </w:rPr>
        <w:t>”) shall be made only by a Committee (or subcommittee of a Committee) comprised solely of two or more directors eligible to serve on a committee making Awards qualifying as “performance-based compensation” under Section 162(m). In the case of such Awards granted to Covered Employees, references to the Board or to a Committee shall be deemed to be references to such Committee or subcommittee. “</w:t>
      </w:r>
      <w:r>
        <w:rPr>
          <w:rFonts w:ascii="Arial" w:cs="Arial" w:eastAsia="Arial" w:hAnsi="Arial"/>
          <w:sz w:val="17"/>
          <w:szCs w:val="17"/>
          <w:b w:val="1"/>
          <w:bCs w:val="1"/>
          <w:i w:val="1"/>
          <w:iCs w:val="1"/>
          <w:color w:val="auto"/>
        </w:rPr>
        <w:t>Covered Employee</w:t>
      </w:r>
      <w:r>
        <w:rPr>
          <w:rFonts w:ascii="Arial" w:cs="Arial" w:eastAsia="Arial" w:hAnsi="Arial"/>
          <w:sz w:val="17"/>
          <w:szCs w:val="17"/>
          <w:color w:val="auto"/>
        </w:rPr>
        <w:t>” shall mean any person who is a “covered employee” under Section 162(m)(3) of the Code.</w:t>
      </w:r>
    </w:p>
    <w:p>
      <w:pPr>
        <w:spacing w:after="0" w:line="73" w:lineRule="exact"/>
        <w:rPr>
          <w:rFonts w:ascii="Arial" w:cs="Arial" w:eastAsia="Arial" w:hAnsi="Arial"/>
          <w:sz w:val="17"/>
          <w:szCs w:val="17"/>
          <w:color w:val="auto"/>
        </w:rPr>
      </w:pPr>
    </w:p>
    <w:p>
      <w:pPr>
        <w:ind w:left="-5" w:firstLine="441"/>
        <w:spacing w:after="0" w:line="294" w:lineRule="auto"/>
        <w:tabs>
          <w:tab w:leader="none" w:pos="679" w:val="left"/>
        </w:tabs>
        <w:numPr>
          <w:ilvl w:val="2"/>
          <w:numId w:val="344"/>
        </w:numPr>
        <w:rPr>
          <w:rFonts w:ascii="Arial" w:cs="Arial" w:eastAsia="Arial" w:hAnsi="Arial"/>
          <w:sz w:val="15"/>
          <w:szCs w:val="15"/>
          <w:color w:val="auto"/>
        </w:rPr>
      </w:pPr>
      <w:r>
        <w:rPr>
          <w:rFonts w:ascii="Arial" w:cs="Arial" w:eastAsia="Arial" w:hAnsi="Arial"/>
          <w:sz w:val="15"/>
          <w:szCs w:val="15"/>
          <w:u w:val="single" w:color="auto"/>
          <w:color w:val="auto"/>
        </w:rPr>
        <w:t>Performance Measures</w:t>
      </w:r>
      <w:r>
        <w:rPr>
          <w:rFonts w:ascii="Arial" w:cs="Arial" w:eastAsia="Arial" w:hAnsi="Arial"/>
          <w:sz w:val="15"/>
          <w:szCs w:val="15"/>
          <w:color w:val="auto"/>
        </w:rPr>
        <w:t>. For any Award that is intended to qualify as Performance-Based Compensation, the Committee shall specify that the degree of granting, vesting and/or payout shall be subject to the achievement of one or more objective performance measures established by the Committee, which shall be based on the relative or absolute attainment of specified levels of one or any combination of the following: (a) net income, (b) earnings before or after discontinued operations, interest, taxes, depreciation and/or amortization, (c) operating profit before or after discontinued operations and/or taxes, (d) sales, (e) sales growth, (f) earnings growth, (g) cash flow or cash position, (h) gross margins, (i) stock price, (j) market share, (k) return on sales, assets, equity or investment,</w:t>
      </w:r>
    </w:p>
    <w:p>
      <w:pPr>
        <w:spacing w:after="0" w:line="3" w:lineRule="exact"/>
        <w:rPr>
          <w:rFonts w:ascii="Arial" w:cs="Arial" w:eastAsia="Arial" w:hAnsi="Arial"/>
          <w:sz w:val="15"/>
          <w:szCs w:val="15"/>
          <w:color w:val="auto"/>
        </w:rPr>
      </w:pPr>
    </w:p>
    <w:p>
      <w:pPr>
        <w:ind w:left="-5" w:right="20" w:firstLine="5"/>
        <w:spacing w:after="0" w:line="279" w:lineRule="auto"/>
        <w:tabs>
          <w:tab w:leader="none" w:pos="204" w:val="left"/>
        </w:tabs>
        <w:numPr>
          <w:ilvl w:val="0"/>
          <w:numId w:val="345"/>
        </w:numPr>
        <w:rPr>
          <w:rFonts w:ascii="Arial" w:cs="Arial" w:eastAsia="Arial" w:hAnsi="Arial"/>
          <w:sz w:val="16"/>
          <w:szCs w:val="16"/>
          <w:color w:val="auto"/>
        </w:rPr>
      </w:pPr>
      <w:r>
        <w:rPr>
          <w:rFonts w:ascii="Arial" w:cs="Arial" w:eastAsia="Arial" w:hAnsi="Arial"/>
          <w:sz w:val="16"/>
          <w:szCs w:val="16"/>
          <w:color w:val="auto"/>
        </w:rPr>
        <w:t>improvement of financial ratings, (m) achievement of balance sheet or income statement objectives or (n) total stockholder return, and may be absolute in their terms or measured against or in relationship to other companies comparably, similarly or otherwise situated. Such performance measures may be adjusted to exclude any one or more of (i) extraordinary items, (ii) gains or losses on the dispositions of discontinued operations, (iii) the cumulative effects of changes in accounting principles, (iv) the writedown of any asset, and (v) charges for restructuring and rationalization programs. Such performance measures: (i) may vary by Participant and may be different for different Awards; (ii) may be particular to a Participant or the department, branch, line of business, subsidiary or other unit in which the Participant works and may cover such period as may be specified by the Committee; and (iii) shall be set by the Committee within</w:t>
      </w:r>
    </w:p>
    <w:p>
      <w:pPr>
        <w:spacing w:after="0" w:line="145"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254875" cy="209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95"/>
          </w:cols>
          <w:pgMar w:left="245" w:top="912" w:right="259" w:bottom="1440" w:gutter="0" w:footer="0" w:header="0"/>
        </w:sectPr>
      </w:pPr>
    </w:p>
    <w:bookmarkStart w:id="386" w:name="page387"/>
    <w:bookmarkEnd w:id="386"/>
    <w:p>
      <w:pPr>
        <w:ind w:right="40"/>
        <w:spacing w:after="0" w:line="289" w:lineRule="auto"/>
        <w:rPr>
          <w:sz w:val="20"/>
          <w:szCs w:val="20"/>
          <w:color w:val="auto"/>
        </w:rPr>
      </w:pPr>
      <w:r>
        <w:rPr>
          <w:rFonts w:ascii="Arial" w:cs="Arial" w:eastAsia="Arial" w:hAnsi="Arial"/>
          <w:sz w:val="17"/>
          <w:szCs w:val="17"/>
          <w:color w:val="auto"/>
        </w:rPr>
        <w:t>the time period prescribed by, and shall otherwise comply with the requirements of, Section 162(m). Awards that are not intended to qualify as Performance-Based Compensation may be based on these or such other performance measures as the Board may determine.</w:t>
      </w:r>
    </w:p>
    <w:p>
      <w:pPr>
        <w:spacing w:after="0" w:line="53" w:lineRule="exact"/>
        <w:rPr>
          <w:sz w:val="20"/>
          <w:szCs w:val="20"/>
          <w:color w:val="auto"/>
        </w:rPr>
      </w:pPr>
    </w:p>
    <w:p>
      <w:pPr>
        <w:ind w:firstLine="441"/>
        <w:spacing w:after="0" w:line="273" w:lineRule="auto"/>
        <w:tabs>
          <w:tab w:leader="none" w:pos="683" w:val="left"/>
        </w:tabs>
        <w:numPr>
          <w:ilvl w:val="2"/>
          <w:numId w:val="346"/>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 provision of the Plan, with respect to any Performance Award that is intended to qualify as Performance-Based Compensation, the Committee may adjust downwards, but not upwards, the cash or number of Shares payable pursuant to such Award, and the Committee may not waive the achievement of the applicable performance measures except in the case of the death or disability of the Participant.</w:t>
      </w:r>
    </w:p>
    <w:p>
      <w:pPr>
        <w:spacing w:after="0" w:line="66" w:lineRule="exact"/>
        <w:rPr>
          <w:rFonts w:ascii="Arial" w:cs="Arial" w:eastAsia="Arial" w:hAnsi="Arial"/>
          <w:sz w:val="17"/>
          <w:szCs w:val="17"/>
          <w:color w:val="auto"/>
        </w:rPr>
      </w:pPr>
    </w:p>
    <w:p>
      <w:pPr>
        <w:ind w:right="120" w:firstLine="441"/>
        <w:spacing w:after="0" w:line="289" w:lineRule="auto"/>
        <w:tabs>
          <w:tab w:leader="none" w:pos="683" w:val="left"/>
        </w:tabs>
        <w:numPr>
          <w:ilvl w:val="2"/>
          <w:numId w:val="346"/>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The Committee shall have the power to impose such other restrictions on Performance Awards as it may deem necessary or appropriate to ensure that such Awards satisfy all requirements for Performance-Based Compensation.</w:t>
      </w:r>
    </w:p>
    <w:p>
      <w:pPr>
        <w:spacing w:after="0" w:line="157" w:lineRule="exact"/>
        <w:rPr>
          <w:rFonts w:ascii="Arial" w:cs="Arial" w:eastAsia="Arial" w:hAnsi="Arial"/>
          <w:sz w:val="17"/>
          <w:szCs w:val="17"/>
          <w:color w:val="auto"/>
        </w:rPr>
      </w:pPr>
    </w:p>
    <w:p>
      <w:pPr>
        <w:ind w:left="260" w:hanging="255"/>
        <w:spacing w:after="0"/>
        <w:tabs>
          <w:tab w:leader="none" w:pos="260"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Miscellaneous</w:t>
      </w:r>
    </w:p>
    <w:p>
      <w:pPr>
        <w:spacing w:after="0" w:line="118" w:lineRule="exact"/>
        <w:rPr>
          <w:rFonts w:ascii="Arial" w:cs="Arial" w:eastAsia="Arial" w:hAnsi="Arial"/>
          <w:sz w:val="17"/>
          <w:szCs w:val="17"/>
          <w:color w:val="auto"/>
        </w:rPr>
      </w:pPr>
    </w:p>
    <w:p>
      <w:pPr>
        <w:ind w:right="60" w:firstLine="223"/>
        <w:spacing w:after="0" w:line="267" w:lineRule="auto"/>
        <w:tabs>
          <w:tab w:leader="none" w:pos="455" w:val="left"/>
        </w:tabs>
        <w:numPr>
          <w:ilvl w:val="1"/>
          <w:numId w:val="347"/>
        </w:numPr>
        <w:rPr>
          <w:rFonts w:ascii="Arial" w:cs="Arial" w:eastAsia="Arial" w:hAnsi="Arial"/>
          <w:sz w:val="17"/>
          <w:szCs w:val="17"/>
          <w:color w:val="auto"/>
        </w:rPr>
      </w:pP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72" w:lineRule="exact"/>
        <w:rPr>
          <w:rFonts w:ascii="Arial" w:cs="Arial" w:eastAsia="Arial" w:hAnsi="Arial"/>
          <w:sz w:val="17"/>
          <w:szCs w:val="17"/>
          <w:color w:val="auto"/>
        </w:rPr>
      </w:pPr>
    </w:p>
    <w:p>
      <w:pPr>
        <w:ind w:firstLine="223"/>
        <w:spacing w:after="0" w:line="289" w:lineRule="auto"/>
        <w:tabs>
          <w:tab w:leader="none" w:pos="465" w:val="left"/>
        </w:tabs>
        <w:numPr>
          <w:ilvl w:val="1"/>
          <w:numId w:val="347"/>
        </w:numPr>
        <w:rPr>
          <w:rFonts w:ascii="Arial" w:cs="Arial" w:eastAsia="Arial" w:hAnsi="Arial"/>
          <w:sz w:val="17"/>
          <w:szCs w:val="17"/>
          <w:color w:val="auto"/>
        </w:rPr>
      </w:pP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53" w:lineRule="exact"/>
        <w:rPr>
          <w:rFonts w:ascii="Arial" w:cs="Arial" w:eastAsia="Arial" w:hAnsi="Arial"/>
          <w:sz w:val="17"/>
          <w:szCs w:val="17"/>
          <w:color w:val="auto"/>
        </w:rPr>
      </w:pPr>
    </w:p>
    <w:p>
      <w:pPr>
        <w:ind w:right="40" w:firstLine="223"/>
        <w:spacing w:after="0" w:line="273" w:lineRule="auto"/>
        <w:tabs>
          <w:tab w:leader="none" w:pos="455" w:val="left"/>
        </w:tabs>
        <w:numPr>
          <w:ilvl w:val="1"/>
          <w:numId w:val="347"/>
        </w:numPr>
        <w:rPr>
          <w:rFonts w:ascii="Arial" w:cs="Arial" w:eastAsia="Arial" w:hAnsi="Arial"/>
          <w:sz w:val="17"/>
          <w:szCs w:val="17"/>
          <w:color w:val="auto"/>
        </w:rPr>
      </w:pPr>
      <w:r>
        <w:rPr>
          <w:rFonts w:ascii="Arial" w:cs="Arial" w:eastAsia="Arial" w:hAnsi="Arial"/>
          <w:sz w:val="17"/>
          <w:szCs w:val="17"/>
          <w:u w:val="single" w:color="auto"/>
          <w:color w:val="auto"/>
        </w:rPr>
        <w:t>Effective Date and Term of Plan</w:t>
      </w:r>
      <w:r>
        <w:rPr>
          <w:rFonts w:ascii="Arial" w:cs="Arial" w:eastAsia="Arial" w:hAnsi="Arial"/>
          <w:sz w:val="17"/>
          <w:szCs w:val="17"/>
          <w:color w:val="auto"/>
        </w:rPr>
        <w:t>. The Plan shall become effective immediately prior to the closing of the Company’s initial public offering. No Awards shall be granted prior to (i) the date on which the Plan was adopted by the Board or (ii) the date the Plan was approved by the Company’s stockholders. The Plan shall expire on December 31, 2009.</w:t>
      </w:r>
    </w:p>
    <w:p>
      <w:pPr>
        <w:spacing w:after="0" w:line="66" w:lineRule="exact"/>
        <w:rPr>
          <w:rFonts w:ascii="Arial" w:cs="Arial" w:eastAsia="Arial" w:hAnsi="Arial"/>
          <w:sz w:val="17"/>
          <w:szCs w:val="17"/>
          <w:color w:val="auto"/>
        </w:rPr>
      </w:pPr>
    </w:p>
    <w:p>
      <w:pPr>
        <w:ind w:left="480" w:hanging="257"/>
        <w:spacing w:after="0"/>
        <w:tabs>
          <w:tab w:leader="none" w:pos="480" w:val="left"/>
        </w:tabs>
        <w:numPr>
          <w:ilvl w:val="1"/>
          <w:numId w:val="347"/>
        </w:numPr>
        <w:rPr>
          <w:rFonts w:ascii="Arial" w:cs="Arial" w:eastAsia="Arial" w:hAnsi="Arial"/>
          <w:sz w:val="16"/>
          <w:szCs w:val="16"/>
          <w:color w:val="auto"/>
        </w:rPr>
      </w:pPr>
      <w:r>
        <w:rPr>
          <w:rFonts w:ascii="Arial" w:cs="Arial" w:eastAsia="Arial" w:hAnsi="Arial"/>
          <w:sz w:val="16"/>
          <w:szCs w:val="16"/>
          <w:u w:val="single" w:color="auto"/>
          <w:color w:val="auto"/>
        </w:rPr>
        <w:t>Amendment of Plan</w:t>
      </w:r>
      <w:r>
        <w:rPr>
          <w:rFonts w:ascii="Arial" w:cs="Arial" w:eastAsia="Arial" w:hAnsi="Arial"/>
          <w:sz w:val="16"/>
          <w:szCs w:val="16"/>
          <w:color w:val="auto"/>
        </w:rPr>
        <w:t>. The Board may amend, suspend or terminate the Plan or any portion thereof at any time; provided, however, that, to the extent</w:t>
      </w:r>
    </w:p>
    <w:p>
      <w:pPr>
        <w:spacing w:after="0" w:line="37" w:lineRule="exact"/>
        <w:rPr>
          <w:rFonts w:ascii="Arial" w:cs="Arial" w:eastAsia="Arial" w:hAnsi="Arial"/>
          <w:sz w:val="16"/>
          <w:szCs w:val="16"/>
          <w:color w:val="auto"/>
        </w:rPr>
      </w:pPr>
    </w:p>
    <w:p>
      <w:pPr>
        <w:ind w:right="160"/>
        <w:spacing w:after="0" w:line="274" w:lineRule="auto"/>
        <w:rPr>
          <w:rFonts w:ascii="Arial" w:cs="Arial" w:eastAsia="Arial" w:hAnsi="Arial"/>
          <w:sz w:val="16"/>
          <w:szCs w:val="16"/>
          <w:color w:val="auto"/>
        </w:rPr>
      </w:pPr>
      <w:r>
        <w:rPr>
          <w:rFonts w:ascii="Arial" w:cs="Arial" w:eastAsia="Arial" w:hAnsi="Arial"/>
          <w:sz w:val="17"/>
          <w:szCs w:val="17"/>
          <w:color w:val="auto"/>
        </w:rPr>
        <w:t>determined by the Board, no amendment requiring stockholder approval under any applicable legal, regulatory or listing requirement shall become effective until such stockholder approval is obtained.</w:t>
      </w:r>
    </w:p>
    <w:p>
      <w:pPr>
        <w:spacing w:after="0" w:line="65" w:lineRule="exact"/>
        <w:rPr>
          <w:rFonts w:ascii="Arial" w:cs="Arial" w:eastAsia="Arial" w:hAnsi="Arial"/>
          <w:sz w:val="16"/>
          <w:szCs w:val="16"/>
          <w:color w:val="auto"/>
        </w:rPr>
      </w:pPr>
    </w:p>
    <w:p>
      <w:pPr>
        <w:ind w:right="20" w:firstLine="223"/>
        <w:spacing w:after="0" w:line="263" w:lineRule="auto"/>
        <w:tabs>
          <w:tab w:leader="none" w:pos="455" w:val="left"/>
        </w:tabs>
        <w:numPr>
          <w:ilvl w:val="1"/>
          <w:numId w:val="347"/>
        </w:numPr>
        <w:rPr>
          <w:rFonts w:ascii="Arial" w:cs="Arial" w:eastAsia="Arial" w:hAnsi="Arial"/>
          <w:sz w:val="17"/>
          <w:szCs w:val="17"/>
          <w:color w:val="auto"/>
        </w:rPr>
      </w:pPr>
      <w:r>
        <w:rPr>
          <w:rFonts w:ascii="Arial" w:cs="Arial" w:eastAsia="Arial" w:hAnsi="Arial"/>
          <w:sz w:val="17"/>
          <w:szCs w:val="17"/>
          <w:u w:val="single" w:color="auto"/>
          <w:color w:val="auto"/>
        </w:rPr>
        <w:t>Authorization of Sub-Plans</w:t>
      </w:r>
      <w:r>
        <w:rPr>
          <w:rFonts w:ascii="Arial" w:cs="Arial" w:eastAsia="Arial" w:hAnsi="Arial"/>
          <w:sz w:val="17"/>
          <w:szCs w:val="17"/>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87" w:name="page388"/>
    <w:bookmarkEnd w:id="387"/>
    <w:p>
      <w:pPr>
        <w:ind w:left="-20" w:right="200" w:firstLine="223"/>
        <w:spacing w:after="0" w:line="273" w:lineRule="auto"/>
        <w:tabs>
          <w:tab w:leader="none" w:pos="416"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t>Provisions for Foreign Participants</w:t>
      </w:r>
      <w:r>
        <w:rPr>
          <w:rFonts w:ascii="Arial" w:cs="Arial" w:eastAsia="Arial" w:hAnsi="Arial"/>
          <w:sz w:val="17"/>
          <w:szCs w:val="17"/>
          <w:color w:val="auto"/>
        </w:rPr>
        <w:t>. The Board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spacing w:after="0" w:line="66" w:lineRule="exact"/>
        <w:rPr>
          <w:rFonts w:ascii="Arial" w:cs="Arial" w:eastAsia="Arial" w:hAnsi="Arial"/>
          <w:sz w:val="17"/>
          <w:szCs w:val="17"/>
          <w:color w:val="auto"/>
        </w:rPr>
      </w:pPr>
    </w:p>
    <w:p>
      <w:pPr>
        <w:jc w:val="both"/>
        <w:ind w:left="-20" w:firstLine="223"/>
        <w:spacing w:after="0" w:line="267" w:lineRule="auto"/>
        <w:tabs>
          <w:tab w:leader="none" w:pos="445" w:val="left"/>
        </w:tabs>
        <w:numPr>
          <w:ilvl w:val="0"/>
          <w:numId w:val="348"/>
        </w:numPr>
        <w:rPr>
          <w:rFonts w:ascii="Arial" w:cs="Arial" w:eastAsia="Arial" w:hAnsi="Arial"/>
          <w:sz w:val="17"/>
          <w:szCs w:val="17"/>
          <w:color w:val="auto"/>
        </w:rPr>
      </w:pPr>
      <w:r>
        <w:rPr>
          <w:rFonts w:ascii="Arial" w:cs="Arial" w:eastAsia="Arial" w:hAnsi="Arial"/>
          <w:sz w:val="17"/>
          <w:szCs w:val="17"/>
          <w:u w:val="single" w:color="auto"/>
          <w:color w:val="auto"/>
        </w:rPr>
        <w:t>Compliance with Code Section 409A</w:t>
      </w:r>
      <w:r>
        <w:rPr>
          <w:rFonts w:ascii="Arial" w:cs="Arial" w:eastAsia="Arial" w:hAnsi="Arial"/>
          <w:sz w:val="17"/>
          <w:szCs w:val="17"/>
          <w:color w:val="auto"/>
        </w:rPr>
        <w:t>. No Award shall provide for deferral of compensation that does not comply with Section 409A of the Code, unless the Board, at the time of grant, specifically provides that the Award is not intended to comply with Section 409A of the Code. The Company shall have no liability to a Participant, or any other party, if an Award that is intended to be exempt from, or compliant with, Section 409A is not so exempt or compliant or for any action taken by the Board.</w:t>
      </w:r>
    </w:p>
    <w:p>
      <w:pPr>
        <w:spacing w:after="0" w:line="72" w:lineRule="exact"/>
        <w:rPr>
          <w:rFonts w:ascii="Arial" w:cs="Arial" w:eastAsia="Arial" w:hAnsi="Arial"/>
          <w:sz w:val="17"/>
          <w:szCs w:val="17"/>
          <w:color w:val="auto"/>
        </w:rPr>
      </w:pPr>
    </w:p>
    <w:p>
      <w:pPr>
        <w:ind w:left="-20" w:right="60" w:firstLine="223"/>
        <w:spacing w:after="0" w:line="322" w:lineRule="auto"/>
        <w:tabs>
          <w:tab w:leader="none" w:pos="445" w:val="left"/>
        </w:tabs>
        <w:numPr>
          <w:ilvl w:val="0"/>
          <w:numId w:val="34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60" w:top="913" w:right="259" w:bottom="1440" w:gutter="0" w:footer="0" w:header="0"/>
        </w:sectPr>
      </w:pPr>
    </w:p>
    <w:bookmarkStart w:id="388" w:name="page389"/>
    <w:bookmarkEnd w:id="388"/>
    <w:p>
      <w:pPr>
        <w:jc w:val="right"/>
        <w:spacing w:after="0"/>
        <w:rPr>
          <w:sz w:val="20"/>
          <w:szCs w:val="20"/>
          <w:color w:val="auto"/>
        </w:rPr>
      </w:pPr>
      <w:r>
        <w:rPr>
          <w:rFonts w:ascii="Arial" w:cs="Arial" w:eastAsia="Arial" w:hAnsi="Arial"/>
          <w:sz w:val="17"/>
          <w:szCs w:val="17"/>
          <w:color w:val="auto"/>
        </w:rPr>
        <w:t>Exhibit 10.4</w:t>
      </w:r>
    </w:p>
    <w:p>
      <w:pPr>
        <w:spacing w:after="0" w:line="328"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Emergent BioSolutions Inc.</w:t>
      </w:r>
    </w:p>
    <w:p>
      <w:pPr>
        <w:spacing w:after="0" w:line="11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Incentive Stock Option Agreement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Granted Under 2006 Stock Incentive Plan</w:t>
      </w:r>
    </w:p>
    <w:p>
      <w:pPr>
        <w:spacing w:after="0" w:line="212" w:lineRule="exact"/>
        <w:rPr>
          <w:sz w:val="20"/>
          <w:szCs w:val="20"/>
          <w:color w:val="auto"/>
        </w:rPr>
      </w:pPr>
    </w:p>
    <w:p>
      <w:pPr>
        <w:ind w:left="180" w:hanging="175"/>
        <w:spacing w:after="0"/>
        <w:tabs>
          <w:tab w:leader="none" w:pos="180" w:val="left"/>
        </w:tabs>
        <w:numPr>
          <w:ilvl w:val="0"/>
          <w:numId w:val="349"/>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gridSpan w:val="7"/>
          </w:tcPr>
          <w:p>
            <w:pPr>
              <w:ind w:left="220"/>
              <w:spacing w:after="0"/>
              <w:rPr>
                <w:sz w:val="20"/>
                <w:szCs w:val="20"/>
                <w:color w:val="auto"/>
              </w:rPr>
            </w:pPr>
            <w:r>
              <w:rPr>
                <w:rFonts w:ascii="Arial" w:cs="Arial" w:eastAsia="Arial" w:hAnsi="Arial"/>
                <w:sz w:val="17"/>
                <w:szCs w:val="17"/>
                <w:color w:val="auto"/>
                <w:w w:val="93"/>
              </w:rPr>
              <w:t>This agreement evidences the grant by Emergent BioSolutions Inc., a Delaware corporation (the “</w:t>
            </w:r>
            <w:r>
              <w:rPr>
                <w:rFonts w:ascii="Arial" w:cs="Arial" w:eastAsia="Arial" w:hAnsi="Arial"/>
                <w:sz w:val="17"/>
                <w:szCs w:val="17"/>
                <w:b w:val="1"/>
                <w:bCs w:val="1"/>
                <w:i w:val="1"/>
                <w:iCs w:val="1"/>
                <w:color w:val="auto"/>
                <w:w w:val="93"/>
              </w:rPr>
              <w:t>Company</w:t>
            </w:r>
            <w:r>
              <w:rPr>
                <w:rFonts w:ascii="Arial" w:cs="Arial" w:eastAsia="Arial" w:hAnsi="Arial"/>
                <w:sz w:val="17"/>
                <w:szCs w:val="17"/>
                <w:color w:val="auto"/>
                <w:w w:val="93"/>
              </w:rPr>
              <w:t>”), on [</w:t>
            </w:r>
          </w:p>
        </w:tc>
        <w:tc>
          <w:tcPr>
            <w:tcW w:w="920" w:type="dxa"/>
            <w:vAlign w:val="bottom"/>
          </w:tcPr>
          <w:p>
            <w:pPr>
              <w:spacing w:after="0"/>
              <w:rPr>
                <w:sz w:val="16"/>
                <w:szCs w:val="16"/>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7"/>
                <w:szCs w:val="17"/>
                <w:color w:val="auto"/>
              </w:rPr>
              <w:t>], 200[  ] [</w:t>
            </w:r>
          </w:p>
        </w:tc>
        <w:tc>
          <w:tcPr>
            <w:tcW w:w="60" w:type="dxa"/>
            <w:vAlign w:val="bottom"/>
          </w:tcPr>
          <w:p>
            <w:pPr>
              <w:spacing w:after="0"/>
              <w:rPr>
                <w:sz w:val="16"/>
                <w:szCs w:val="16"/>
                <w:color w:val="auto"/>
              </w:rPr>
            </w:pPr>
          </w:p>
        </w:tc>
        <w:tc>
          <w:tcPr>
            <w:tcW w:w="500" w:type="dxa"/>
            <w:vAlign w:val="bottom"/>
          </w:tcPr>
          <w:p>
            <w:pPr>
              <w:ind w:left="40"/>
              <w:spacing w:after="0"/>
              <w:rPr>
                <w:sz w:val="20"/>
                <w:szCs w:val="20"/>
                <w:color w:val="auto"/>
              </w:rPr>
            </w:pPr>
            <w:r>
              <w:rPr>
                <w:rFonts w:ascii="Arial" w:cs="Arial" w:eastAsia="Arial" w:hAnsi="Arial"/>
                <w:sz w:val="17"/>
                <w:szCs w:val="17"/>
                <w:color w:val="auto"/>
              </w:rPr>
              <w:t>] (the</w:t>
            </w:r>
          </w:p>
        </w:tc>
      </w:tr>
      <w:tr>
        <w:trPr>
          <w:trHeight w:val="20"/>
        </w:trPr>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0"/>
        </w:trPr>
        <w:tc>
          <w:tcPr>
            <w:tcW w:w="1360" w:type="dxa"/>
            <w:vAlign w:val="bottom"/>
          </w:tcPr>
          <w:p>
            <w:pPr>
              <w:spacing w:after="0" w:line="18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Grant Date</w:t>
            </w:r>
            <w:r>
              <w:rPr>
                <w:rFonts w:ascii="Arial" w:cs="Arial" w:eastAsia="Arial" w:hAnsi="Arial"/>
                <w:sz w:val="17"/>
                <w:szCs w:val="17"/>
                <w:color w:val="auto"/>
              </w:rPr>
              <w:t>”) to [</w:t>
            </w:r>
          </w:p>
        </w:tc>
        <w:tc>
          <w:tcPr>
            <w:tcW w:w="860" w:type="dxa"/>
            <w:vAlign w:val="bottom"/>
            <w:tcBorders>
              <w:bottom w:val="single" w:sz="8" w:color="auto"/>
            </w:tcBorders>
          </w:tcPr>
          <w:p>
            <w:pPr>
              <w:spacing w:after="0"/>
              <w:rPr>
                <w:sz w:val="16"/>
                <w:szCs w:val="16"/>
                <w:color w:val="auto"/>
              </w:rPr>
            </w:pPr>
          </w:p>
        </w:tc>
        <w:tc>
          <w:tcPr>
            <w:tcW w:w="9160" w:type="dxa"/>
            <w:vAlign w:val="bottom"/>
            <w:gridSpan w:val="11"/>
          </w:tcPr>
          <w:p>
            <w:pPr>
              <w:ind w:left="40"/>
              <w:spacing w:after="0" w:line="189" w:lineRule="exact"/>
              <w:rPr>
                <w:sz w:val="20"/>
                <w:szCs w:val="20"/>
                <w:color w:val="auto"/>
              </w:rPr>
            </w:pPr>
            <w:r>
              <w:rPr>
                <w:rFonts w:ascii="Arial" w:cs="Arial" w:eastAsia="Arial" w:hAnsi="Arial"/>
                <w:sz w:val="17"/>
                <w:szCs w:val="17"/>
                <w:color w:val="auto"/>
                <w:w w:val="93"/>
              </w:rPr>
              <w:t>], an employee of the Company (the “</w:t>
            </w:r>
            <w:r>
              <w:rPr>
                <w:rFonts w:ascii="Arial" w:cs="Arial" w:eastAsia="Arial" w:hAnsi="Arial"/>
                <w:sz w:val="17"/>
                <w:szCs w:val="17"/>
                <w:b w:val="1"/>
                <w:bCs w:val="1"/>
                <w:i w:val="1"/>
                <w:iCs w:val="1"/>
                <w:color w:val="auto"/>
                <w:w w:val="93"/>
              </w:rPr>
              <w:t>Participant</w:t>
            </w:r>
            <w:r>
              <w:rPr>
                <w:rFonts w:ascii="Arial" w:cs="Arial" w:eastAsia="Arial" w:hAnsi="Arial"/>
                <w:sz w:val="17"/>
                <w:szCs w:val="17"/>
                <w:color w:val="auto"/>
                <w:w w:val="93"/>
              </w:rPr>
              <w:t>”), of an option to purchase, in whole or in part, on the terms provided herein and</w:t>
            </w:r>
          </w:p>
        </w:tc>
      </w:tr>
      <w:tr>
        <w:trPr>
          <w:trHeight w:val="190"/>
        </w:trPr>
        <w:tc>
          <w:tcPr>
            <w:tcW w:w="4880" w:type="dxa"/>
            <w:vAlign w:val="bottom"/>
            <w:gridSpan w:val="5"/>
          </w:tcPr>
          <w:p>
            <w:pPr>
              <w:spacing w:after="0" w:line="189" w:lineRule="exact"/>
              <w:rPr>
                <w:sz w:val="20"/>
                <w:szCs w:val="20"/>
                <w:color w:val="auto"/>
              </w:rPr>
            </w:pPr>
            <w:r>
              <w:rPr>
                <w:rFonts w:ascii="Arial" w:cs="Arial" w:eastAsia="Arial" w:hAnsi="Arial"/>
                <w:sz w:val="17"/>
                <w:szCs w:val="17"/>
                <w:color w:val="auto"/>
                <w:w w:val="95"/>
              </w:rPr>
              <w:t>in the Company’s 2006 Stock Incentive Plan (the “</w:t>
            </w:r>
            <w:r>
              <w:rPr>
                <w:rFonts w:ascii="Arial" w:cs="Arial" w:eastAsia="Arial" w:hAnsi="Arial"/>
                <w:sz w:val="17"/>
                <w:szCs w:val="17"/>
                <w:b w:val="1"/>
                <w:bCs w:val="1"/>
                <w:i w:val="1"/>
                <w:iCs w:val="1"/>
                <w:color w:val="auto"/>
                <w:w w:val="95"/>
              </w:rPr>
              <w:t>Plan</w:t>
            </w:r>
            <w:r>
              <w:rPr>
                <w:rFonts w:ascii="Arial" w:cs="Arial" w:eastAsia="Arial" w:hAnsi="Arial"/>
                <w:sz w:val="17"/>
                <w:szCs w:val="17"/>
                <w:color w:val="auto"/>
                <w:w w:val="95"/>
              </w:rPr>
              <w:t>”), a total of [</w:t>
            </w:r>
          </w:p>
        </w:tc>
        <w:tc>
          <w:tcPr>
            <w:tcW w:w="880" w:type="dxa"/>
            <w:vAlign w:val="bottom"/>
            <w:tcBorders>
              <w:bottom w:val="single" w:sz="8" w:color="auto"/>
            </w:tcBorders>
          </w:tcPr>
          <w:p>
            <w:pPr>
              <w:spacing w:after="0"/>
              <w:rPr>
                <w:sz w:val="16"/>
                <w:szCs w:val="16"/>
                <w:color w:val="auto"/>
              </w:rPr>
            </w:pPr>
          </w:p>
        </w:tc>
        <w:tc>
          <w:tcPr>
            <w:tcW w:w="5620" w:type="dxa"/>
            <w:vAlign w:val="bottom"/>
            <w:gridSpan w:val="7"/>
          </w:tcPr>
          <w:p>
            <w:pPr>
              <w:ind w:left="40"/>
              <w:spacing w:after="0" w:line="189" w:lineRule="exact"/>
              <w:rPr>
                <w:sz w:val="20"/>
                <w:szCs w:val="20"/>
                <w:color w:val="auto"/>
              </w:rPr>
            </w:pPr>
            <w:r>
              <w:rPr>
                <w:rFonts w:ascii="Arial" w:cs="Arial" w:eastAsia="Arial" w:hAnsi="Arial"/>
                <w:sz w:val="17"/>
                <w:szCs w:val="17"/>
                <w:color w:val="auto"/>
                <w:w w:val="97"/>
              </w:rPr>
              <w:t>] shares (the “</w:t>
            </w:r>
            <w:r>
              <w:rPr>
                <w:rFonts w:ascii="Arial" w:cs="Arial" w:eastAsia="Arial" w:hAnsi="Arial"/>
                <w:sz w:val="17"/>
                <w:szCs w:val="17"/>
                <w:b w:val="1"/>
                <w:bCs w:val="1"/>
                <w:i w:val="1"/>
                <w:iCs w:val="1"/>
                <w:color w:val="auto"/>
                <w:w w:val="97"/>
              </w:rPr>
              <w:t>Shares</w:t>
            </w:r>
            <w:r>
              <w:rPr>
                <w:rFonts w:ascii="Arial" w:cs="Arial" w:eastAsia="Arial" w:hAnsi="Arial"/>
                <w:sz w:val="17"/>
                <w:szCs w:val="17"/>
                <w:color w:val="auto"/>
                <w:w w:val="97"/>
              </w:rPr>
              <w:t>”) of common stock, $0.001 par value per share, of the</w:t>
            </w:r>
          </w:p>
        </w:tc>
      </w:tr>
      <w:tr>
        <w:trPr>
          <w:trHeight w:val="190"/>
        </w:trPr>
        <w:tc>
          <w:tcPr>
            <w:tcW w:w="2500" w:type="dxa"/>
            <w:vAlign w:val="bottom"/>
            <w:gridSpan w:val="3"/>
          </w:tcPr>
          <w:p>
            <w:pPr>
              <w:spacing w:after="0" w:line="189" w:lineRule="exact"/>
              <w:rPr>
                <w:sz w:val="20"/>
                <w:szCs w:val="20"/>
                <w:color w:val="auto"/>
              </w:rPr>
            </w:pPr>
            <w:r>
              <w:rPr>
                <w:rFonts w:ascii="Arial" w:cs="Arial" w:eastAsia="Arial" w:hAnsi="Arial"/>
                <w:sz w:val="17"/>
                <w:szCs w:val="17"/>
                <w:color w:val="auto"/>
                <w:w w:val="94"/>
              </w:rPr>
              <w:t>Company (“</w:t>
            </w:r>
            <w:r>
              <w:rPr>
                <w:rFonts w:ascii="Arial" w:cs="Arial" w:eastAsia="Arial" w:hAnsi="Arial"/>
                <w:sz w:val="17"/>
                <w:szCs w:val="17"/>
                <w:b w:val="1"/>
                <w:bCs w:val="1"/>
                <w:i w:val="1"/>
                <w:iCs w:val="1"/>
                <w:color w:val="auto"/>
                <w:w w:val="94"/>
              </w:rPr>
              <w:t>Common Stock</w:t>
            </w:r>
            <w:r>
              <w:rPr>
                <w:rFonts w:ascii="Arial" w:cs="Arial" w:eastAsia="Arial" w:hAnsi="Arial"/>
                <w:sz w:val="17"/>
                <w:szCs w:val="17"/>
                <w:color w:val="auto"/>
                <w:w w:val="94"/>
              </w:rPr>
              <w:t>”) at $[</w:t>
            </w:r>
          </w:p>
        </w:tc>
        <w:tc>
          <w:tcPr>
            <w:tcW w:w="880" w:type="dxa"/>
            <w:vAlign w:val="bottom"/>
          </w:tcPr>
          <w:p>
            <w:pPr>
              <w:spacing w:after="0"/>
              <w:rPr>
                <w:sz w:val="16"/>
                <w:szCs w:val="16"/>
                <w:color w:val="auto"/>
              </w:rPr>
            </w:pPr>
          </w:p>
        </w:tc>
        <w:tc>
          <w:tcPr>
            <w:tcW w:w="7440" w:type="dxa"/>
            <w:vAlign w:val="bottom"/>
            <w:gridSpan w:val="7"/>
          </w:tcPr>
          <w:p>
            <w:pPr>
              <w:jc w:val="right"/>
              <w:ind w:right="900"/>
              <w:spacing w:after="0" w:line="189" w:lineRule="exact"/>
              <w:rPr>
                <w:sz w:val="20"/>
                <w:szCs w:val="20"/>
                <w:color w:val="auto"/>
              </w:rPr>
            </w:pPr>
            <w:r>
              <w:rPr>
                <w:rFonts w:ascii="Arial" w:cs="Arial" w:eastAsia="Arial" w:hAnsi="Arial"/>
                <w:sz w:val="17"/>
                <w:szCs w:val="17"/>
                <w:color w:val="auto"/>
                <w:w w:val="93"/>
              </w:rPr>
              <w:t>] per Share. Unless earlier terminated, this option shall expire at 5:00 p.m., Eastern time, on [</w:t>
            </w:r>
          </w:p>
        </w:tc>
        <w:tc>
          <w:tcPr>
            <w:tcW w:w="56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 (the</w:t>
            </w:r>
          </w:p>
        </w:tc>
      </w:tr>
      <w:tr>
        <w:trPr>
          <w:trHeight w:val="228"/>
        </w:trPr>
        <w:tc>
          <w:tcPr>
            <w:tcW w:w="2220" w:type="dxa"/>
            <w:vAlign w:val="bottom"/>
            <w:gridSpan w:val="2"/>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Final Exercise Date</w:t>
            </w: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93" w:lineRule="exact"/>
        <w:rPr>
          <w:sz w:val="20"/>
          <w:szCs w:val="20"/>
          <w:color w:val="auto"/>
        </w:rPr>
      </w:pPr>
    </w:p>
    <w:p>
      <w:pPr>
        <w:ind w:right="100" w:firstLine="218"/>
        <w:spacing w:after="0" w:line="273" w:lineRule="auto"/>
        <w:rPr>
          <w:sz w:val="20"/>
          <w:szCs w:val="20"/>
          <w:color w:val="auto"/>
        </w:rPr>
      </w:pPr>
      <w:r>
        <w:rPr>
          <w:rFonts w:ascii="Arial" w:cs="Arial" w:eastAsia="Arial" w:hAnsi="Arial"/>
          <w:sz w:val="17"/>
          <w:szCs w:val="17"/>
          <w:color w:val="auto"/>
        </w:rPr>
        <w:t>It is intended that the option evidenced by this agreement shall be an incentive stock option as defined in Section 422 of the Internal Revenue Code of 1986, as amended, and any regulations promulgated thereunder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Except as otherwise indicated by the context, the term “Participant”, as used in this option, shall be deemed to include any person who acquires the right to exercise this option validly under its terms.</w:t>
      </w:r>
    </w:p>
    <w:p>
      <w:pPr>
        <w:spacing w:after="0" w:line="171" w:lineRule="exact"/>
        <w:rPr>
          <w:sz w:val="20"/>
          <w:szCs w:val="20"/>
          <w:color w:val="auto"/>
        </w:rPr>
      </w:pPr>
    </w:p>
    <w:p>
      <w:pPr>
        <w:ind w:left="180" w:hanging="175"/>
        <w:spacing w:after="0"/>
        <w:tabs>
          <w:tab w:leader="none" w:pos="180"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option will become exercisable (“</w:t>
      </w:r>
      <w:r>
        <w:rPr>
          <w:rFonts w:ascii="Arial" w:cs="Arial" w:eastAsia="Arial" w:hAnsi="Arial"/>
          <w:sz w:val="17"/>
          <w:szCs w:val="17"/>
          <w:b w:val="1"/>
          <w:bCs w:val="1"/>
          <w:i w:val="1"/>
          <w:iCs w:val="1"/>
          <w:color w:val="auto"/>
        </w:rPr>
        <w:t>vest</w:t>
      </w:r>
      <w:r>
        <w:rPr>
          <w:rFonts w:ascii="Arial" w:cs="Arial" w:eastAsia="Arial" w:hAnsi="Arial"/>
          <w:sz w:val="17"/>
          <w:szCs w:val="17"/>
          <w:color w:val="auto"/>
        </w:rPr>
        <w:t>”) [insert vesting schedule].</w:t>
      </w:r>
    </w:p>
    <w:p>
      <w:pPr>
        <w:spacing w:after="0" w:line="119" w:lineRule="exact"/>
        <w:rPr>
          <w:sz w:val="20"/>
          <w:szCs w:val="20"/>
          <w:color w:val="auto"/>
        </w:rPr>
      </w:pPr>
    </w:p>
    <w:p>
      <w:pPr>
        <w:ind w:right="40" w:firstLine="215"/>
        <w:spacing w:after="0" w:line="273" w:lineRule="auto"/>
        <w:rPr>
          <w:sz w:val="20"/>
          <w:szCs w:val="20"/>
          <w:color w:val="auto"/>
        </w:rPr>
      </w:pPr>
      <w:r>
        <w:rPr>
          <w:rFonts w:ascii="Arial" w:cs="Arial" w:eastAsia="Arial" w:hAnsi="Arial"/>
          <w:sz w:val="17"/>
          <w:szCs w:val="17"/>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71" w:lineRule="exact"/>
        <w:rPr>
          <w:sz w:val="20"/>
          <w:szCs w:val="20"/>
          <w:color w:val="auto"/>
        </w:rPr>
      </w:pPr>
    </w:p>
    <w:p>
      <w:pPr>
        <w:ind w:left="180" w:hanging="175"/>
        <w:spacing w:after="0"/>
        <w:tabs>
          <w:tab w:leader="none" w:pos="180"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right="180" w:firstLine="223"/>
        <w:spacing w:after="0" w:line="267" w:lineRule="auto"/>
        <w:tabs>
          <w:tab w:leader="none" w:pos="455" w:val="left"/>
        </w:tabs>
        <w:numPr>
          <w:ilvl w:val="1"/>
          <w:numId w:val="351"/>
        </w:numPr>
        <w:rPr>
          <w:rFonts w:ascii="Arial" w:cs="Arial" w:eastAsia="Arial" w:hAnsi="Arial"/>
          <w:sz w:val="17"/>
          <w:szCs w:val="17"/>
          <w:color w:val="auto"/>
        </w:rPr>
      </w:pPr>
      <w:r>
        <w:rPr>
          <w:rFonts w:ascii="Arial" w:cs="Arial" w:eastAsia="Arial" w:hAnsi="Arial"/>
          <w:sz w:val="17"/>
          <w:szCs w:val="17"/>
          <w:u w:val="single" w:color="auto"/>
          <w:color w:val="auto"/>
        </w:rPr>
        <w:t>Form of Exercise</w:t>
      </w:r>
      <w:r>
        <w:rPr>
          <w:rFonts w:ascii="Arial" w:cs="Arial" w:eastAsia="Arial" w:hAnsi="Arial"/>
          <w:sz w:val="17"/>
          <w:szCs w:val="17"/>
          <w:color w:val="auto"/>
        </w:rPr>
        <w:t xml:space="preserve">. Each election to exercise this option shall be in writing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in another form as prescribed by the Company,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72" w:lineRule="exact"/>
        <w:rPr>
          <w:rFonts w:ascii="Arial" w:cs="Arial" w:eastAsia="Arial" w:hAnsi="Arial"/>
          <w:sz w:val="17"/>
          <w:szCs w:val="17"/>
          <w:color w:val="auto"/>
        </w:rPr>
      </w:pPr>
    </w:p>
    <w:p>
      <w:pPr>
        <w:ind w:right="140" w:firstLine="223"/>
        <w:spacing w:after="0" w:line="273" w:lineRule="auto"/>
        <w:tabs>
          <w:tab w:leader="none" w:pos="465" w:val="left"/>
        </w:tabs>
        <w:numPr>
          <w:ilvl w:val="1"/>
          <w:numId w:val="351"/>
        </w:numPr>
        <w:rPr>
          <w:rFonts w:ascii="Arial" w:cs="Arial" w:eastAsia="Arial" w:hAnsi="Arial"/>
          <w:sz w:val="17"/>
          <w:szCs w:val="17"/>
          <w:color w:val="auto"/>
        </w:rPr>
      </w:pPr>
      <w:r>
        <w:rPr>
          <w:rFonts w:ascii="Arial" w:cs="Arial" w:eastAsia="Arial" w:hAnsi="Arial"/>
          <w:sz w:val="17"/>
          <w:szCs w:val="17"/>
          <w:u w:val="single" w:color="auto"/>
          <w:color w:val="auto"/>
        </w:rPr>
        <w:t>Continuous Relationship with the Company Required</w:t>
      </w:r>
      <w:r>
        <w:rPr>
          <w:rFonts w:ascii="Arial" w:cs="Arial" w:eastAsia="Arial" w:hAnsi="Arial"/>
          <w:sz w:val="17"/>
          <w:szCs w:val="17"/>
          <w:color w:val="auto"/>
        </w:rPr>
        <w:t>. Except as otherwise provided in this Section 3, this option may not be exercised unless the Participant, at the time he or she exercises this option, is, and has been at all times since the Grant Date, an employee or officer of, or consultant or advisor to, the Company or any parent or subsidiary of the Company as defined in Section 424(e) or (f) of the Code (an “</w:t>
      </w:r>
      <w:r>
        <w:rPr>
          <w:rFonts w:ascii="Arial" w:cs="Arial" w:eastAsia="Arial" w:hAnsi="Arial"/>
          <w:sz w:val="17"/>
          <w:szCs w:val="17"/>
          <w:b w:val="1"/>
          <w:bCs w:val="1"/>
          <w:i w:val="1"/>
          <w:iCs w:val="1"/>
          <w:color w:val="auto"/>
        </w:rPr>
        <w:t>Eligible Participant</w:t>
      </w:r>
      <w:r>
        <w:rPr>
          <w:rFonts w:ascii="Arial" w:cs="Arial" w:eastAsia="Arial" w:hAnsi="Arial"/>
          <w:sz w:val="17"/>
          <w:szCs w:val="17"/>
          <w:color w:val="auto"/>
        </w:rPr>
        <w:t>”).</w:t>
      </w:r>
    </w:p>
    <w:p>
      <w:pPr>
        <w:spacing w:after="0" w:line="66" w:lineRule="exact"/>
        <w:rPr>
          <w:rFonts w:ascii="Arial" w:cs="Arial" w:eastAsia="Arial" w:hAnsi="Arial"/>
          <w:sz w:val="17"/>
          <w:szCs w:val="17"/>
          <w:color w:val="auto"/>
        </w:rPr>
      </w:pPr>
    </w:p>
    <w:p>
      <w:pPr>
        <w:ind w:left="460" w:hanging="237"/>
        <w:spacing w:after="0"/>
        <w:tabs>
          <w:tab w:leader="none" w:pos="460" w:val="left"/>
        </w:tabs>
        <w:numPr>
          <w:ilvl w:val="1"/>
          <w:numId w:val="351"/>
        </w:numPr>
        <w:rPr>
          <w:rFonts w:ascii="Arial" w:cs="Arial" w:eastAsia="Arial" w:hAnsi="Arial"/>
          <w:sz w:val="15"/>
          <w:szCs w:val="15"/>
          <w:color w:val="auto"/>
        </w:rPr>
      </w:pPr>
      <w:r>
        <w:rPr>
          <w:rFonts w:ascii="Arial" w:cs="Arial" w:eastAsia="Arial" w:hAnsi="Arial"/>
          <w:sz w:val="15"/>
          <w:szCs w:val="15"/>
          <w:u w:val="single" w:color="auto"/>
          <w:color w:val="auto"/>
        </w:rPr>
        <w:t>Termination of Relationship with the Company</w:t>
      </w:r>
      <w:r>
        <w:rPr>
          <w:rFonts w:ascii="Arial" w:cs="Arial" w:eastAsia="Arial" w:hAnsi="Arial"/>
          <w:sz w:val="15"/>
          <w:szCs w:val="15"/>
          <w:color w:val="auto"/>
        </w:rPr>
        <w:t>. If the Participant ceases to be an Eligible Participant for any reason, then, except as provided in paragraphs</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(d) and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389255</wp:posOffset>
            </wp:positionV>
            <wp:extent cx="7254875" cy="209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89" w:name="page390"/>
    <w:bookmarkEnd w:id="389"/>
    <w:p>
      <w:pPr>
        <w:ind w:right="220"/>
        <w:spacing w:after="0" w:line="265" w:lineRule="auto"/>
        <w:rPr>
          <w:sz w:val="20"/>
          <w:szCs w:val="20"/>
          <w:color w:val="auto"/>
        </w:rPr>
      </w:pPr>
      <w:r>
        <w:rPr>
          <w:rFonts w:ascii="Arial" w:cs="Arial" w:eastAsia="Arial" w:hAnsi="Arial"/>
          <w:sz w:val="17"/>
          <w:szCs w:val="17"/>
          <w:color w:val="auto"/>
        </w:rPr>
        <w:t xml:space="preserve">below, the right to exercise this option shall terminate three months after such cessation (but in no event after the Final Exercise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73" w:lineRule="exact"/>
        <w:rPr>
          <w:sz w:val="20"/>
          <w:szCs w:val="20"/>
          <w:color w:val="auto"/>
        </w:rPr>
      </w:pPr>
    </w:p>
    <w:p>
      <w:pPr>
        <w:ind w:firstLine="223"/>
        <w:spacing w:after="0" w:line="285" w:lineRule="auto"/>
        <w:tabs>
          <w:tab w:leader="none" w:pos="465" w:val="left"/>
        </w:tabs>
        <w:numPr>
          <w:ilvl w:val="1"/>
          <w:numId w:val="352"/>
        </w:numPr>
        <w:rPr>
          <w:rFonts w:ascii="Arial" w:cs="Arial" w:eastAsia="Arial" w:hAnsi="Arial"/>
          <w:sz w:val="16"/>
          <w:szCs w:val="16"/>
          <w:color w:val="auto"/>
        </w:rPr>
      </w:pPr>
      <w:r>
        <w:rPr>
          <w:rFonts w:ascii="Arial" w:cs="Arial" w:eastAsia="Arial" w:hAnsi="Arial"/>
          <w:sz w:val="16"/>
          <w:szCs w:val="16"/>
          <w:u w:val="single" w:color="auto"/>
          <w:color w:val="auto"/>
        </w:rPr>
        <w:t>Exercise Period Upon Death or Disability</w:t>
      </w:r>
      <w:r>
        <w:rPr>
          <w:rFonts w:ascii="Arial" w:cs="Arial" w:eastAsia="Arial" w:hAnsi="Arial"/>
          <w:sz w:val="16"/>
          <w:szCs w:val="16"/>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59" w:lineRule="exact"/>
        <w:rPr>
          <w:rFonts w:ascii="Arial" w:cs="Arial" w:eastAsia="Arial" w:hAnsi="Arial"/>
          <w:sz w:val="16"/>
          <w:szCs w:val="16"/>
          <w:color w:val="auto"/>
        </w:rPr>
      </w:pPr>
    </w:p>
    <w:p>
      <w:pPr>
        <w:ind w:right="180" w:firstLine="223"/>
        <w:spacing w:after="0" w:line="267" w:lineRule="auto"/>
        <w:tabs>
          <w:tab w:leader="none" w:pos="455" w:val="left"/>
        </w:tabs>
        <w:numPr>
          <w:ilvl w:val="1"/>
          <w:numId w:val="352"/>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prior to the Final Exercise Date, the Participant’s employment is terminated by the Company for Cause (as defined in the Plan), the right to exercise this option shall terminate immediately upon the effective date of such termination of employment. [If the Participant is party to an employment or severance agreement with the Company that contains a definition of “cause” for termination of employment, “Cause” shall have the meaning ascribed to such term in such agreement.]</w:t>
      </w:r>
    </w:p>
    <w:p>
      <w:pPr>
        <w:spacing w:after="0" w:line="177" w:lineRule="exact"/>
        <w:rPr>
          <w:rFonts w:ascii="Arial" w:cs="Arial" w:eastAsia="Arial" w:hAnsi="Arial"/>
          <w:sz w:val="17"/>
          <w:szCs w:val="17"/>
          <w:color w:val="auto"/>
        </w:rPr>
      </w:pPr>
    </w:p>
    <w:p>
      <w:pPr>
        <w:ind w:left="180" w:hanging="175"/>
        <w:spacing w:after="0"/>
        <w:tabs>
          <w:tab w:leader="none" w:pos="180"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Tax Matters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right="440" w:firstLine="223"/>
        <w:spacing w:after="0" w:line="322" w:lineRule="auto"/>
        <w:tabs>
          <w:tab w:leader="none" w:pos="455"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30" w:lineRule="exact"/>
        <w:rPr>
          <w:rFonts w:ascii="Arial" w:cs="Arial" w:eastAsia="Arial" w:hAnsi="Arial"/>
          <w:sz w:val="16"/>
          <w:szCs w:val="16"/>
          <w:color w:val="auto"/>
        </w:rPr>
      </w:pPr>
    </w:p>
    <w:p>
      <w:pPr>
        <w:ind w:right="40" w:firstLine="223"/>
        <w:spacing w:after="0" w:line="289" w:lineRule="auto"/>
        <w:tabs>
          <w:tab w:leader="none" w:pos="465" w:val="left"/>
        </w:tabs>
        <w:numPr>
          <w:ilvl w:val="1"/>
          <w:numId w:val="353"/>
        </w:numPr>
        <w:rPr>
          <w:rFonts w:ascii="Arial" w:cs="Arial" w:eastAsia="Arial" w:hAnsi="Arial"/>
          <w:sz w:val="17"/>
          <w:szCs w:val="17"/>
          <w:color w:val="auto"/>
        </w:rPr>
      </w:pPr>
      <w:r>
        <w:rPr>
          <w:rFonts w:ascii="Arial" w:cs="Arial" w:eastAsia="Arial" w:hAnsi="Arial"/>
          <w:sz w:val="17"/>
          <w:szCs w:val="17"/>
          <w:u w:val="single" w:color="auto"/>
          <w:color w:val="auto"/>
        </w:rPr>
        <w:t>Disqualifying Disposition</w:t>
      </w:r>
      <w:r>
        <w:rPr>
          <w:rFonts w:ascii="Arial" w:cs="Arial" w:eastAsia="Arial" w:hAnsi="Arial"/>
          <w:sz w:val="17"/>
          <w:szCs w:val="17"/>
          <w:color w:val="auto"/>
        </w:rPr>
        <w:t>. If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57" w:lineRule="exact"/>
        <w:rPr>
          <w:rFonts w:ascii="Arial" w:cs="Arial" w:eastAsia="Arial" w:hAnsi="Arial"/>
          <w:sz w:val="17"/>
          <w:szCs w:val="17"/>
          <w:color w:val="auto"/>
        </w:rPr>
      </w:pPr>
    </w:p>
    <w:p>
      <w:pPr>
        <w:ind w:left="180" w:hanging="175"/>
        <w:spacing w:after="0"/>
        <w:tabs>
          <w:tab w:leader="none" w:pos="180" w:val="left"/>
        </w:tabs>
        <w:numPr>
          <w:ilvl w:val="0"/>
          <w:numId w:val="353"/>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w:t>
      </w:r>
    </w:p>
    <w:p>
      <w:pPr>
        <w:spacing w:after="0" w:line="119" w:lineRule="exact"/>
        <w:rPr>
          <w:sz w:val="20"/>
          <w:szCs w:val="20"/>
          <w:color w:val="auto"/>
        </w:rPr>
      </w:pPr>
    </w:p>
    <w:p>
      <w:pPr>
        <w:ind w:right="20" w:firstLine="215"/>
        <w:spacing w:after="0" w:line="281" w:lineRule="auto"/>
        <w:rPr>
          <w:sz w:val="20"/>
          <w:szCs w:val="20"/>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other than pursuant to a qualified domestic relations order, and, during the lifetime of the Participant, shall be exercisable only by the Participant; provided, however, that the gratuitous transfer of this Option by the Participant to or for the benefit of any immediate family member, domestic partner, family trust or other entity established for the benefit of the Participant and/or an immediate family member thereof if, with respect to such proposed transferee, the Company would be eligible to use a Registration Statement on Form S-8 for the registration of the sale of the Common Stock subject to such Option under the Securities Act of 1933, as amended; provided, further, that the Company shall not be required to recognize any such transfer until such time as the Participant and such authorized transferee shall, as a condition to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361950</wp:posOffset>
            </wp:positionV>
            <wp:extent cx="7254875" cy="209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90" w:name="page391"/>
    <w:bookmarkEnd w:id="390"/>
    <w:p>
      <w:pPr>
        <w:spacing w:after="0" w:line="273" w:lineRule="auto"/>
        <w:rPr>
          <w:sz w:val="20"/>
          <w:szCs w:val="20"/>
          <w:color w:val="auto"/>
        </w:rPr>
      </w:pPr>
      <w:r>
        <w:rPr>
          <w:rFonts w:ascii="Arial" w:cs="Arial" w:eastAsia="Arial" w:hAnsi="Arial"/>
          <w:sz w:val="17"/>
          <w:szCs w:val="17"/>
          <w:color w:val="auto"/>
        </w:rPr>
        <w:t>deliver to the Company a written instrument in form and substance satisfactory to the Company confirming that such transferee shall be bound by all of the terms and conditions of the Option; and, provided, further, that no option intended to be an incentive stock option shall be transferable unless the Board of Directors shall otherwise permit.</w:t>
      </w:r>
    </w:p>
    <w:p>
      <w:pPr>
        <w:spacing w:after="0" w:line="171" w:lineRule="exact"/>
        <w:rPr>
          <w:sz w:val="20"/>
          <w:szCs w:val="20"/>
          <w:color w:val="auto"/>
        </w:rPr>
      </w:pPr>
    </w:p>
    <w:p>
      <w:pPr>
        <w:ind w:left="180" w:hanging="175"/>
        <w:spacing w:after="0"/>
        <w:tabs>
          <w:tab w:leader="none" w:pos="18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Provisions of the Plan</w:t>
      </w:r>
      <w:r>
        <w:rPr>
          <w:rFonts w:ascii="Arial" w:cs="Arial" w:eastAsia="Arial" w:hAnsi="Arial"/>
          <w:sz w:val="17"/>
          <w:szCs w:val="17"/>
          <w:color w:val="auto"/>
        </w:rPr>
        <w:t>.</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option is subject to the provisions of the Plan, a copy of which is furnished to the Participant with this option.</w:t>
      </w:r>
    </w:p>
    <w:p>
      <w:pPr>
        <w:spacing w:after="0" w:line="119" w:lineRule="exact"/>
        <w:rPr>
          <w:sz w:val="20"/>
          <w:szCs w:val="20"/>
          <w:color w:val="auto"/>
        </w:rPr>
      </w:pPr>
    </w:p>
    <w:p>
      <w:pPr>
        <w:ind w:right="340" w:firstLine="218"/>
        <w:spacing w:after="0" w:line="289" w:lineRule="auto"/>
        <w:rPr>
          <w:sz w:val="20"/>
          <w:szCs w:val="20"/>
          <w:color w:val="auto"/>
        </w:rPr>
      </w:pPr>
      <w:r>
        <w:rPr>
          <w:rFonts w:ascii="Arial" w:cs="Arial" w:eastAsia="Arial" w:hAnsi="Arial"/>
          <w:sz w:val="17"/>
          <w:szCs w:val="17"/>
          <w:color w:val="auto"/>
        </w:rPr>
        <w:t>IN WITNESS WHEREOF, the Company has caused this option to be executed under its corporate seal by its duly authorized officer. This option shall take effect as a sealed instrument.</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Emergent BioSolutions Inc.</w:t>
      </w:r>
    </w:p>
    <w:p>
      <w:pPr>
        <w:spacing w:after="0" w:line="224" w:lineRule="exact"/>
        <w:rPr>
          <w:sz w:val="20"/>
          <w:szCs w:val="20"/>
          <w:color w:val="auto"/>
        </w:rPr>
      </w:pPr>
    </w:p>
    <w:p>
      <w:pPr>
        <w:spacing w:after="0"/>
        <w:tabs>
          <w:tab w:leader="none" w:pos="51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16510</wp:posOffset>
            </wp:positionV>
            <wp:extent cx="2735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35580"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-7620</wp:posOffset>
            </wp:positionV>
            <wp:extent cx="5543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37807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37807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3780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405130</wp:posOffset>
            </wp:positionV>
            <wp:extent cx="7254875" cy="209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2" w:right="259" w:bottom="1440" w:gutter="0" w:footer="0" w:header="0"/>
        </w:sectPr>
      </w:pPr>
    </w:p>
    <w:bookmarkStart w:id="391" w:name="page392"/>
    <w:bookmarkEnd w:id="391"/>
    <w:p>
      <w:pPr>
        <w:jc w:val="center"/>
        <w:ind w:right="-39"/>
        <w:spacing w:after="0"/>
        <w:rPr>
          <w:sz w:val="20"/>
          <w:szCs w:val="20"/>
          <w:color w:val="auto"/>
        </w:rPr>
      </w:pPr>
      <w:r>
        <w:rPr>
          <w:rFonts w:ascii="Arial" w:cs="Arial" w:eastAsia="Arial" w:hAnsi="Arial"/>
          <w:sz w:val="17"/>
          <w:szCs w:val="17"/>
          <w:color w:val="auto"/>
        </w:rPr>
        <w:t>PARTICIPANT’S ACCEPTANCE</w:t>
      </w:r>
    </w:p>
    <w:p>
      <w:pPr>
        <w:spacing w:after="0" w:line="119" w:lineRule="exact"/>
        <w:rPr>
          <w:sz w:val="20"/>
          <w:szCs w:val="20"/>
          <w:color w:val="auto"/>
        </w:rPr>
      </w:pPr>
    </w:p>
    <w:p>
      <w:pPr>
        <w:ind w:firstLine="215"/>
        <w:spacing w:after="0" w:line="289" w:lineRule="auto"/>
        <w:rPr>
          <w:sz w:val="20"/>
          <w:szCs w:val="20"/>
          <w:color w:val="auto"/>
        </w:rPr>
      </w:pPr>
      <w:r>
        <w:rPr>
          <w:rFonts w:ascii="Arial" w:cs="Arial" w:eastAsia="Arial" w:hAnsi="Arial"/>
          <w:sz w:val="17"/>
          <w:szCs w:val="17"/>
          <w:color w:val="auto"/>
        </w:rPr>
        <w:t>The undersigned hereby accepts the foregoing option and agrees to the terms and conditions thereof. The undersigned hereby acknowledges receipt of a copy of the Company’s 2006 Stock Incentive Plan.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149860</wp:posOffset>
            </wp:positionV>
            <wp:extent cx="29349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93497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16510</wp:posOffset>
            </wp:positionV>
            <wp:extent cx="25114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158115</wp:posOffset>
            </wp:positionV>
            <wp:extent cx="25114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546735</wp:posOffset>
            </wp:positionV>
            <wp:extent cx="7254875" cy="209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7" w:right="259" w:bottom="1440" w:gutter="0" w:footer="0" w:header="0"/>
        </w:sectPr>
      </w:pPr>
    </w:p>
    <w:bookmarkStart w:id="392" w:name="page393"/>
    <w:bookmarkEnd w:id="392"/>
    <w:p>
      <w:pPr>
        <w:jc w:val="right"/>
        <w:spacing w:after="0"/>
        <w:rPr>
          <w:sz w:val="20"/>
          <w:szCs w:val="20"/>
          <w:color w:val="auto"/>
        </w:rPr>
      </w:pPr>
      <w:r>
        <w:rPr>
          <w:rFonts w:ascii="Arial" w:cs="Arial" w:eastAsia="Arial" w:hAnsi="Arial"/>
          <w:sz w:val="17"/>
          <w:szCs w:val="17"/>
          <w:u w:val="single" w:color="auto"/>
          <w:color w:val="auto"/>
        </w:rPr>
        <w:t>Exhibit A</w:t>
      </w:r>
    </w:p>
    <w:p>
      <w:pPr>
        <w:spacing w:after="0" w:line="322"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NOTICE OF STOCK OPTION EXERCISE</w:t>
      </w:r>
    </w:p>
    <w:p>
      <w:pPr>
        <w:spacing w:after="0" w:line="1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-7620</wp:posOffset>
            </wp:positionV>
            <wp:extent cx="5543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Emergent BioSolutions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300 Professional Drive,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Gaithersburg, MD 20879</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Attention: Treasurer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 am the holder of an Incentive Stock Option granted to me under the Emergent BioSolutions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2006 Stock Incentive Plan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6624320</wp:posOffset>
            </wp:positionH>
            <wp:positionV relativeFrom="paragraph">
              <wp:posOffset>-7620</wp:posOffset>
            </wp:positionV>
            <wp:extent cx="5543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6"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for the purchase of shares of common stock, $0.001 par value per share, of the Company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at a purchase price of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864235</wp:posOffset>
            </wp:positionH>
            <wp:positionV relativeFrom="paragraph">
              <wp:posOffset>-24130</wp:posOffset>
            </wp:positionV>
            <wp:extent cx="5543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54355" cy="8255"/>
                    </a:xfrm>
                    <a:prstGeom prst="rect">
                      <a:avLst/>
                    </a:prstGeom>
                    <a:noFill/>
                  </pic:spPr>
                </pic:pic>
              </a:graphicData>
            </a:graphic>
          </wp:anchor>
        </w:drawing>
        <w:drawing>
          <wp:anchor simplePos="0" relativeHeight="251657728" behindDoc="1" locked="0" layoutInCell="0" allowOverlap="1">
            <wp:simplePos x="0" y="0"/>
            <wp:positionH relativeFrom="column">
              <wp:posOffset>6475095</wp:posOffset>
            </wp:positionH>
            <wp:positionV relativeFrom="paragraph">
              <wp:posOffset>-24130</wp:posOffset>
            </wp:positionV>
            <wp:extent cx="5543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gridSpan w:val="2"/>
          </w:tcPr>
          <w:p>
            <w:pPr>
              <w:ind w:left="220"/>
              <w:spacing w:after="0"/>
              <w:rPr>
                <w:sz w:val="20"/>
                <w:szCs w:val="20"/>
                <w:color w:val="auto"/>
              </w:rPr>
            </w:pPr>
            <w:r>
              <w:rPr>
                <w:rFonts w:ascii="Arial" w:cs="Arial" w:eastAsia="Arial" w:hAnsi="Arial"/>
                <w:sz w:val="17"/>
                <w:szCs w:val="17"/>
                <w:color w:val="auto"/>
                <w:w w:val="93"/>
              </w:rPr>
              <w:t>I hereby exercise my option to purchase</w:t>
            </w:r>
          </w:p>
        </w:tc>
        <w:tc>
          <w:tcPr>
            <w:tcW w:w="880" w:type="dxa"/>
            <w:vAlign w:val="bottom"/>
          </w:tcPr>
          <w:p>
            <w:pPr>
              <w:spacing w:after="0"/>
              <w:rPr>
                <w:sz w:val="16"/>
                <w:szCs w:val="16"/>
                <w:color w:val="auto"/>
              </w:rPr>
            </w:pPr>
          </w:p>
        </w:tc>
        <w:tc>
          <w:tcPr>
            <w:tcW w:w="372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shares of Common Stock, for which I have enclosed</w:t>
            </w:r>
          </w:p>
        </w:tc>
        <w:tc>
          <w:tcPr>
            <w:tcW w:w="88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in the amount of $</w:t>
            </w:r>
          </w:p>
        </w:tc>
        <w:tc>
          <w:tcPr>
            <w:tcW w:w="1040" w:type="dxa"/>
            <w:vAlign w:val="bottom"/>
            <w:gridSpan w:val="2"/>
          </w:tcPr>
          <w:p>
            <w:pPr>
              <w:ind w:left="420"/>
              <w:spacing w:after="0"/>
              <w:rPr>
                <w:sz w:val="20"/>
                <w:szCs w:val="20"/>
                <w:color w:val="auto"/>
              </w:rPr>
            </w:pPr>
            <w:r>
              <w:rPr>
                <w:rFonts w:ascii="Arial" w:cs="Arial" w:eastAsia="Arial" w:hAnsi="Arial"/>
                <w:sz w:val="15"/>
                <w:szCs w:val="15"/>
                <w:color w:val="auto"/>
                <w:w w:val="85"/>
              </w:rPr>
              <w:t>2</w:t>
            </w:r>
            <w:r>
              <w:rPr>
                <w:rFonts w:ascii="Arial" w:cs="Arial" w:eastAsia="Arial" w:hAnsi="Arial"/>
                <w:sz w:val="17"/>
                <w:szCs w:val="17"/>
                <w:color w:val="auto"/>
                <w:w w:val="85"/>
              </w:rPr>
              <w:t>. Please</w:t>
            </w:r>
          </w:p>
        </w:tc>
      </w:tr>
      <w:tr>
        <w:trPr>
          <w:trHeight w:val="228"/>
        </w:trPr>
        <w:tc>
          <w:tcPr>
            <w:tcW w:w="3060" w:type="dxa"/>
            <w:vAlign w:val="bottom"/>
            <w:gridSpan w:val="2"/>
          </w:tcPr>
          <w:p>
            <w:pPr>
              <w:spacing w:after="0"/>
              <w:rPr>
                <w:sz w:val="20"/>
                <w:szCs w:val="20"/>
                <w:color w:val="auto"/>
              </w:rPr>
            </w:pPr>
            <w:r>
              <w:rPr>
                <w:rFonts w:ascii="Arial" w:cs="Arial" w:eastAsia="Arial" w:hAnsi="Arial"/>
                <w:sz w:val="17"/>
                <w:szCs w:val="17"/>
                <w:color w:val="auto"/>
              </w:rPr>
              <w:t>register my stock certificate as follows:</w:t>
            </w:r>
          </w:p>
        </w:tc>
        <w:tc>
          <w:tcPr>
            <w:tcW w:w="8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r>
      <w:tr>
        <w:trPr>
          <w:trHeight w:val="406"/>
        </w:trPr>
        <w:tc>
          <w:tcPr>
            <w:tcW w:w="1080" w:type="dxa"/>
            <w:vAlign w:val="bottom"/>
          </w:tcPr>
          <w:p>
            <w:pPr>
              <w:ind w:left="220"/>
              <w:spacing w:after="0"/>
              <w:rPr>
                <w:sz w:val="20"/>
                <w:szCs w:val="20"/>
                <w:color w:val="auto"/>
              </w:rPr>
            </w:pPr>
            <w:r>
              <w:rPr>
                <w:rFonts w:ascii="Arial" w:cs="Arial" w:eastAsia="Arial" w:hAnsi="Arial"/>
                <w:sz w:val="17"/>
                <w:szCs w:val="17"/>
                <w:color w:val="auto"/>
              </w:rPr>
              <w:t>Name(s):</w:t>
            </w:r>
          </w:p>
        </w:tc>
        <w:tc>
          <w:tcPr>
            <w:tcW w:w="1980" w:type="dxa"/>
            <w:vAlign w:val="bottom"/>
          </w:tcPr>
          <w:p>
            <w:pPr>
              <w:spacing w:after="0"/>
              <w:rPr>
                <w:sz w:val="24"/>
                <w:szCs w:val="24"/>
                <w:color w:val="auto"/>
              </w:rPr>
            </w:pPr>
          </w:p>
        </w:tc>
        <w:tc>
          <w:tcPr>
            <w:tcW w:w="4600" w:type="dxa"/>
            <w:vAlign w:val="bottom"/>
            <w:gridSpan w:val="3"/>
          </w:tcPr>
          <w:p>
            <w:pPr>
              <w:jc w:val="right"/>
              <w:ind w:right="2780"/>
              <w:spacing w:after="0"/>
              <w:rPr>
                <w:sz w:val="20"/>
                <w:szCs w:val="20"/>
                <w:color w:val="auto"/>
              </w:rPr>
            </w:pPr>
            <w:r>
              <w:rPr>
                <w:rFonts w:ascii="Arial" w:cs="Arial" w:eastAsia="Arial" w:hAnsi="Arial"/>
                <w:sz w:val="15"/>
                <w:szCs w:val="15"/>
                <w:color w:val="auto"/>
              </w:rPr>
              <w:t>3</w:t>
            </w: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0"/>
        </w:trPr>
        <w:tc>
          <w:tcPr>
            <w:tcW w:w="1080" w:type="dxa"/>
            <w:vAlign w:val="bottom"/>
          </w:tcPr>
          <w:p>
            <w:pPr>
              <w:spacing w:after="0"/>
              <w:rPr>
                <w:sz w:val="16"/>
                <w:szCs w:val="16"/>
                <w:color w:val="auto"/>
              </w:rPr>
            </w:pPr>
          </w:p>
        </w:tc>
        <w:tc>
          <w:tcPr>
            <w:tcW w:w="19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2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0"/>
        </w:trPr>
        <w:tc>
          <w:tcPr>
            <w:tcW w:w="1080" w:type="dxa"/>
            <w:vAlign w:val="bottom"/>
          </w:tcPr>
          <w:p>
            <w:pPr>
              <w:ind w:left="220"/>
              <w:spacing w:after="0" w:line="189" w:lineRule="exact"/>
              <w:rPr>
                <w:sz w:val="20"/>
                <w:szCs w:val="20"/>
                <w:color w:val="auto"/>
              </w:rPr>
            </w:pPr>
            <w:r>
              <w:rPr>
                <w:rFonts w:ascii="Arial" w:cs="Arial" w:eastAsia="Arial" w:hAnsi="Arial"/>
                <w:sz w:val="17"/>
                <w:szCs w:val="17"/>
                <w:color w:val="auto"/>
              </w:rPr>
              <w:t>Address:</w:t>
            </w:r>
          </w:p>
        </w:tc>
        <w:tc>
          <w:tcPr>
            <w:tcW w:w="1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0"/>
        </w:trPr>
        <w:tc>
          <w:tcPr>
            <w:tcW w:w="1080" w:type="dxa"/>
            <w:vAlign w:val="bottom"/>
          </w:tcPr>
          <w:p>
            <w:pPr>
              <w:ind w:left="220"/>
              <w:spacing w:after="0" w:line="189" w:lineRule="exact"/>
              <w:rPr>
                <w:sz w:val="20"/>
                <w:szCs w:val="20"/>
                <w:color w:val="auto"/>
              </w:rPr>
            </w:pPr>
            <w:r>
              <w:rPr>
                <w:rFonts w:ascii="Arial" w:cs="Arial" w:eastAsia="Arial" w:hAnsi="Arial"/>
                <w:sz w:val="17"/>
                <w:szCs w:val="17"/>
                <w:color w:val="auto"/>
              </w:rPr>
              <w:t>Tax I.D. #:</w:t>
            </w:r>
          </w:p>
        </w:tc>
        <w:tc>
          <w:tcPr>
            <w:tcW w:w="1980" w:type="dxa"/>
            <w:vAlign w:val="bottom"/>
          </w:tcPr>
          <w:p>
            <w:pPr>
              <w:spacing w:after="0"/>
              <w:rPr>
                <w:sz w:val="16"/>
                <w:szCs w:val="16"/>
                <w:color w:val="auto"/>
              </w:rPr>
            </w:pPr>
          </w:p>
        </w:tc>
        <w:tc>
          <w:tcPr>
            <w:tcW w:w="4600" w:type="dxa"/>
            <w:vAlign w:val="bottom"/>
            <w:gridSpan w:val="3"/>
          </w:tcPr>
          <w:p>
            <w:pPr>
              <w:jc w:val="right"/>
              <w:ind w:right="2780"/>
              <w:spacing w:after="0"/>
              <w:rPr>
                <w:sz w:val="20"/>
                <w:szCs w:val="20"/>
                <w:color w:val="auto"/>
              </w:rPr>
            </w:pPr>
            <w:r>
              <w:rPr>
                <w:rFonts w:ascii="Arial" w:cs="Arial" w:eastAsia="Arial" w:hAnsi="Arial"/>
                <w:sz w:val="15"/>
                <w:szCs w:val="15"/>
                <w:color w:val="auto"/>
              </w:rPr>
              <w:t>4</w:t>
            </w: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282575</wp:posOffset>
            </wp:positionV>
            <wp:extent cx="254444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3055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61" w:lineRule="exact"/>
        <w:rPr>
          <w:sz w:val="20"/>
          <w:szCs w:val="20"/>
          <w:color w:val="auto"/>
        </w:rPr>
      </w:pPr>
    </w:p>
    <w:p>
      <w:pPr>
        <w:ind w:left="460" w:hanging="455"/>
        <w:spacing w:after="0"/>
        <w:tabs>
          <w:tab w:leader="none" w:pos="460" w:val="left"/>
        </w:tabs>
        <w:numPr>
          <w:ilvl w:val="0"/>
          <w:numId w:val="355"/>
        </w:numPr>
        <w:rPr>
          <w:rFonts w:ascii="Arial" w:cs="Arial" w:eastAsia="Arial" w:hAnsi="Arial"/>
          <w:sz w:val="15"/>
          <w:szCs w:val="15"/>
          <w:color w:val="auto"/>
        </w:rPr>
      </w:pPr>
      <w:r>
        <w:rPr>
          <w:rFonts w:ascii="Arial" w:cs="Arial" w:eastAsia="Arial" w:hAnsi="Arial"/>
          <w:sz w:val="17"/>
          <w:szCs w:val="17"/>
          <w:color w:val="auto"/>
        </w:rPr>
        <w:t>Enter “cash” or “a check.”</w:t>
      </w:r>
    </w:p>
    <w:p>
      <w:pPr>
        <w:spacing w:after="0" w:line="80" w:lineRule="exact"/>
        <w:rPr>
          <w:sz w:val="20"/>
          <w:szCs w:val="20"/>
          <w:color w:val="auto"/>
        </w:rPr>
      </w:pPr>
    </w:p>
    <w:p>
      <w:pPr>
        <w:ind w:left="460" w:hanging="455"/>
        <w:spacing w:after="0"/>
        <w:tabs>
          <w:tab w:leader="none" w:pos="460" w:val="left"/>
        </w:tabs>
        <w:numPr>
          <w:ilvl w:val="0"/>
          <w:numId w:val="356"/>
        </w:numPr>
        <w:rPr>
          <w:rFonts w:ascii="Arial" w:cs="Arial" w:eastAsia="Arial" w:hAnsi="Arial"/>
          <w:sz w:val="15"/>
          <w:szCs w:val="15"/>
          <w:color w:val="auto"/>
        </w:rPr>
      </w:pPr>
      <w:r>
        <w:rPr>
          <w:rFonts w:ascii="Arial" w:cs="Arial" w:eastAsia="Arial" w:hAnsi="Arial"/>
          <w:sz w:val="17"/>
          <w:szCs w:val="17"/>
          <w:color w:val="auto"/>
        </w:rPr>
        <w:t>Enter the dollar amount (price per share times the number of shares to be purchased).</w:t>
      </w:r>
    </w:p>
    <w:p>
      <w:pPr>
        <w:spacing w:after="0" w:line="80" w:lineRule="exact"/>
        <w:rPr>
          <w:sz w:val="20"/>
          <w:szCs w:val="20"/>
          <w:color w:val="auto"/>
        </w:rPr>
      </w:pPr>
    </w:p>
    <w:p>
      <w:pPr>
        <w:ind w:left="460" w:hanging="455"/>
        <w:spacing w:after="0"/>
        <w:tabs>
          <w:tab w:leader="none" w:pos="460" w:val="left"/>
        </w:tabs>
        <w:numPr>
          <w:ilvl w:val="0"/>
          <w:numId w:val="357"/>
        </w:numPr>
        <w:rPr>
          <w:rFonts w:ascii="Arial" w:cs="Arial" w:eastAsia="Arial" w:hAnsi="Arial"/>
          <w:sz w:val="13"/>
          <w:szCs w:val="13"/>
          <w:color w:val="auto"/>
        </w:rPr>
      </w:pPr>
      <w:r>
        <w:rPr>
          <w:rFonts w:ascii="Arial" w:cs="Arial" w:eastAsia="Arial" w:hAnsi="Arial"/>
          <w:sz w:val="15"/>
          <w:szCs w:val="15"/>
          <w:color w:val="auto"/>
        </w:rPr>
        <w:t>Enter name(s) to appear on stock certificate: (a) Your name only or (b) Your name and other name (i.e., John Doe and Jane Doe, Joint Tenants With Right of</w:t>
      </w:r>
    </w:p>
    <w:p>
      <w:pPr>
        <w:spacing w:after="0" w:line="49"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7"/>
          <w:szCs w:val="17"/>
          <w:color w:val="auto"/>
        </w:rPr>
        <w:t>Survivorship). Note: There may be income and/or gift tax consequences of registering shares in a Child’s name.</w:t>
      </w:r>
    </w:p>
    <w:p>
      <w:pPr>
        <w:spacing w:after="0" w:line="68" w:lineRule="exact"/>
        <w:rPr>
          <w:sz w:val="20"/>
          <w:szCs w:val="20"/>
          <w:color w:val="auto"/>
        </w:rPr>
      </w:pPr>
    </w:p>
    <w:p>
      <w:pPr>
        <w:ind w:left="460" w:hanging="455"/>
        <w:spacing w:after="0"/>
        <w:tabs>
          <w:tab w:leader="none" w:pos="460" w:val="left"/>
        </w:tabs>
        <w:numPr>
          <w:ilvl w:val="0"/>
          <w:numId w:val="358"/>
        </w:numPr>
        <w:rPr>
          <w:rFonts w:ascii="Arial" w:cs="Arial" w:eastAsia="Arial" w:hAnsi="Arial"/>
          <w:sz w:val="15"/>
          <w:szCs w:val="15"/>
          <w:color w:val="auto"/>
        </w:rPr>
      </w:pPr>
      <w:r>
        <w:rPr>
          <w:rFonts w:ascii="Arial" w:cs="Arial" w:eastAsia="Arial" w:hAnsi="Arial"/>
          <w:sz w:val="17"/>
          <w:szCs w:val="17"/>
          <w:color w:val="auto"/>
        </w:rPr>
        <w:t>Social Security Number(s) of Holder(s).</w:t>
      </w:r>
    </w:p>
    <w:p>
      <w:pPr>
        <w:sectPr>
          <w:pgSz w:w="11900" w:h="16838" w:orient="portrait"/>
          <w:cols w:equalWidth="0" w:num="1">
            <w:col w:w="11420"/>
          </w:cols>
          <w:pgMar w:left="240" w:top="1332"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7"/>
          <w:szCs w:val="17"/>
          <w:color w:val="auto"/>
        </w:rPr>
        <w:t>Exhibit 10.5</w:t>
      </w:r>
    </w:p>
    <w:p>
      <w:pPr>
        <w:spacing w:after="0" w:line="328"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Emergent BioSolutions Inc.</w:t>
      </w:r>
    </w:p>
    <w:p>
      <w:pPr>
        <w:spacing w:after="0" w:line="119"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Nonstatutory Stock Option Agreement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Granted Under 2006 Stock Incentive Plan</w:t>
      </w:r>
    </w:p>
    <w:p>
      <w:pPr>
        <w:spacing w:after="0" w:line="212" w:lineRule="exact"/>
        <w:rPr>
          <w:sz w:val="20"/>
          <w:szCs w:val="20"/>
          <w:color w:val="auto"/>
        </w:rPr>
      </w:pPr>
    </w:p>
    <w:p>
      <w:pPr>
        <w:ind w:left="180" w:hanging="175"/>
        <w:spacing w:after="0"/>
        <w:tabs>
          <w:tab w:leader="none" w:pos="180"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w:t>
      </w:r>
    </w:p>
    <w:p>
      <w:pPr>
        <w:spacing w:after="0" w:line="119" w:lineRule="exact"/>
        <w:rPr>
          <w:sz w:val="20"/>
          <w:szCs w:val="20"/>
          <w:color w:val="auto"/>
        </w:rPr>
      </w:pPr>
    </w:p>
    <w:p>
      <w:pPr>
        <w:ind w:left="220"/>
        <w:spacing w:after="0"/>
        <w:tabs>
          <w:tab w:leader="none" w:pos="9180" w:val="left"/>
        </w:tabs>
        <w:rPr>
          <w:sz w:val="20"/>
          <w:szCs w:val="20"/>
          <w:color w:val="auto"/>
        </w:rPr>
      </w:pPr>
      <w:r>
        <w:rPr>
          <w:rFonts w:ascii="Arial" w:cs="Arial" w:eastAsia="Arial" w:hAnsi="Arial"/>
          <w:sz w:val="17"/>
          <w:szCs w:val="17"/>
          <w:color w:val="auto"/>
        </w:rPr>
        <w:t>This agreement evidences the grant by Emergent BioSolutions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on [</w:t>
      </w:r>
      <w:r>
        <w:rPr>
          <w:sz w:val="20"/>
          <w:szCs w:val="20"/>
          <w:color w:val="auto"/>
        </w:rPr>
        <w:tab/>
      </w:r>
      <w:r>
        <w:rPr>
          <w:rFonts w:ascii="Arial" w:cs="Arial" w:eastAsia="Arial" w:hAnsi="Arial"/>
          <w:sz w:val="16"/>
          <w:szCs w:val="16"/>
          <w:color w:val="auto"/>
        </w:rPr>
        <w:t>], 200[ ]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-7620</wp:posOffset>
            </wp:positionV>
            <wp:extent cx="5543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6" w:lineRule="exact"/>
        <w:rPr>
          <w:sz w:val="20"/>
          <w:szCs w:val="20"/>
          <w:color w:val="auto"/>
        </w:rPr>
      </w:pPr>
    </w:p>
    <w:p>
      <w:pPr>
        <w:ind w:left="1020" w:hanging="1015"/>
        <w:spacing w:after="0"/>
        <w:tabs>
          <w:tab w:leader="none" w:pos="102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an [employee, consultant, director] of the Company (the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of an option to purchase, in whole or in part, on the terms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-7620</wp:posOffset>
            </wp:positionV>
            <wp:extent cx="5543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5180" w:type="dxa"/>
            <w:vAlign w:val="bottom"/>
            <w:gridSpan w:val="3"/>
          </w:tcPr>
          <w:p>
            <w:pPr>
              <w:spacing w:after="0"/>
              <w:rPr>
                <w:sz w:val="20"/>
                <w:szCs w:val="20"/>
                <w:color w:val="auto"/>
              </w:rPr>
            </w:pPr>
            <w:r>
              <w:rPr>
                <w:rFonts w:ascii="Arial" w:cs="Arial" w:eastAsia="Arial" w:hAnsi="Arial"/>
                <w:sz w:val="17"/>
                <w:szCs w:val="17"/>
                <w:color w:val="auto"/>
                <w:w w:val="95"/>
              </w:rPr>
              <w:t>and in the Company’s 2006 Stock Incentive Plan (the “</w:t>
            </w:r>
            <w:r>
              <w:rPr>
                <w:rFonts w:ascii="Arial" w:cs="Arial" w:eastAsia="Arial" w:hAnsi="Arial"/>
                <w:sz w:val="17"/>
                <w:szCs w:val="17"/>
                <w:b w:val="1"/>
                <w:bCs w:val="1"/>
                <w:i w:val="1"/>
                <w:iCs w:val="1"/>
                <w:color w:val="auto"/>
                <w:w w:val="95"/>
              </w:rPr>
              <w:t>Plan</w:t>
            </w:r>
            <w:r>
              <w:rPr>
                <w:rFonts w:ascii="Arial" w:cs="Arial" w:eastAsia="Arial" w:hAnsi="Arial"/>
                <w:sz w:val="17"/>
                <w:szCs w:val="17"/>
                <w:color w:val="auto"/>
                <w:w w:val="95"/>
              </w:rPr>
              <w:t>”), a total of [</w:t>
            </w:r>
          </w:p>
        </w:tc>
        <w:tc>
          <w:tcPr>
            <w:tcW w:w="860" w:type="dxa"/>
            <w:vAlign w:val="bottom"/>
            <w:tcBorders>
              <w:bottom w:val="single" w:sz="8" w:color="auto"/>
            </w:tcBorders>
          </w:tcPr>
          <w:p>
            <w:pPr>
              <w:spacing w:after="0"/>
              <w:rPr>
                <w:sz w:val="16"/>
                <w:szCs w:val="16"/>
                <w:color w:val="auto"/>
              </w:rPr>
            </w:pPr>
          </w:p>
        </w:tc>
        <w:tc>
          <w:tcPr>
            <w:tcW w:w="5340" w:type="dxa"/>
            <w:vAlign w:val="bottom"/>
            <w:gridSpan w:val="3"/>
          </w:tcPr>
          <w:p>
            <w:pPr>
              <w:ind w:left="60"/>
              <w:spacing w:after="0"/>
              <w:rPr>
                <w:sz w:val="20"/>
                <w:szCs w:val="20"/>
                <w:color w:val="auto"/>
              </w:rPr>
            </w:pPr>
            <w:r>
              <w:rPr>
                <w:rFonts w:ascii="Arial" w:cs="Arial" w:eastAsia="Arial" w:hAnsi="Arial"/>
                <w:sz w:val="17"/>
                <w:szCs w:val="17"/>
                <w:color w:val="auto"/>
                <w:w w:val="92"/>
              </w:rPr>
              <w:t>] shares (the “</w:t>
            </w:r>
            <w:r>
              <w:rPr>
                <w:rFonts w:ascii="Arial" w:cs="Arial" w:eastAsia="Arial" w:hAnsi="Arial"/>
                <w:sz w:val="17"/>
                <w:szCs w:val="17"/>
                <w:b w:val="1"/>
                <w:bCs w:val="1"/>
                <w:i w:val="1"/>
                <w:iCs w:val="1"/>
                <w:color w:val="auto"/>
                <w:w w:val="92"/>
              </w:rPr>
              <w:t>Shares</w:t>
            </w:r>
            <w:r>
              <w:rPr>
                <w:rFonts w:ascii="Arial" w:cs="Arial" w:eastAsia="Arial" w:hAnsi="Arial"/>
                <w:sz w:val="17"/>
                <w:szCs w:val="17"/>
                <w:color w:val="auto"/>
                <w:w w:val="92"/>
              </w:rPr>
              <w:t>”) of common stock, $0.001 par value per share, of the</w:t>
            </w:r>
          </w:p>
        </w:tc>
      </w:tr>
      <w:tr>
        <w:trPr>
          <w:trHeight w:val="190"/>
        </w:trPr>
        <w:tc>
          <w:tcPr>
            <w:tcW w:w="2500" w:type="dxa"/>
            <w:vAlign w:val="bottom"/>
          </w:tcPr>
          <w:p>
            <w:pPr>
              <w:spacing w:after="0" w:line="189" w:lineRule="exact"/>
              <w:rPr>
                <w:sz w:val="20"/>
                <w:szCs w:val="20"/>
                <w:color w:val="auto"/>
              </w:rPr>
            </w:pPr>
            <w:r>
              <w:rPr>
                <w:rFonts w:ascii="Arial" w:cs="Arial" w:eastAsia="Arial" w:hAnsi="Arial"/>
                <w:sz w:val="17"/>
                <w:szCs w:val="17"/>
                <w:color w:val="auto"/>
                <w:w w:val="94"/>
              </w:rPr>
              <w:t>Company (“</w:t>
            </w:r>
            <w:r>
              <w:rPr>
                <w:rFonts w:ascii="Arial" w:cs="Arial" w:eastAsia="Arial" w:hAnsi="Arial"/>
                <w:sz w:val="17"/>
                <w:szCs w:val="17"/>
                <w:b w:val="1"/>
                <w:bCs w:val="1"/>
                <w:i w:val="1"/>
                <w:iCs w:val="1"/>
                <w:color w:val="auto"/>
                <w:w w:val="94"/>
              </w:rPr>
              <w:t>Common Stock</w:t>
            </w:r>
            <w:r>
              <w:rPr>
                <w:rFonts w:ascii="Arial" w:cs="Arial" w:eastAsia="Arial" w:hAnsi="Arial"/>
                <w:sz w:val="17"/>
                <w:szCs w:val="17"/>
                <w:color w:val="auto"/>
                <w:w w:val="94"/>
              </w:rPr>
              <w:t>”) at $[</w:t>
            </w:r>
          </w:p>
        </w:tc>
        <w:tc>
          <w:tcPr>
            <w:tcW w:w="880" w:type="dxa"/>
            <w:vAlign w:val="bottom"/>
            <w:tcBorders>
              <w:bottom w:val="single" w:sz="8" w:color="auto"/>
            </w:tcBorders>
          </w:tcPr>
          <w:p>
            <w:pPr>
              <w:spacing w:after="0"/>
              <w:rPr>
                <w:sz w:val="16"/>
                <w:szCs w:val="16"/>
                <w:color w:val="auto"/>
              </w:rPr>
            </w:pPr>
          </w:p>
        </w:tc>
        <w:tc>
          <w:tcPr>
            <w:tcW w:w="6580" w:type="dxa"/>
            <w:vAlign w:val="bottom"/>
            <w:gridSpan w:val="3"/>
          </w:tcPr>
          <w:p>
            <w:pPr>
              <w:ind w:left="40"/>
              <w:spacing w:after="0" w:line="189" w:lineRule="exact"/>
              <w:rPr>
                <w:sz w:val="20"/>
                <w:szCs w:val="20"/>
                <w:color w:val="auto"/>
              </w:rPr>
            </w:pPr>
            <w:r>
              <w:rPr>
                <w:rFonts w:ascii="Arial" w:cs="Arial" w:eastAsia="Arial" w:hAnsi="Arial"/>
                <w:sz w:val="17"/>
                <w:szCs w:val="17"/>
                <w:color w:val="auto"/>
                <w:w w:val="93"/>
              </w:rPr>
              <w:t>] per Share. Unless earlier terminated, this option shall expire at 5:00 p.m., Eastern time, on [</w:t>
            </w:r>
          </w:p>
        </w:tc>
        <w:tc>
          <w:tcPr>
            <w:tcW w:w="860" w:type="dxa"/>
            <w:vAlign w:val="bottom"/>
            <w:tcBorders>
              <w:bottom w:val="single" w:sz="8" w:color="auto"/>
            </w:tcBorders>
          </w:tcPr>
          <w:p>
            <w:pPr>
              <w:spacing w:after="0"/>
              <w:rPr>
                <w:sz w:val="16"/>
                <w:szCs w:val="16"/>
                <w:color w:val="auto"/>
              </w:rPr>
            </w:pPr>
          </w:p>
        </w:tc>
        <w:tc>
          <w:tcPr>
            <w:tcW w:w="560" w:type="dxa"/>
            <w:vAlign w:val="bottom"/>
          </w:tcPr>
          <w:p>
            <w:pPr>
              <w:ind w:left="60"/>
              <w:spacing w:after="0" w:line="189" w:lineRule="exact"/>
              <w:rPr>
                <w:sz w:val="20"/>
                <w:szCs w:val="20"/>
                <w:color w:val="auto"/>
              </w:rPr>
            </w:pPr>
            <w:r>
              <w:rPr>
                <w:rFonts w:ascii="Arial" w:cs="Arial" w:eastAsia="Arial" w:hAnsi="Arial"/>
                <w:sz w:val="17"/>
                <w:szCs w:val="17"/>
                <w:color w:val="auto"/>
              </w:rPr>
              <w:t>] (the</w:t>
            </w:r>
          </w:p>
        </w:tc>
      </w:tr>
      <w:tr>
        <w:trPr>
          <w:trHeight w:val="228"/>
        </w:trPr>
        <w:tc>
          <w:tcPr>
            <w:tcW w:w="250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Final Exercise Date</w:t>
            </w:r>
            <w:r>
              <w:rPr>
                <w:rFonts w:ascii="Arial" w:cs="Arial" w:eastAsia="Arial" w:hAnsi="Arial"/>
                <w:sz w:val="17"/>
                <w:szCs w:val="17"/>
                <w:color w:val="auto"/>
              </w:rPr>
              <w:t>”).</w:t>
            </w:r>
          </w:p>
        </w:tc>
        <w:tc>
          <w:tcPr>
            <w:tcW w:w="8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r>
    </w:tbl>
    <w:p>
      <w:pPr>
        <w:spacing w:after="0" w:line="93" w:lineRule="exact"/>
        <w:rPr>
          <w:sz w:val="20"/>
          <w:szCs w:val="20"/>
          <w:color w:val="auto"/>
        </w:rPr>
      </w:pPr>
    </w:p>
    <w:p>
      <w:pPr>
        <w:jc w:val="both"/>
        <w:ind w:right="20" w:firstLine="218"/>
        <w:spacing w:after="0" w:line="273" w:lineRule="auto"/>
        <w:rPr>
          <w:sz w:val="20"/>
          <w:szCs w:val="20"/>
          <w:color w:val="auto"/>
        </w:rPr>
      </w:pPr>
      <w:r>
        <w:rPr>
          <w:rFonts w:ascii="Arial" w:cs="Arial" w:eastAsia="Arial" w:hAnsi="Arial"/>
          <w:sz w:val="17"/>
          <w:szCs w:val="17"/>
          <w:color w:val="auto"/>
        </w:rPr>
        <w:t>It is intended that the option evidenced by this agreement shall not be an incentive stock option as defined in Section 422 of the Internal Revenue Code of 1986, as amended, and any regulations promulgated thereunder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Except as otherwise indicated by the context, the term “Participant”, as used in this option, shall be deemed to include any person who acquires the right to exercise this option validly under its terms.</w:t>
      </w:r>
    </w:p>
    <w:p>
      <w:pPr>
        <w:spacing w:after="0" w:line="171" w:lineRule="exact"/>
        <w:rPr>
          <w:sz w:val="20"/>
          <w:szCs w:val="20"/>
          <w:color w:val="auto"/>
        </w:rPr>
      </w:pPr>
    </w:p>
    <w:p>
      <w:pPr>
        <w:ind w:left="180" w:hanging="175"/>
        <w:spacing w:after="0"/>
        <w:tabs>
          <w:tab w:leader="none" w:pos="180"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option will become exercisable (“</w:t>
      </w:r>
      <w:r>
        <w:rPr>
          <w:rFonts w:ascii="Arial" w:cs="Arial" w:eastAsia="Arial" w:hAnsi="Arial"/>
          <w:sz w:val="17"/>
          <w:szCs w:val="17"/>
          <w:b w:val="1"/>
          <w:bCs w:val="1"/>
          <w:i w:val="1"/>
          <w:iCs w:val="1"/>
          <w:color w:val="auto"/>
        </w:rPr>
        <w:t>vest</w:t>
      </w:r>
      <w:r>
        <w:rPr>
          <w:rFonts w:ascii="Arial" w:cs="Arial" w:eastAsia="Arial" w:hAnsi="Arial"/>
          <w:sz w:val="17"/>
          <w:szCs w:val="17"/>
          <w:color w:val="auto"/>
        </w:rPr>
        <w:t>”) [insert vesting schedule].</w:t>
      </w:r>
    </w:p>
    <w:p>
      <w:pPr>
        <w:spacing w:after="0" w:line="119" w:lineRule="exact"/>
        <w:rPr>
          <w:sz w:val="20"/>
          <w:szCs w:val="20"/>
          <w:color w:val="auto"/>
        </w:rPr>
      </w:pPr>
    </w:p>
    <w:p>
      <w:pPr>
        <w:ind w:right="40" w:firstLine="215"/>
        <w:spacing w:after="0" w:line="273" w:lineRule="auto"/>
        <w:rPr>
          <w:sz w:val="20"/>
          <w:szCs w:val="20"/>
          <w:color w:val="auto"/>
        </w:rPr>
      </w:pPr>
      <w:r>
        <w:rPr>
          <w:rFonts w:ascii="Arial" w:cs="Arial" w:eastAsia="Arial" w:hAnsi="Arial"/>
          <w:sz w:val="17"/>
          <w:szCs w:val="17"/>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71" w:lineRule="exact"/>
        <w:rPr>
          <w:sz w:val="20"/>
          <w:szCs w:val="20"/>
          <w:color w:val="auto"/>
        </w:rPr>
      </w:pPr>
    </w:p>
    <w:p>
      <w:pPr>
        <w:ind w:left="180" w:hanging="175"/>
        <w:spacing w:after="0"/>
        <w:tabs>
          <w:tab w:leader="none" w:pos="180"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right="180" w:firstLine="223"/>
        <w:spacing w:after="0" w:line="267" w:lineRule="auto"/>
        <w:tabs>
          <w:tab w:leader="none" w:pos="455" w:val="left"/>
        </w:tabs>
        <w:numPr>
          <w:ilvl w:val="1"/>
          <w:numId w:val="362"/>
        </w:numPr>
        <w:rPr>
          <w:rFonts w:ascii="Arial" w:cs="Arial" w:eastAsia="Arial" w:hAnsi="Arial"/>
          <w:sz w:val="17"/>
          <w:szCs w:val="17"/>
          <w:color w:val="auto"/>
        </w:rPr>
      </w:pPr>
      <w:r>
        <w:rPr>
          <w:rFonts w:ascii="Arial" w:cs="Arial" w:eastAsia="Arial" w:hAnsi="Arial"/>
          <w:sz w:val="17"/>
          <w:szCs w:val="17"/>
          <w:u w:val="single" w:color="auto"/>
          <w:color w:val="auto"/>
        </w:rPr>
        <w:t>Form of Exercise</w:t>
      </w:r>
      <w:r>
        <w:rPr>
          <w:rFonts w:ascii="Arial" w:cs="Arial" w:eastAsia="Arial" w:hAnsi="Arial"/>
          <w:sz w:val="17"/>
          <w:szCs w:val="17"/>
          <w:color w:val="auto"/>
        </w:rPr>
        <w:t xml:space="preserve">. Each election to exercise this option shall be in writing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in another form as prescribed by the Company,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w:t>
      </w:r>
    </w:p>
    <w:p>
      <w:pPr>
        <w:spacing w:after="0" w:line="72" w:lineRule="exact"/>
        <w:rPr>
          <w:rFonts w:ascii="Arial" w:cs="Arial" w:eastAsia="Arial" w:hAnsi="Arial"/>
          <w:sz w:val="17"/>
          <w:szCs w:val="17"/>
          <w:color w:val="auto"/>
        </w:rPr>
      </w:pPr>
    </w:p>
    <w:p>
      <w:pPr>
        <w:ind w:right="60" w:firstLine="223"/>
        <w:spacing w:after="0" w:line="267" w:lineRule="auto"/>
        <w:tabs>
          <w:tab w:leader="none" w:pos="465" w:val="left"/>
        </w:tabs>
        <w:numPr>
          <w:ilvl w:val="1"/>
          <w:numId w:val="362"/>
        </w:numPr>
        <w:rPr>
          <w:rFonts w:ascii="Arial" w:cs="Arial" w:eastAsia="Arial" w:hAnsi="Arial"/>
          <w:sz w:val="17"/>
          <w:szCs w:val="17"/>
          <w:color w:val="auto"/>
        </w:rPr>
      </w:pPr>
      <w:r>
        <w:rPr>
          <w:rFonts w:ascii="Arial" w:cs="Arial" w:eastAsia="Arial" w:hAnsi="Arial"/>
          <w:sz w:val="17"/>
          <w:szCs w:val="17"/>
          <w:u w:val="single" w:color="auto"/>
          <w:color w:val="auto"/>
        </w:rPr>
        <w:t>Continuous Relationship with the Company Required</w:t>
      </w:r>
      <w:r>
        <w:rPr>
          <w:rFonts w:ascii="Arial" w:cs="Arial" w:eastAsia="Arial" w:hAnsi="Arial"/>
          <w:sz w:val="17"/>
          <w:szCs w:val="17"/>
          <w:color w:val="auto"/>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other entity the employees, officers, directors, consultants, or advisors of which are eligible to receive option grants under the Plan (an “</w:t>
      </w:r>
      <w:r>
        <w:rPr>
          <w:rFonts w:ascii="Arial" w:cs="Arial" w:eastAsia="Arial" w:hAnsi="Arial"/>
          <w:sz w:val="17"/>
          <w:szCs w:val="17"/>
          <w:b w:val="1"/>
          <w:bCs w:val="1"/>
          <w:i w:val="1"/>
          <w:iCs w:val="1"/>
          <w:color w:val="auto"/>
        </w:rPr>
        <w:t>Eligible Participant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7254875" cy="209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394" w:name="page395"/>
    <w:bookmarkEnd w:id="394"/>
    <w:p>
      <w:pPr>
        <w:ind w:left="460" w:hanging="237"/>
        <w:spacing w:after="0"/>
        <w:tabs>
          <w:tab w:leader="none" w:pos="460" w:val="left"/>
        </w:tabs>
        <w:numPr>
          <w:ilvl w:val="1"/>
          <w:numId w:val="363"/>
        </w:numPr>
        <w:rPr>
          <w:rFonts w:ascii="Arial" w:cs="Arial" w:eastAsia="Arial" w:hAnsi="Arial"/>
          <w:sz w:val="15"/>
          <w:szCs w:val="15"/>
          <w:color w:val="auto"/>
        </w:rPr>
      </w:pPr>
      <w:r>
        <w:rPr>
          <w:rFonts w:ascii="Arial" w:cs="Arial" w:eastAsia="Arial" w:hAnsi="Arial"/>
          <w:sz w:val="15"/>
          <w:szCs w:val="15"/>
          <w:u w:val="single" w:color="auto"/>
          <w:color w:val="auto"/>
        </w:rPr>
        <w:t>Termination of Relationship with the Company</w:t>
      </w:r>
      <w:r>
        <w:rPr>
          <w:rFonts w:ascii="Arial" w:cs="Arial" w:eastAsia="Arial" w:hAnsi="Arial"/>
          <w:sz w:val="15"/>
          <w:szCs w:val="15"/>
          <w:color w:val="auto"/>
        </w:rPr>
        <w:t>. If the Participant ceases to be an Eligible Participant for any reason, then, except as provided in paragraphs</w:t>
      </w:r>
    </w:p>
    <w:p>
      <w:pPr>
        <w:spacing w:after="0" w:line="49" w:lineRule="exact"/>
        <w:rPr>
          <w:rFonts w:ascii="Arial" w:cs="Arial" w:eastAsia="Arial" w:hAnsi="Arial"/>
          <w:sz w:val="15"/>
          <w:szCs w:val="15"/>
          <w:color w:val="auto"/>
        </w:rPr>
      </w:pPr>
    </w:p>
    <w:p>
      <w:pPr>
        <w:ind w:right="260" w:firstLine="5"/>
        <w:spacing w:after="0" w:line="261" w:lineRule="auto"/>
        <w:tabs>
          <w:tab w:leader="none" w:pos="247"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and (e) below, the right to exercise this option shall terminate three months after such cessation (but in no event after the Final Exercise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spacing w:after="0" w:line="77" w:lineRule="exact"/>
        <w:rPr>
          <w:rFonts w:ascii="Arial" w:cs="Arial" w:eastAsia="Arial" w:hAnsi="Arial"/>
          <w:sz w:val="17"/>
          <w:szCs w:val="17"/>
          <w:color w:val="auto"/>
        </w:rPr>
      </w:pPr>
    </w:p>
    <w:p>
      <w:pPr>
        <w:ind w:firstLine="223"/>
        <w:spacing w:after="0" w:line="285" w:lineRule="auto"/>
        <w:tabs>
          <w:tab w:leader="none" w:pos="465"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Exercise Period Upon Death or Disability</w:t>
      </w:r>
      <w:r>
        <w:rPr>
          <w:rFonts w:ascii="Arial" w:cs="Arial" w:eastAsia="Arial" w:hAnsi="Arial"/>
          <w:sz w:val="16"/>
          <w:szCs w:val="16"/>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59" w:lineRule="exact"/>
        <w:rPr>
          <w:rFonts w:ascii="Arial" w:cs="Arial" w:eastAsia="Arial" w:hAnsi="Arial"/>
          <w:sz w:val="16"/>
          <w:szCs w:val="16"/>
          <w:color w:val="auto"/>
        </w:rPr>
      </w:pPr>
    </w:p>
    <w:p>
      <w:pPr>
        <w:ind w:right="80" w:firstLine="223"/>
        <w:spacing w:after="0" w:line="289" w:lineRule="auto"/>
        <w:tabs>
          <w:tab w:leader="none" w:pos="455" w:val="left"/>
        </w:tabs>
        <w:numPr>
          <w:ilvl w:val="1"/>
          <w:numId w:val="364"/>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prior to the Final Exercise Date, the Participant’s employment or other relationship with the Company is terminated by the Company for Cause (as defined in the Plan), the right to exercise this option shall terminate immediately upon the effective date of such termination of employment or other relationship. [If the Participant is party to an employment, consulting or severance agreement with the Company that contains a definition of “cause” for termination of employment or other relationship, “Cause” shall have the meaning ascribed to such term in such agreement.]</w:t>
      </w:r>
    </w:p>
    <w:p>
      <w:pPr>
        <w:spacing w:after="0" w:line="161" w:lineRule="exact"/>
        <w:rPr>
          <w:sz w:val="20"/>
          <w:szCs w:val="20"/>
          <w:color w:val="auto"/>
        </w:rPr>
      </w:pPr>
    </w:p>
    <w:p>
      <w:pPr>
        <w:ind w:left="180" w:hanging="175"/>
        <w:spacing w:after="0"/>
        <w:tabs>
          <w:tab w:leader="none" w:pos="180"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w:t>
      </w:r>
    </w:p>
    <w:p>
      <w:pPr>
        <w:spacing w:after="0" w:line="119" w:lineRule="exact"/>
        <w:rPr>
          <w:sz w:val="20"/>
          <w:szCs w:val="20"/>
          <w:color w:val="auto"/>
        </w:rPr>
      </w:pPr>
    </w:p>
    <w:p>
      <w:pPr>
        <w:ind w:right="360" w:firstLine="218"/>
        <w:spacing w:after="0" w:line="289" w:lineRule="auto"/>
        <w:rPr>
          <w:sz w:val="20"/>
          <w:szCs w:val="20"/>
          <w:color w:val="auto"/>
        </w:rPr>
      </w:pPr>
      <w:r>
        <w:rPr>
          <w:rFonts w:ascii="Arial" w:cs="Arial" w:eastAsia="Arial" w:hAnsi="Arial"/>
          <w:sz w:val="17"/>
          <w:szCs w:val="17"/>
          <w:color w:val="auto"/>
        </w:rPr>
        <w:t>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58" w:lineRule="exact"/>
        <w:rPr>
          <w:sz w:val="20"/>
          <w:szCs w:val="20"/>
          <w:color w:val="auto"/>
        </w:rPr>
      </w:pPr>
    </w:p>
    <w:p>
      <w:pPr>
        <w:ind w:left="180" w:hanging="175"/>
        <w:spacing w:after="0"/>
        <w:tabs>
          <w:tab w:leader="none" w:pos="180"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w:t>
      </w:r>
    </w:p>
    <w:p>
      <w:pPr>
        <w:spacing w:after="0" w:line="119" w:lineRule="exact"/>
        <w:rPr>
          <w:sz w:val="20"/>
          <w:szCs w:val="20"/>
          <w:color w:val="auto"/>
        </w:rPr>
      </w:pPr>
    </w:p>
    <w:p>
      <w:pPr>
        <w:ind w:right="20" w:firstLine="215"/>
        <w:spacing w:after="0" w:line="280" w:lineRule="auto"/>
        <w:rPr>
          <w:sz w:val="20"/>
          <w:szCs w:val="20"/>
          <w:color w:val="auto"/>
        </w:rPr>
      </w:pPr>
      <w:r>
        <w:rPr>
          <w:rFonts w:ascii="Arial" w:cs="Arial" w:eastAsia="Arial" w:hAnsi="Arial"/>
          <w:sz w:val="16"/>
          <w:szCs w:val="16"/>
          <w:color w:val="auto"/>
        </w:rPr>
        <w:t>This option may not be sold, assigned, transferred, pledged or otherwise encumbered by the Participant, either voluntarily or by operation of law, except by will or the laws of descent and distribution, and, during the lifetime of the Participant, shall be exercisable only by the Participant; provided, however, that the gratuitous transfer of this Option by the Participant to or for the benefit of any immediate family member, domestic partner, family trust or other entity established for the benefit of the Participant and/or an immediate family member thereof if, with respect to such proposed transferee, the Company would be eligible to use a Registration Statement on Form S-8 for the registration of the sale of the Common Stock subject to such Option under the Securities Act of 1933, as amended; provided, further, that the Company shall not be required to recognize any such transfer until such time as the Participant and such authorized transferee shall, as a condition to such transfer, deliver to the Company a written instrument in form and substance satisfactory to the Company confirming that such transferee shall be bound by all of the terms and conditions of the Option; and, provided, further, that no option intended to</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13" w:right="259" w:bottom="1440" w:gutter="0" w:footer="0" w:header="0"/>
        </w:sectPr>
      </w:pPr>
    </w:p>
    <w:bookmarkStart w:id="395" w:name="page396"/>
    <w:bookmarkEnd w:id="395"/>
    <w:p>
      <w:pPr>
        <w:spacing w:after="0"/>
        <w:rPr>
          <w:sz w:val="20"/>
          <w:szCs w:val="20"/>
          <w:color w:val="auto"/>
        </w:rPr>
      </w:pPr>
      <w:r>
        <w:rPr>
          <w:rFonts w:ascii="Arial" w:cs="Arial" w:eastAsia="Arial" w:hAnsi="Arial"/>
          <w:sz w:val="17"/>
          <w:szCs w:val="17"/>
          <w:color w:val="auto"/>
        </w:rPr>
        <w:t>be an incentive stock option shall be transferable unless the Board of Directors shall otherwise permit.</w:t>
      </w:r>
    </w:p>
    <w:p>
      <w:pPr>
        <w:spacing w:after="0" w:line="224" w:lineRule="exact"/>
        <w:rPr>
          <w:sz w:val="20"/>
          <w:szCs w:val="20"/>
          <w:color w:val="auto"/>
        </w:rPr>
      </w:pPr>
    </w:p>
    <w:p>
      <w:pPr>
        <w:ind w:left="180" w:hanging="175"/>
        <w:spacing w:after="0"/>
        <w:tabs>
          <w:tab w:leader="none" w:pos="180"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Provisions of the Plan</w:t>
      </w:r>
      <w:r>
        <w:rPr>
          <w:rFonts w:ascii="Arial" w:cs="Arial" w:eastAsia="Arial" w:hAnsi="Arial"/>
          <w:sz w:val="17"/>
          <w:szCs w:val="17"/>
          <w:color w:val="auto"/>
        </w:rPr>
        <w:t>.</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option is subject to the provisions of the Plan, a copy of which is furnished to the Participant with this option.</w:t>
      </w:r>
    </w:p>
    <w:p>
      <w:pPr>
        <w:spacing w:after="0" w:line="119" w:lineRule="exact"/>
        <w:rPr>
          <w:sz w:val="20"/>
          <w:szCs w:val="20"/>
          <w:color w:val="auto"/>
        </w:rPr>
      </w:pPr>
    </w:p>
    <w:p>
      <w:pPr>
        <w:ind w:firstLine="218"/>
        <w:spacing w:after="0" w:line="289" w:lineRule="auto"/>
        <w:rPr>
          <w:sz w:val="20"/>
          <w:szCs w:val="20"/>
          <w:color w:val="auto"/>
        </w:rPr>
      </w:pPr>
      <w:r>
        <w:rPr>
          <w:rFonts w:ascii="Arial" w:cs="Arial" w:eastAsia="Arial" w:hAnsi="Arial"/>
          <w:sz w:val="17"/>
          <w:szCs w:val="17"/>
          <w:color w:val="auto"/>
        </w:rPr>
        <w:t>IN WITNESS WHEREOF, the Company has caused this option to be executed under its corporate seal by its duly authorized officer. This option shall take effect as a sealed instrument.</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Emergent BioSolutions Inc.</w:t>
      </w:r>
    </w:p>
    <w:p>
      <w:pPr>
        <w:spacing w:after="0" w:line="224" w:lineRule="exact"/>
        <w:rPr>
          <w:sz w:val="20"/>
          <w:szCs w:val="20"/>
          <w:color w:val="auto"/>
        </w:rPr>
      </w:pPr>
    </w:p>
    <w:p>
      <w:pPr>
        <w:spacing w:after="0"/>
        <w:tabs>
          <w:tab w:leader="none" w:pos="51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16510</wp:posOffset>
            </wp:positionV>
            <wp:extent cx="2735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735580" cy="8255"/>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-7620</wp:posOffset>
            </wp:positionV>
            <wp:extent cx="5543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37807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16510</wp:posOffset>
            </wp:positionV>
            <wp:extent cx="23780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9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60"/>
          </w:cols>
          <w:pgMar w:left="240" w:top="913" w:right="599" w:bottom="1440" w:gutter="0" w:footer="0" w:header="0"/>
        </w:sectPr>
      </w:pPr>
    </w:p>
    <w:bookmarkStart w:id="396" w:name="page397"/>
    <w:bookmarkEnd w:id="396"/>
    <w:p>
      <w:pPr>
        <w:jc w:val="center"/>
        <w:ind w:right="-39"/>
        <w:spacing w:after="0"/>
        <w:rPr>
          <w:sz w:val="20"/>
          <w:szCs w:val="20"/>
          <w:color w:val="auto"/>
        </w:rPr>
      </w:pPr>
      <w:r>
        <w:rPr>
          <w:rFonts w:ascii="Arial" w:cs="Arial" w:eastAsia="Arial" w:hAnsi="Arial"/>
          <w:sz w:val="17"/>
          <w:szCs w:val="17"/>
          <w:color w:val="auto"/>
        </w:rPr>
        <w:t>PARTICIPANT’S ACCEPTANCE</w:t>
      </w:r>
    </w:p>
    <w:p>
      <w:pPr>
        <w:spacing w:after="0" w:line="119" w:lineRule="exact"/>
        <w:rPr>
          <w:sz w:val="20"/>
          <w:szCs w:val="20"/>
          <w:color w:val="auto"/>
        </w:rPr>
      </w:pPr>
    </w:p>
    <w:p>
      <w:pPr>
        <w:ind w:firstLine="215"/>
        <w:spacing w:after="0" w:line="289" w:lineRule="auto"/>
        <w:rPr>
          <w:sz w:val="20"/>
          <w:szCs w:val="20"/>
          <w:color w:val="auto"/>
        </w:rPr>
      </w:pPr>
      <w:r>
        <w:rPr>
          <w:rFonts w:ascii="Arial" w:cs="Arial" w:eastAsia="Arial" w:hAnsi="Arial"/>
          <w:sz w:val="17"/>
          <w:szCs w:val="17"/>
          <w:color w:val="auto"/>
        </w:rPr>
        <w:t>The undersigned hereby accepts the foregoing option and agrees to the terms and conditions thereof. The undersigned hereby acknowledges receipt of a copy of the Company’s 2006 Stock Incentive Plan.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3287395</wp:posOffset>
            </wp:positionH>
            <wp:positionV relativeFrom="paragraph">
              <wp:posOffset>149860</wp:posOffset>
            </wp:positionV>
            <wp:extent cx="29349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93497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16510</wp:posOffset>
            </wp:positionV>
            <wp:extent cx="25114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158115</wp:posOffset>
            </wp:positionV>
            <wp:extent cx="25114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7254875" cy="209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939" w:right="259" w:bottom="1440" w:gutter="0" w:footer="0" w:header="0"/>
        </w:sectPr>
      </w:pPr>
    </w:p>
    <w:bookmarkStart w:id="397" w:name="page398"/>
    <w:bookmarkEnd w:id="397"/>
    <w:p>
      <w:pPr>
        <w:jc w:val="right"/>
        <w:spacing w:after="0"/>
        <w:rPr>
          <w:sz w:val="20"/>
          <w:szCs w:val="20"/>
          <w:color w:val="auto"/>
        </w:rPr>
      </w:pPr>
      <w:r>
        <w:rPr>
          <w:rFonts w:ascii="Arial" w:cs="Arial" w:eastAsia="Arial" w:hAnsi="Arial"/>
          <w:sz w:val="17"/>
          <w:szCs w:val="17"/>
          <w:u w:val="single" w:color="auto"/>
          <w:color w:val="auto"/>
        </w:rPr>
        <w:t>Exhibit A</w:t>
      </w:r>
    </w:p>
    <w:p>
      <w:pPr>
        <w:spacing w:after="0" w:line="322"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NOTICE OF STOCK OPTION EXERCISE</w:t>
      </w:r>
    </w:p>
    <w:p>
      <w:pPr>
        <w:spacing w:after="0" w:line="1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-7620</wp:posOffset>
            </wp:positionV>
            <wp:extent cx="5543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Emergent BioSolutions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300 Professional Drive, Suite 250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Gaithersburg, MD 20879</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Attention: Treasurer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Dear Sir or Madam:</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 am the holder of a Nonstatutory Stock Option granted to me under the Emergent BioSolutions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2006 Stock Incentive Plan on</w:t>
      </w:r>
    </w:p>
    <w:p>
      <w:pPr>
        <w:spacing w:after="0" w:line="26" w:lineRule="exact"/>
        <w:rPr>
          <w:sz w:val="20"/>
          <w:szCs w:val="20"/>
          <w:color w:val="auto"/>
        </w:rPr>
      </w:pPr>
    </w:p>
    <w:p>
      <w:pPr>
        <w:ind w:left="920"/>
        <w:spacing w:after="0"/>
        <w:tabs>
          <w:tab w:leader="none" w:pos="3180" w:val="left"/>
        </w:tabs>
        <w:rPr>
          <w:sz w:val="20"/>
          <w:szCs w:val="20"/>
          <w:color w:val="auto"/>
        </w:rPr>
      </w:pPr>
      <w:r>
        <w:rPr>
          <w:rFonts w:ascii="Arial" w:cs="Arial" w:eastAsia="Arial" w:hAnsi="Arial"/>
          <w:sz w:val="17"/>
          <w:szCs w:val="17"/>
          <w:color w:val="auto"/>
        </w:rPr>
        <w:t>for the purchase of</w:t>
      </w:r>
      <w:r>
        <w:rPr>
          <w:sz w:val="20"/>
          <w:szCs w:val="20"/>
          <w:color w:val="auto"/>
        </w:rPr>
        <w:tab/>
      </w:r>
      <w:r>
        <w:rPr>
          <w:rFonts w:ascii="Arial" w:cs="Arial" w:eastAsia="Arial" w:hAnsi="Arial"/>
          <w:sz w:val="15"/>
          <w:szCs w:val="15"/>
          <w:color w:val="auto"/>
        </w:rPr>
        <w:t>shares of common stock, $0.001 par value per share, of the Company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at a purchase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5543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54355" cy="8255"/>
                    </a:xfrm>
                    <a:prstGeom prst="rect">
                      <a:avLst/>
                    </a:prstGeom>
                    <a:noFill/>
                  </pic:spPr>
                </pic:pic>
              </a:graphicData>
            </a:graphic>
          </wp:anchor>
        </w:drawing>
        <w:drawing>
          <wp:anchor simplePos="0" relativeHeight="251657728" behindDoc="1" locked="0" layoutInCell="0" allowOverlap="1">
            <wp:simplePos x="0" y="0"/>
            <wp:positionH relativeFrom="column">
              <wp:posOffset>1446530</wp:posOffset>
            </wp:positionH>
            <wp:positionV relativeFrom="paragraph">
              <wp:posOffset>-15240</wp:posOffset>
            </wp:positionV>
            <wp:extent cx="5543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ind w:left="1000" w:hanging="995"/>
        <w:spacing w:after="0"/>
        <w:tabs>
          <w:tab w:leader="none" w:pos="100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-15240</wp:posOffset>
            </wp:positionV>
            <wp:extent cx="5543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60" w:type="dxa"/>
            <w:vAlign w:val="bottom"/>
            <w:gridSpan w:val="2"/>
          </w:tcPr>
          <w:p>
            <w:pPr>
              <w:ind w:left="220"/>
              <w:spacing w:after="0"/>
              <w:rPr>
                <w:sz w:val="20"/>
                <w:szCs w:val="20"/>
                <w:color w:val="auto"/>
              </w:rPr>
            </w:pPr>
            <w:r>
              <w:rPr>
                <w:rFonts w:ascii="Arial" w:cs="Arial" w:eastAsia="Arial" w:hAnsi="Arial"/>
                <w:sz w:val="17"/>
                <w:szCs w:val="17"/>
                <w:color w:val="auto"/>
                <w:w w:val="93"/>
              </w:rPr>
              <w:t>I hereby exercise my option to purchase</w:t>
            </w:r>
          </w:p>
        </w:tc>
        <w:tc>
          <w:tcPr>
            <w:tcW w:w="880" w:type="dxa"/>
            <w:vAlign w:val="bottom"/>
          </w:tcPr>
          <w:p>
            <w:pPr>
              <w:spacing w:after="0"/>
              <w:rPr>
                <w:sz w:val="16"/>
                <w:szCs w:val="16"/>
                <w:color w:val="auto"/>
              </w:rPr>
            </w:pPr>
          </w:p>
        </w:tc>
        <w:tc>
          <w:tcPr>
            <w:tcW w:w="372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shares of Common Stock, for which I have enclosed</w:t>
            </w:r>
          </w:p>
        </w:tc>
        <w:tc>
          <w:tcPr>
            <w:tcW w:w="88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in the amount of $</w:t>
            </w:r>
          </w:p>
        </w:tc>
        <w:tc>
          <w:tcPr>
            <w:tcW w:w="1040" w:type="dxa"/>
            <w:vAlign w:val="bottom"/>
            <w:gridSpan w:val="2"/>
          </w:tcPr>
          <w:p>
            <w:pPr>
              <w:ind w:left="420"/>
              <w:spacing w:after="0"/>
              <w:rPr>
                <w:sz w:val="20"/>
                <w:szCs w:val="20"/>
                <w:color w:val="auto"/>
              </w:rPr>
            </w:pPr>
            <w:r>
              <w:rPr>
                <w:rFonts w:ascii="Arial" w:cs="Arial" w:eastAsia="Arial" w:hAnsi="Arial"/>
                <w:sz w:val="15"/>
                <w:szCs w:val="15"/>
                <w:color w:val="auto"/>
                <w:w w:val="85"/>
              </w:rPr>
              <w:t>2</w:t>
            </w:r>
            <w:r>
              <w:rPr>
                <w:rFonts w:ascii="Arial" w:cs="Arial" w:eastAsia="Arial" w:hAnsi="Arial"/>
                <w:sz w:val="17"/>
                <w:szCs w:val="17"/>
                <w:color w:val="auto"/>
                <w:w w:val="85"/>
              </w:rPr>
              <w:t>. Please</w:t>
            </w:r>
          </w:p>
        </w:tc>
      </w:tr>
      <w:tr>
        <w:trPr>
          <w:trHeight w:val="228"/>
        </w:trPr>
        <w:tc>
          <w:tcPr>
            <w:tcW w:w="3060" w:type="dxa"/>
            <w:vAlign w:val="bottom"/>
            <w:gridSpan w:val="2"/>
          </w:tcPr>
          <w:p>
            <w:pPr>
              <w:spacing w:after="0"/>
              <w:rPr>
                <w:sz w:val="20"/>
                <w:szCs w:val="20"/>
                <w:color w:val="auto"/>
              </w:rPr>
            </w:pPr>
            <w:r>
              <w:rPr>
                <w:rFonts w:ascii="Arial" w:cs="Arial" w:eastAsia="Arial" w:hAnsi="Arial"/>
                <w:sz w:val="17"/>
                <w:szCs w:val="17"/>
                <w:color w:val="auto"/>
              </w:rPr>
              <w:t>register my stock certificate as follows:</w:t>
            </w:r>
          </w:p>
        </w:tc>
        <w:tc>
          <w:tcPr>
            <w:tcW w:w="8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r>
      <w:tr>
        <w:trPr>
          <w:trHeight w:val="406"/>
        </w:trPr>
        <w:tc>
          <w:tcPr>
            <w:tcW w:w="1080" w:type="dxa"/>
            <w:vAlign w:val="bottom"/>
          </w:tcPr>
          <w:p>
            <w:pPr>
              <w:ind w:left="220"/>
              <w:spacing w:after="0"/>
              <w:rPr>
                <w:sz w:val="20"/>
                <w:szCs w:val="20"/>
                <w:color w:val="auto"/>
              </w:rPr>
            </w:pPr>
            <w:r>
              <w:rPr>
                <w:rFonts w:ascii="Arial" w:cs="Arial" w:eastAsia="Arial" w:hAnsi="Arial"/>
                <w:sz w:val="17"/>
                <w:szCs w:val="17"/>
                <w:color w:val="auto"/>
              </w:rPr>
              <w:t>Name(s):</w:t>
            </w:r>
          </w:p>
        </w:tc>
        <w:tc>
          <w:tcPr>
            <w:tcW w:w="1980" w:type="dxa"/>
            <w:vAlign w:val="bottom"/>
          </w:tcPr>
          <w:p>
            <w:pPr>
              <w:spacing w:after="0"/>
              <w:rPr>
                <w:sz w:val="24"/>
                <w:szCs w:val="24"/>
                <w:color w:val="auto"/>
              </w:rPr>
            </w:pPr>
          </w:p>
        </w:tc>
        <w:tc>
          <w:tcPr>
            <w:tcW w:w="4600" w:type="dxa"/>
            <w:vAlign w:val="bottom"/>
            <w:gridSpan w:val="3"/>
          </w:tcPr>
          <w:p>
            <w:pPr>
              <w:jc w:val="right"/>
              <w:ind w:right="2780"/>
              <w:spacing w:after="0"/>
              <w:rPr>
                <w:sz w:val="20"/>
                <w:szCs w:val="20"/>
                <w:color w:val="auto"/>
              </w:rPr>
            </w:pPr>
            <w:r>
              <w:rPr>
                <w:rFonts w:ascii="Arial" w:cs="Arial" w:eastAsia="Arial" w:hAnsi="Arial"/>
                <w:sz w:val="15"/>
                <w:szCs w:val="15"/>
                <w:color w:val="auto"/>
              </w:rPr>
              <w:t>3</w:t>
            </w: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0"/>
        </w:trPr>
        <w:tc>
          <w:tcPr>
            <w:tcW w:w="1080" w:type="dxa"/>
            <w:vAlign w:val="bottom"/>
          </w:tcPr>
          <w:p>
            <w:pPr>
              <w:spacing w:after="0"/>
              <w:rPr>
                <w:sz w:val="16"/>
                <w:szCs w:val="16"/>
                <w:color w:val="auto"/>
              </w:rPr>
            </w:pPr>
          </w:p>
        </w:tc>
        <w:tc>
          <w:tcPr>
            <w:tcW w:w="19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2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0"/>
        </w:trPr>
        <w:tc>
          <w:tcPr>
            <w:tcW w:w="1080" w:type="dxa"/>
            <w:vAlign w:val="bottom"/>
          </w:tcPr>
          <w:p>
            <w:pPr>
              <w:ind w:left="220"/>
              <w:spacing w:after="0" w:line="189" w:lineRule="exact"/>
              <w:rPr>
                <w:sz w:val="20"/>
                <w:szCs w:val="20"/>
                <w:color w:val="auto"/>
              </w:rPr>
            </w:pPr>
            <w:r>
              <w:rPr>
                <w:rFonts w:ascii="Arial" w:cs="Arial" w:eastAsia="Arial" w:hAnsi="Arial"/>
                <w:sz w:val="17"/>
                <w:szCs w:val="17"/>
                <w:color w:val="auto"/>
              </w:rPr>
              <w:t>Address:</w:t>
            </w:r>
          </w:p>
        </w:tc>
        <w:tc>
          <w:tcPr>
            <w:tcW w:w="19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0"/>
        </w:trPr>
        <w:tc>
          <w:tcPr>
            <w:tcW w:w="1080" w:type="dxa"/>
            <w:vAlign w:val="bottom"/>
          </w:tcPr>
          <w:p>
            <w:pPr>
              <w:ind w:left="220"/>
              <w:spacing w:after="0" w:line="189" w:lineRule="exact"/>
              <w:rPr>
                <w:sz w:val="20"/>
                <w:szCs w:val="20"/>
                <w:color w:val="auto"/>
              </w:rPr>
            </w:pPr>
            <w:r>
              <w:rPr>
                <w:rFonts w:ascii="Arial" w:cs="Arial" w:eastAsia="Arial" w:hAnsi="Arial"/>
                <w:sz w:val="17"/>
                <w:szCs w:val="17"/>
                <w:color w:val="auto"/>
              </w:rPr>
              <w:t>Tax I.D. #:</w:t>
            </w:r>
          </w:p>
        </w:tc>
        <w:tc>
          <w:tcPr>
            <w:tcW w:w="1980" w:type="dxa"/>
            <w:vAlign w:val="bottom"/>
          </w:tcPr>
          <w:p>
            <w:pPr>
              <w:spacing w:after="0"/>
              <w:rPr>
                <w:sz w:val="16"/>
                <w:szCs w:val="16"/>
                <w:color w:val="auto"/>
              </w:rPr>
            </w:pPr>
          </w:p>
        </w:tc>
        <w:tc>
          <w:tcPr>
            <w:tcW w:w="4600" w:type="dxa"/>
            <w:vAlign w:val="bottom"/>
            <w:gridSpan w:val="3"/>
          </w:tcPr>
          <w:p>
            <w:pPr>
              <w:jc w:val="right"/>
              <w:ind w:right="2780"/>
              <w:spacing w:after="0"/>
              <w:rPr>
                <w:sz w:val="20"/>
                <w:szCs w:val="20"/>
                <w:color w:val="auto"/>
              </w:rPr>
            </w:pPr>
            <w:r>
              <w:rPr>
                <w:rFonts w:ascii="Arial" w:cs="Arial" w:eastAsia="Arial" w:hAnsi="Arial"/>
                <w:sz w:val="15"/>
                <w:szCs w:val="15"/>
                <w:color w:val="auto"/>
              </w:rPr>
              <w:t>4</w:t>
            </w: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282575</wp:posOffset>
            </wp:positionV>
            <wp:extent cx="254444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130556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361" w:lineRule="exact"/>
        <w:rPr>
          <w:sz w:val="20"/>
          <w:szCs w:val="20"/>
          <w:color w:val="auto"/>
        </w:rPr>
      </w:pPr>
    </w:p>
    <w:p>
      <w:pPr>
        <w:ind w:left="460" w:hanging="455"/>
        <w:spacing w:after="0"/>
        <w:tabs>
          <w:tab w:leader="none" w:pos="460" w:val="left"/>
        </w:tabs>
        <w:numPr>
          <w:ilvl w:val="0"/>
          <w:numId w:val="369"/>
        </w:numPr>
        <w:rPr>
          <w:rFonts w:ascii="Arial" w:cs="Arial" w:eastAsia="Arial" w:hAnsi="Arial"/>
          <w:sz w:val="15"/>
          <w:szCs w:val="15"/>
          <w:color w:val="auto"/>
        </w:rPr>
      </w:pPr>
      <w:r>
        <w:rPr>
          <w:rFonts w:ascii="Arial" w:cs="Arial" w:eastAsia="Arial" w:hAnsi="Arial"/>
          <w:sz w:val="17"/>
          <w:szCs w:val="17"/>
          <w:color w:val="auto"/>
        </w:rPr>
        <w:t>Enter “cash” or “a check.”</w:t>
      </w:r>
    </w:p>
    <w:p>
      <w:pPr>
        <w:spacing w:after="0" w:line="80" w:lineRule="exact"/>
        <w:rPr>
          <w:sz w:val="20"/>
          <w:szCs w:val="20"/>
          <w:color w:val="auto"/>
        </w:rPr>
      </w:pPr>
    </w:p>
    <w:p>
      <w:pPr>
        <w:ind w:left="460" w:hanging="455"/>
        <w:spacing w:after="0"/>
        <w:tabs>
          <w:tab w:leader="none" w:pos="460" w:val="left"/>
        </w:tabs>
        <w:numPr>
          <w:ilvl w:val="0"/>
          <w:numId w:val="370"/>
        </w:numPr>
        <w:rPr>
          <w:rFonts w:ascii="Arial" w:cs="Arial" w:eastAsia="Arial" w:hAnsi="Arial"/>
          <w:sz w:val="15"/>
          <w:szCs w:val="15"/>
          <w:color w:val="auto"/>
        </w:rPr>
      </w:pPr>
      <w:r>
        <w:rPr>
          <w:rFonts w:ascii="Arial" w:cs="Arial" w:eastAsia="Arial" w:hAnsi="Arial"/>
          <w:sz w:val="17"/>
          <w:szCs w:val="17"/>
          <w:color w:val="auto"/>
        </w:rPr>
        <w:t>Enter the dollar amount (price per share times the number of shares to be purchased).</w:t>
      </w:r>
    </w:p>
    <w:p>
      <w:pPr>
        <w:spacing w:after="0" w:line="80" w:lineRule="exact"/>
        <w:rPr>
          <w:sz w:val="20"/>
          <w:szCs w:val="20"/>
          <w:color w:val="auto"/>
        </w:rPr>
      </w:pPr>
    </w:p>
    <w:p>
      <w:pPr>
        <w:ind w:left="460" w:hanging="455"/>
        <w:spacing w:after="0"/>
        <w:tabs>
          <w:tab w:leader="none" w:pos="460" w:val="left"/>
        </w:tabs>
        <w:numPr>
          <w:ilvl w:val="0"/>
          <w:numId w:val="371"/>
        </w:numPr>
        <w:rPr>
          <w:rFonts w:ascii="Arial" w:cs="Arial" w:eastAsia="Arial" w:hAnsi="Arial"/>
          <w:sz w:val="13"/>
          <w:szCs w:val="13"/>
          <w:color w:val="auto"/>
        </w:rPr>
      </w:pPr>
      <w:r>
        <w:rPr>
          <w:rFonts w:ascii="Arial" w:cs="Arial" w:eastAsia="Arial" w:hAnsi="Arial"/>
          <w:sz w:val="15"/>
          <w:szCs w:val="15"/>
          <w:color w:val="auto"/>
        </w:rPr>
        <w:t>Enter name(s) to appear on stock certificate: (a) Your name only; (b) Your name and other name (i.e., John Doe and Jane Doe, Joint Tenants With Right of</w:t>
      </w:r>
    </w:p>
    <w:p>
      <w:pPr>
        <w:spacing w:after="0" w:line="49" w:lineRule="exact"/>
        <w:rPr>
          <w:rFonts w:ascii="Arial" w:cs="Arial" w:eastAsia="Arial" w:hAnsi="Arial"/>
          <w:sz w:val="13"/>
          <w:szCs w:val="13"/>
          <w:color w:val="auto"/>
        </w:rPr>
      </w:pPr>
    </w:p>
    <w:p>
      <w:pPr>
        <w:ind w:left="460" w:right="660"/>
        <w:spacing w:after="0" w:line="274" w:lineRule="auto"/>
        <w:rPr>
          <w:rFonts w:ascii="Arial" w:cs="Arial" w:eastAsia="Arial" w:hAnsi="Arial"/>
          <w:sz w:val="13"/>
          <w:szCs w:val="13"/>
          <w:color w:val="auto"/>
        </w:rPr>
      </w:pPr>
      <w:r>
        <w:rPr>
          <w:rFonts w:ascii="Arial" w:cs="Arial" w:eastAsia="Arial" w:hAnsi="Arial"/>
          <w:sz w:val="17"/>
          <w:szCs w:val="17"/>
          <w:color w:val="auto"/>
        </w:rPr>
        <w:t>Survivorship); or (c) A Child’s name, with you as custodian (i.e., Jane Doe, Custodian for Tommy Doe). Note: There may be income and/or gift tax consequences of registering shares in a Child’s name.</w:t>
      </w:r>
    </w:p>
    <w:p>
      <w:pPr>
        <w:spacing w:after="0" w:line="26" w:lineRule="exact"/>
        <w:rPr>
          <w:sz w:val="20"/>
          <w:szCs w:val="20"/>
          <w:color w:val="auto"/>
        </w:rPr>
      </w:pPr>
    </w:p>
    <w:p>
      <w:pPr>
        <w:ind w:left="460" w:hanging="455"/>
        <w:spacing w:after="0"/>
        <w:tabs>
          <w:tab w:leader="none" w:pos="460" w:val="left"/>
        </w:tabs>
        <w:numPr>
          <w:ilvl w:val="0"/>
          <w:numId w:val="372"/>
        </w:numPr>
        <w:rPr>
          <w:rFonts w:ascii="Arial" w:cs="Arial" w:eastAsia="Arial" w:hAnsi="Arial"/>
          <w:sz w:val="15"/>
          <w:szCs w:val="15"/>
          <w:color w:val="auto"/>
        </w:rPr>
      </w:pPr>
      <w:r>
        <w:rPr>
          <w:rFonts w:ascii="Arial" w:cs="Arial" w:eastAsia="Arial" w:hAnsi="Arial"/>
          <w:sz w:val="17"/>
          <w:szCs w:val="17"/>
          <w:color w:val="auto"/>
        </w:rPr>
        <w:t>Social Security Number(s) of Holder(s).</w:t>
      </w:r>
    </w:p>
    <w:p>
      <w:pPr>
        <w:sectPr>
          <w:pgSz w:w="11900" w:h="16838" w:orient="portrait"/>
          <w:cols w:equalWidth="0" w:num="1">
            <w:col w:w="11420"/>
          </w:cols>
          <w:pgMar w:left="240" w:top="913" w:right="239" w:bottom="1440" w:gutter="0" w:footer="0" w:header="0"/>
        </w:sectPr>
      </w:pPr>
    </w:p>
    <w:bookmarkStart w:id="398" w:name="page399"/>
    <w:bookmarkEnd w:id="398"/>
    <w:p>
      <w:pPr>
        <w:jc w:val="right"/>
        <w:spacing w:after="0"/>
        <w:rPr>
          <w:sz w:val="20"/>
          <w:szCs w:val="20"/>
          <w:color w:val="auto"/>
        </w:rPr>
      </w:pPr>
      <w:r>
        <w:rPr>
          <w:rFonts w:ascii="Arial" w:cs="Arial" w:eastAsia="Arial" w:hAnsi="Arial"/>
          <w:sz w:val="17"/>
          <w:szCs w:val="17"/>
          <w:color w:val="auto"/>
        </w:rPr>
        <w:t>Exhibit 23.1</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25" w:lineRule="exact"/>
        <w:rPr>
          <w:sz w:val="20"/>
          <w:szCs w:val="20"/>
          <w:color w:val="auto"/>
        </w:rPr>
      </w:pPr>
    </w:p>
    <w:p>
      <w:pPr>
        <w:jc w:val="both"/>
        <w:ind w:right="460"/>
        <w:spacing w:after="0" w:line="273"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May 23, 2006, except Note 17, as to which the date is October 27, 2006, in the Registration Statement (Amendment No. 5 to Form S-1 No. 333-136622) and related Prospectus of Emergent BioSolutions Inc. and Subsidiaries for the registration of 5,750,000 shares of its common stock.</w:t>
      </w:r>
    </w:p>
    <w:p>
      <w:pPr>
        <w:spacing w:after="0" w:line="171"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/s/ Ernst &amp; Young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October 27, 2006</w:t>
      </w:r>
    </w:p>
    <w:p>
      <w:pPr>
        <w:sectPr>
          <w:pgSz w:w="11900" w:h="16838" w:orient="portrait"/>
          <w:cols w:equalWidth="0" w:num="1">
            <w:col w:w="11420"/>
          </w:cols>
          <w:pgMar w:left="240" w:top="913" w:right="239" w:bottom="1440" w:gutter="0" w:footer="0" w:header="0"/>
        </w:sectPr>
      </w:pPr>
    </w:p>
    <w:bookmarkStart w:id="399" w:name="page400"/>
    <w:bookmarkEnd w:id="399"/>
    <w:p>
      <w:pPr>
        <w:jc w:val="right"/>
        <w:spacing w:after="0"/>
        <w:rPr>
          <w:sz w:val="20"/>
          <w:szCs w:val="20"/>
          <w:color w:val="auto"/>
        </w:rPr>
      </w:pPr>
      <w:r>
        <w:rPr>
          <w:rFonts w:ascii="Arial" w:cs="Arial" w:eastAsia="Arial" w:hAnsi="Arial"/>
          <w:sz w:val="17"/>
          <w:szCs w:val="17"/>
          <w:color w:val="auto"/>
        </w:rPr>
        <w:t>Exhibit 23.2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AUDITORS</w:t>
      </w:r>
    </w:p>
    <w:p>
      <w:pPr>
        <w:spacing w:after="0" w:line="1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October 24, 2006 with respect to the financial statements of Emergent Product Development UK Limited included in Amendment No. 5 to the Registration Statement (Form S-1 No. 333-136622) and related Prospectus of Emergent BioSolutions Inc. for the registration of 5,750,000 shares of its Common stock and Series A junior participating preferred stock purchase rights.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London, England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October 27, 2006</w:t>
      </w:r>
    </w:p>
    <w:sectPr>
      <w:pgSz w:w="11900" w:h="16838" w:orient="portrait"/>
      <w:cols w:equalWidth="0" w:num="1">
        <w:col w:w="11420"/>
      </w:cols>
      <w:pgMar w:left="240" w:top="9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494B2FB"/>
    <w:multiLevelType w:val="hybridMultilevel"/>
    <w:lvl w:ilvl="0">
      <w:lvlJc w:val="left"/>
      <w:lvlText w:val="(%1)"/>
      <w:numFmt w:val="decimal"/>
      <w:start w:val="1"/>
    </w:lvl>
  </w:abstractNum>
  <w:abstractNum w:abstractNumId="1">
    <w:nsid w:val="B13A31"/>
    <w:multiLevelType w:val="hybridMultilevel"/>
    <w:lvl w:ilvl="0">
      <w:lvlJc w:val="left"/>
      <w:lvlText w:val="•"/>
      <w:numFmt w:val="bullet"/>
      <w:start w:val="1"/>
    </w:lvl>
  </w:abstractNum>
  <w:abstractNum w:abstractNumId="2">
    <w:nsid w:val="64429599"/>
    <w:multiLevelType w:val="hybridMultilevel"/>
    <w:lvl w:ilvl="0">
      <w:lvlJc w:val="left"/>
      <w:lvlText w:val="•"/>
      <w:numFmt w:val="bullet"/>
      <w:start w:val="1"/>
    </w:lvl>
  </w:abstractNum>
  <w:abstractNum w:abstractNumId="3">
    <w:nsid w:val="631F1690"/>
    <w:multiLevelType w:val="hybridMultilevel"/>
    <w:lvl w:ilvl="0">
      <w:lvlJc w:val="left"/>
      <w:lvlText w:val="•"/>
      <w:numFmt w:val="bullet"/>
      <w:start w:val="1"/>
    </w:lvl>
  </w:abstractNum>
  <w:abstractNum w:abstractNumId="4">
    <w:nsid w:val="25973E32"/>
    <w:multiLevelType w:val="hybridMultilevel"/>
    <w:lvl w:ilvl="0">
      <w:lvlJc w:val="left"/>
      <w:lvlText w:val="•"/>
      <w:numFmt w:val="bullet"/>
      <w:start w:val="1"/>
    </w:lvl>
  </w:abstractNum>
  <w:abstractNum w:abstractNumId="5">
    <w:nsid w:val="EAD6F57"/>
    <w:multiLevelType w:val="hybridMultilevel"/>
    <w:lvl w:ilvl="0">
      <w:lvlJc w:val="left"/>
      <w:lvlText w:val="•"/>
      <w:numFmt w:val="bullet"/>
      <w:start w:val="1"/>
    </w:lvl>
  </w:abstractNum>
  <w:abstractNum w:abstractNumId="6">
    <w:nsid w:val="6EC9D844"/>
    <w:multiLevelType w:val="hybridMultilevel"/>
    <w:lvl w:ilvl="0">
      <w:lvlJc w:val="left"/>
      <w:lvlText w:val="•"/>
      <w:numFmt w:val="bullet"/>
      <w:start w:val="1"/>
    </w:lvl>
  </w:abstractNum>
  <w:abstractNum w:abstractNumId="7">
    <w:nsid w:val="5C49EAEE"/>
    <w:multiLevelType w:val="hybridMultilevel"/>
    <w:lvl w:ilvl="0">
      <w:lvlJc w:val="left"/>
      <w:lvlText w:val="•"/>
      <w:numFmt w:val="bullet"/>
      <w:start w:val="1"/>
    </w:lvl>
  </w:abstractNum>
  <w:abstractNum w:abstractNumId="8">
    <w:nsid w:val="64AF49B"/>
    <w:multiLevelType w:val="hybridMultilevel"/>
    <w:lvl w:ilvl="0">
      <w:lvlJc w:val="left"/>
      <w:lvlText w:val="•"/>
      <w:numFmt w:val="bullet"/>
      <w:start w:val="1"/>
    </w:lvl>
  </w:abstractNum>
  <w:abstractNum w:abstractNumId="9">
    <w:nsid w:val="397C46BC"/>
    <w:multiLevelType w:val="hybridMultilevel"/>
    <w:lvl w:ilvl="0">
      <w:lvlJc w:val="left"/>
      <w:lvlText w:val="•"/>
      <w:numFmt w:val="bullet"/>
      <w:start w:val="1"/>
    </w:lvl>
  </w:abstractNum>
  <w:abstractNum w:abstractNumId="10">
    <w:nsid w:val="7E448DE9"/>
    <w:multiLevelType w:val="hybridMultilevel"/>
    <w:lvl w:ilvl="0">
      <w:lvlJc w:val="left"/>
      <w:lvlText w:val="•"/>
      <w:numFmt w:val="bullet"/>
      <w:start w:val="1"/>
    </w:lvl>
  </w:abstractNum>
  <w:abstractNum w:abstractNumId="11">
    <w:nsid w:val="5A9CC3E5"/>
    <w:multiLevelType w:val="hybridMultilevel"/>
    <w:lvl w:ilvl="0">
      <w:lvlJc w:val="left"/>
      <w:lvlText w:val="•"/>
      <w:numFmt w:val="bullet"/>
      <w:start w:val="1"/>
    </w:lvl>
  </w:abstractNum>
  <w:abstractNum w:abstractNumId="12">
    <w:nsid w:val="1AFE3625"/>
    <w:multiLevelType w:val="hybridMultilevel"/>
    <w:lvl w:ilvl="0">
      <w:lvlJc w:val="left"/>
      <w:lvlText w:val="•"/>
      <w:numFmt w:val="bullet"/>
      <w:start w:val="1"/>
    </w:lvl>
  </w:abstractNum>
  <w:abstractNum w:abstractNumId="13">
    <w:nsid w:val="3CA88ECF"/>
    <w:multiLevelType w:val="hybridMultilevel"/>
    <w:lvl w:ilvl="0">
      <w:lvlJc w:val="left"/>
      <w:lvlText w:val="•"/>
      <w:numFmt w:val="bullet"/>
      <w:start w:val="1"/>
    </w:lvl>
  </w:abstractNum>
  <w:abstractNum w:abstractNumId="14">
    <w:nsid w:val="6EBE4208"/>
    <w:multiLevelType w:val="hybridMultilevel"/>
    <w:lvl w:ilvl="0">
      <w:lvlJc w:val="left"/>
      <w:lvlText w:val="•"/>
      <w:numFmt w:val="bullet"/>
      <w:start w:val="1"/>
    </w:lvl>
  </w:abstractNum>
  <w:abstractNum w:abstractNumId="15">
    <w:nsid w:val="C058DF5"/>
    <w:multiLevelType w:val="hybridMultilevel"/>
    <w:lvl w:ilvl="0">
      <w:lvlJc w:val="left"/>
      <w:lvlText w:val="•"/>
      <w:numFmt w:val="bullet"/>
      <w:start w:val="1"/>
    </w:lvl>
  </w:abstractNum>
  <w:abstractNum w:abstractNumId="16">
    <w:nsid w:val="CBE5BE9"/>
    <w:multiLevelType w:val="hybridMultilevel"/>
    <w:lvl w:ilvl="0">
      <w:lvlJc w:val="left"/>
      <w:lvlText w:val="•"/>
      <w:numFmt w:val="bullet"/>
      <w:start w:val="1"/>
    </w:lvl>
  </w:abstractNum>
  <w:abstractNum w:abstractNumId="17">
    <w:nsid w:val="3102BBE2"/>
    <w:multiLevelType w:val="hybridMultilevel"/>
    <w:lvl w:ilvl="0">
      <w:lvlJc w:val="left"/>
      <w:lvlText w:val="•"/>
      <w:numFmt w:val="bullet"/>
      <w:start w:val="1"/>
    </w:lvl>
  </w:abstractNum>
  <w:abstractNum w:abstractNumId="18">
    <w:nsid w:val="26A02C5E"/>
    <w:multiLevelType w:val="hybridMultilevel"/>
    <w:lvl w:ilvl="0">
      <w:lvlJc w:val="left"/>
      <w:lvlText w:val="•"/>
      <w:numFmt w:val="bullet"/>
      <w:start w:val="1"/>
    </w:lvl>
  </w:abstractNum>
  <w:abstractNum w:abstractNumId="19">
    <w:nsid w:val="541C8153"/>
    <w:multiLevelType w:val="hybridMultilevel"/>
    <w:lvl w:ilvl="0">
      <w:lvlJc w:val="left"/>
      <w:lvlText w:val="•"/>
      <w:numFmt w:val="bullet"/>
      <w:start w:val="1"/>
    </w:lvl>
  </w:abstractNum>
  <w:abstractNum w:abstractNumId="20">
    <w:nsid w:val="67906F60"/>
    <w:multiLevelType w:val="hybridMultilevel"/>
    <w:lvl w:ilvl="0">
      <w:lvlJc w:val="left"/>
      <w:lvlText w:val="•"/>
      <w:numFmt w:val="bullet"/>
      <w:start w:val="1"/>
    </w:lvl>
  </w:abstractNum>
  <w:abstractNum w:abstractNumId="21">
    <w:nsid w:val="10DB9DAA"/>
    <w:multiLevelType w:val="hybridMultilevel"/>
    <w:lvl w:ilvl="0">
      <w:lvlJc w:val="left"/>
      <w:lvlText w:val="•"/>
      <w:numFmt w:val="bullet"/>
      <w:start w:val="1"/>
    </w:lvl>
  </w:abstractNum>
  <w:abstractNum w:abstractNumId="22">
    <w:nsid w:val="697D2D2"/>
    <w:multiLevelType w:val="hybridMultilevel"/>
    <w:lvl w:ilvl="0">
      <w:lvlJc w:val="left"/>
      <w:lvlText w:val="•"/>
      <w:numFmt w:val="bullet"/>
      <w:start w:val="1"/>
    </w:lvl>
  </w:abstractNum>
  <w:abstractNum w:abstractNumId="23">
    <w:nsid w:val="6D68AB2"/>
    <w:multiLevelType w:val="hybridMultilevel"/>
    <w:lvl w:ilvl="0">
      <w:lvlJc w:val="left"/>
      <w:lvlText w:val="•"/>
      <w:numFmt w:val="bullet"/>
      <w:start w:val="1"/>
    </w:lvl>
  </w:abstractNum>
  <w:abstractNum w:abstractNumId="24">
    <w:nsid w:val="3A966CD0"/>
    <w:multiLevelType w:val="hybridMultilevel"/>
    <w:lvl w:ilvl="0">
      <w:lvlJc w:val="left"/>
      <w:lvlText w:val="•"/>
      <w:numFmt w:val="bullet"/>
      <w:start w:val="1"/>
    </w:lvl>
  </w:abstractNum>
  <w:abstractNum w:abstractNumId="25">
    <w:nsid w:val="63F37E85"/>
    <w:multiLevelType w:val="hybridMultilevel"/>
    <w:lvl w:ilvl="0">
      <w:lvlJc w:val="left"/>
      <w:lvlText w:val="•"/>
      <w:numFmt w:val="bullet"/>
      <w:start w:val="1"/>
    </w:lvl>
  </w:abstractNum>
  <w:abstractNum w:abstractNumId="26">
    <w:nsid w:val="5895F5FA"/>
    <w:multiLevelType w:val="hybridMultilevel"/>
    <w:lvl w:ilvl="0">
      <w:lvlJc w:val="left"/>
      <w:lvlText w:val="•"/>
      <w:numFmt w:val="bullet"/>
      <w:start w:val="1"/>
    </w:lvl>
  </w:abstractNum>
  <w:abstractNum w:abstractNumId="27">
    <w:nsid w:val="38A5D054"/>
    <w:multiLevelType w:val="hybridMultilevel"/>
    <w:lvl w:ilvl="0">
      <w:lvlJc w:val="left"/>
      <w:lvlText w:val="•"/>
      <w:numFmt w:val="bullet"/>
      <w:start w:val="1"/>
    </w:lvl>
  </w:abstractNum>
  <w:abstractNum w:abstractNumId="28">
    <w:nsid w:val="F3F09D8"/>
    <w:multiLevelType w:val="hybridMultilevel"/>
    <w:lvl w:ilvl="0">
      <w:lvlJc w:val="left"/>
      <w:lvlText w:val="•"/>
      <w:numFmt w:val="bullet"/>
      <w:start w:val="1"/>
    </w:lvl>
  </w:abstractNum>
  <w:abstractNum w:abstractNumId="29">
    <w:nsid w:val="4B793735"/>
    <w:multiLevelType w:val="hybridMultilevel"/>
    <w:lvl w:ilvl="0">
      <w:lvlJc w:val="left"/>
      <w:lvlText w:val="•"/>
      <w:numFmt w:val="bullet"/>
      <w:start w:val="1"/>
    </w:lvl>
  </w:abstractNum>
  <w:abstractNum w:abstractNumId="30">
    <w:nsid w:val="4A10B4E8"/>
    <w:multiLevelType w:val="hybridMultilevel"/>
    <w:lvl w:ilvl="0">
      <w:lvlJc w:val="left"/>
      <w:lvlText w:val="•"/>
      <w:numFmt w:val="bullet"/>
      <w:start w:val="1"/>
    </w:lvl>
  </w:abstractNum>
  <w:abstractNum w:abstractNumId="31">
    <w:nsid w:val="43D3BCD4"/>
    <w:multiLevelType w:val="hybridMultilevel"/>
    <w:lvl w:ilvl="0">
      <w:lvlJc w:val="left"/>
      <w:lvlText w:val="•"/>
      <w:numFmt w:val="bullet"/>
      <w:start w:val="1"/>
    </w:lvl>
  </w:abstractNum>
  <w:abstractNum w:abstractNumId="32">
    <w:nsid w:val="4C2A7166"/>
    <w:multiLevelType w:val="hybridMultilevel"/>
    <w:lvl w:ilvl="0">
      <w:lvlJc w:val="left"/>
      <w:lvlText w:val="•"/>
      <w:numFmt w:val="bullet"/>
      <w:start w:val="1"/>
    </w:lvl>
  </w:abstractNum>
  <w:abstractNum w:abstractNumId="33">
    <w:nsid w:val="2E534A82"/>
    <w:multiLevelType w:val="hybridMultilevel"/>
    <w:lvl w:ilvl="0">
      <w:lvlJc w:val="left"/>
      <w:lvlText w:val="•"/>
      <w:numFmt w:val="bullet"/>
      <w:start w:val="1"/>
    </w:lvl>
  </w:abstractNum>
  <w:abstractNum w:abstractNumId="34">
    <w:nsid w:val="26F2D364"/>
    <w:multiLevelType w:val="hybridMultilevel"/>
    <w:lvl w:ilvl="0">
      <w:lvlJc w:val="left"/>
      <w:lvlText w:val="•"/>
      <w:numFmt w:val="bullet"/>
      <w:start w:val="1"/>
    </w:lvl>
  </w:abstractNum>
  <w:abstractNum w:abstractNumId="35">
    <w:nsid w:val="71C1AF98"/>
    <w:multiLevelType w:val="hybridMultilevel"/>
    <w:lvl w:ilvl="0">
      <w:lvlJc w:val="left"/>
      <w:lvlText w:val="•"/>
      <w:numFmt w:val="bullet"/>
      <w:start w:val="1"/>
    </w:lvl>
  </w:abstractNum>
  <w:abstractNum w:abstractNumId="36">
    <w:nsid w:val="3D00B9D9"/>
    <w:multiLevelType w:val="hybridMultilevel"/>
    <w:lvl w:ilvl="0">
      <w:lvlJc w:val="left"/>
      <w:lvlText w:val="•"/>
      <w:numFmt w:val="bullet"/>
      <w:start w:val="1"/>
    </w:lvl>
  </w:abstractNum>
  <w:abstractNum w:abstractNumId="37">
    <w:nsid w:val="15BCABA8"/>
    <w:multiLevelType w:val="hybridMultilevel"/>
    <w:lvl w:ilvl="0">
      <w:lvlJc w:val="left"/>
      <w:lvlText w:val="•"/>
      <w:numFmt w:val="bullet"/>
      <w:start w:val="1"/>
    </w:lvl>
  </w:abstractNum>
  <w:abstractNum w:abstractNumId="38">
    <w:nsid w:val="4E0B9A87"/>
    <w:multiLevelType w:val="hybridMultilevel"/>
    <w:lvl w:ilvl="0">
      <w:lvlJc w:val="left"/>
      <w:lvlText w:val="•"/>
      <w:numFmt w:val="bullet"/>
      <w:start w:val="1"/>
    </w:lvl>
    <w:lvl w:ilvl="1">
      <w:lvlJc w:val="left"/>
      <w:lvlText w:val="•"/>
      <w:numFmt w:val="bullet"/>
      <w:start w:val="1"/>
    </w:lvl>
  </w:abstractNum>
  <w:abstractNum w:abstractNumId="39">
    <w:nsid w:val="434BAE75"/>
    <w:multiLevelType w:val="hybridMultilevel"/>
    <w:lvl w:ilvl="0">
      <w:lvlJc w:val="left"/>
      <w:lvlText w:val="•"/>
      <w:numFmt w:val="bullet"/>
      <w:start w:val="1"/>
    </w:lvl>
  </w:abstractNum>
  <w:abstractNum w:abstractNumId="40">
    <w:nsid w:val="4F38F265"/>
    <w:multiLevelType w:val="hybridMultilevel"/>
    <w:lvl w:ilvl="0">
      <w:lvlJc w:val="left"/>
      <w:lvlText w:val="•"/>
      <w:numFmt w:val="bullet"/>
      <w:start w:val="1"/>
    </w:lvl>
  </w:abstractNum>
  <w:abstractNum w:abstractNumId="41">
    <w:nsid w:val="4C502870"/>
    <w:multiLevelType w:val="hybridMultilevel"/>
    <w:lvl w:ilvl="0">
      <w:lvlJc w:val="left"/>
      <w:lvlText w:val="•"/>
      <w:numFmt w:val="bullet"/>
      <w:start w:val="1"/>
    </w:lvl>
  </w:abstractNum>
  <w:abstractNum w:abstractNumId="42">
    <w:nsid w:val="1DE8725A"/>
    <w:multiLevelType w:val="hybridMultilevel"/>
    <w:lvl w:ilvl="0">
      <w:lvlJc w:val="left"/>
      <w:lvlText w:val="•"/>
      <w:numFmt w:val="bullet"/>
      <w:start w:val="1"/>
    </w:lvl>
  </w:abstractNum>
  <w:abstractNum w:abstractNumId="43">
    <w:nsid w:val="6A37288A"/>
    <w:multiLevelType w:val="hybridMultilevel"/>
    <w:lvl w:ilvl="0">
      <w:lvlJc w:val="left"/>
      <w:lvlText w:val="•"/>
      <w:numFmt w:val="bullet"/>
      <w:start w:val="1"/>
    </w:lvl>
  </w:abstractNum>
  <w:abstractNum w:abstractNumId="44">
    <w:nsid w:val="8F8B73F"/>
    <w:multiLevelType w:val="hybridMultilevel"/>
    <w:lvl w:ilvl="0">
      <w:lvlJc w:val="left"/>
      <w:lvlText w:val="•"/>
      <w:numFmt w:val="bullet"/>
      <w:start w:val="1"/>
    </w:lvl>
  </w:abstractNum>
  <w:abstractNum w:abstractNumId="45">
    <w:nsid w:val="CA6B462"/>
    <w:multiLevelType w:val="hybridMultilevel"/>
    <w:lvl w:ilvl="0">
      <w:lvlJc w:val="left"/>
      <w:lvlText w:val="•"/>
      <w:numFmt w:val="bullet"/>
      <w:start w:val="1"/>
    </w:lvl>
  </w:abstractNum>
  <w:abstractNum w:abstractNumId="46">
    <w:nsid w:val="763CB680"/>
    <w:multiLevelType w:val="hybridMultilevel"/>
    <w:lvl w:ilvl="0">
      <w:lvlJc w:val="left"/>
      <w:lvlText w:val="•"/>
      <w:numFmt w:val="bullet"/>
      <w:start w:val="1"/>
    </w:lvl>
  </w:abstractNum>
  <w:abstractNum w:abstractNumId="47">
    <w:nsid w:val="15B71329"/>
    <w:multiLevelType w:val="hybridMultilevel"/>
    <w:lvl w:ilvl="0">
      <w:lvlJc w:val="left"/>
      <w:lvlText w:val="•"/>
      <w:numFmt w:val="bullet"/>
      <w:start w:val="1"/>
    </w:lvl>
  </w:abstractNum>
  <w:abstractNum w:abstractNumId="48">
    <w:nsid w:val="3DA97044"/>
    <w:multiLevelType w:val="hybridMultilevel"/>
    <w:lvl w:ilvl="0">
      <w:lvlJc w:val="left"/>
      <w:lvlText w:val="•"/>
      <w:numFmt w:val="bullet"/>
      <w:start w:val="1"/>
    </w:lvl>
  </w:abstractNum>
  <w:abstractNum w:abstractNumId="49">
    <w:nsid w:val="1CDCE2DE"/>
    <w:multiLevelType w:val="hybridMultilevel"/>
    <w:lvl w:ilvl="0">
      <w:lvlJc w:val="left"/>
      <w:lvlText w:val="(%1)"/>
      <w:numFmt w:val="decimal"/>
      <w:start w:val="1"/>
    </w:lvl>
  </w:abstractNum>
  <w:abstractNum w:abstractNumId="50">
    <w:nsid w:val="69D3947C"/>
    <w:multiLevelType w:val="hybridMultilevel"/>
    <w:lvl w:ilvl="0">
      <w:lvlJc w:val="left"/>
      <w:lvlText w:val="•"/>
      <w:numFmt w:val="bullet"/>
      <w:start w:val="1"/>
    </w:lvl>
  </w:abstractNum>
  <w:abstractNum w:abstractNumId="51">
    <w:nsid w:val="2539DFA5"/>
    <w:multiLevelType w:val="hybridMultilevel"/>
    <w:lvl w:ilvl="0">
      <w:lvlJc w:val="left"/>
      <w:lvlText w:val="•"/>
      <w:numFmt w:val="bullet"/>
      <w:start w:val="1"/>
    </w:lvl>
  </w:abstractNum>
  <w:abstractNum w:abstractNumId="52">
    <w:nsid w:val="2DB88089"/>
    <w:multiLevelType w:val="hybridMultilevel"/>
    <w:lvl w:ilvl="0">
      <w:lvlJc w:val="left"/>
      <w:lvlText w:val="•"/>
      <w:numFmt w:val="bullet"/>
      <w:start w:val="1"/>
    </w:lvl>
  </w:abstractNum>
  <w:abstractNum w:abstractNumId="53">
    <w:nsid w:val="706B674E"/>
    <w:multiLevelType w:val="hybridMultilevel"/>
    <w:lvl w:ilvl="0">
      <w:lvlJc w:val="left"/>
      <w:lvlText w:val="•"/>
      <w:numFmt w:val="bullet"/>
      <w:start w:val="1"/>
    </w:lvl>
  </w:abstractNum>
  <w:abstractNum w:abstractNumId="54">
    <w:nsid w:val="2C106A57"/>
    <w:multiLevelType w:val="hybridMultilevel"/>
    <w:lvl w:ilvl="0">
      <w:lvlJc w:val="left"/>
      <w:lvlText w:val="•"/>
      <w:numFmt w:val="bullet"/>
      <w:start w:val="1"/>
    </w:lvl>
  </w:abstractNum>
  <w:abstractNum w:abstractNumId="55">
    <w:nsid w:val="684EED59"/>
    <w:multiLevelType w:val="hybridMultilevel"/>
    <w:lvl w:ilvl="0">
      <w:lvlJc w:val="left"/>
      <w:lvlText w:val="•"/>
      <w:numFmt w:val="bullet"/>
      <w:start w:val="1"/>
    </w:lvl>
  </w:abstractNum>
  <w:abstractNum w:abstractNumId="56">
    <w:nsid w:val="545EE5D3"/>
    <w:multiLevelType w:val="hybridMultilevel"/>
    <w:lvl w:ilvl="0">
      <w:lvlJc w:val="left"/>
      <w:lvlText w:val="•"/>
      <w:numFmt w:val="bullet"/>
      <w:start w:val="1"/>
    </w:lvl>
  </w:abstractNum>
  <w:abstractNum w:abstractNumId="57">
    <w:nsid w:val="4A66051"/>
    <w:multiLevelType w:val="hybridMultilevel"/>
    <w:lvl w:ilvl="0">
      <w:lvlJc w:val="left"/>
      <w:lvlText w:val="•"/>
      <w:numFmt w:val="bullet"/>
      <w:start w:val="1"/>
    </w:lvl>
  </w:abstractNum>
  <w:abstractNum w:abstractNumId="58">
    <w:nsid w:val="20F4BDAD"/>
    <w:multiLevelType w:val="hybridMultilevel"/>
    <w:lvl w:ilvl="0">
      <w:lvlJc w:val="left"/>
      <w:lvlText w:val="*"/>
      <w:numFmt w:val="bullet"/>
      <w:start w:val="1"/>
    </w:lvl>
  </w:abstractNum>
  <w:abstractNum w:abstractNumId="59">
    <w:nsid w:val="639DEFAC"/>
    <w:multiLevelType w:val="hybridMultilevel"/>
    <w:lvl w:ilvl="0">
      <w:lvlJc w:val="left"/>
      <w:lvlText w:val="•"/>
      <w:numFmt w:val="bullet"/>
      <w:start w:val="1"/>
    </w:lvl>
  </w:abstractNum>
  <w:abstractNum w:abstractNumId="60">
    <w:nsid w:val="501F9786"/>
    <w:multiLevelType w:val="hybridMultilevel"/>
    <w:lvl w:ilvl="0">
      <w:lvlJc w:val="left"/>
      <w:lvlText w:val="•"/>
      <w:numFmt w:val="bullet"/>
      <w:start w:val="1"/>
    </w:lvl>
  </w:abstractNum>
  <w:abstractNum w:abstractNumId="61">
    <w:nsid w:val="6B057295"/>
    <w:multiLevelType w:val="hybridMultilevel"/>
    <w:lvl w:ilvl="0">
      <w:lvlJc w:val="left"/>
      <w:lvlText w:val="•"/>
      <w:numFmt w:val="bullet"/>
      <w:start w:val="1"/>
    </w:lvl>
  </w:abstractNum>
  <w:abstractNum w:abstractNumId="62">
    <w:nsid w:val="2771AC80"/>
    <w:multiLevelType w:val="hybridMultilevel"/>
    <w:lvl w:ilvl="0">
      <w:lvlJc w:val="left"/>
      <w:lvlText w:val="•"/>
      <w:numFmt w:val="bullet"/>
      <w:start w:val="1"/>
    </w:lvl>
  </w:abstractNum>
  <w:abstractNum w:abstractNumId="63">
    <w:nsid w:val="1C4A08EC"/>
    <w:multiLevelType w:val="hybridMultilevel"/>
    <w:lvl w:ilvl="0">
      <w:lvlJc w:val="left"/>
      <w:lvlText w:val="•"/>
      <w:numFmt w:val="bullet"/>
      <w:start w:val="1"/>
    </w:lvl>
  </w:abstractNum>
  <w:abstractNum w:abstractNumId="64">
    <w:nsid w:val="1958BD17"/>
    <w:multiLevelType w:val="hybridMultilevel"/>
    <w:lvl w:ilvl="0">
      <w:lvlJc w:val="left"/>
      <w:lvlText w:val="•"/>
      <w:numFmt w:val="bullet"/>
      <w:start w:val="1"/>
    </w:lvl>
  </w:abstractNum>
  <w:abstractNum w:abstractNumId="65">
    <w:nsid w:val="4E647FE4"/>
    <w:multiLevelType w:val="hybridMultilevel"/>
    <w:lvl w:ilvl="0">
      <w:lvlJc w:val="left"/>
      <w:lvlText w:val="•"/>
      <w:numFmt w:val="bullet"/>
      <w:start w:val="1"/>
    </w:lvl>
  </w:abstractNum>
  <w:abstractNum w:abstractNumId="66">
    <w:nsid w:val="E0BB885"/>
    <w:multiLevelType w:val="hybridMultilevel"/>
    <w:lvl w:ilvl="0">
      <w:lvlJc w:val="left"/>
      <w:lvlText w:val="•"/>
      <w:numFmt w:val="bullet"/>
      <w:start w:val="1"/>
    </w:lvl>
  </w:abstractNum>
  <w:abstractNum w:abstractNumId="67">
    <w:nsid w:val="565976F1"/>
    <w:multiLevelType w:val="hybridMultilevel"/>
    <w:lvl w:ilvl="0">
      <w:lvlJc w:val="left"/>
      <w:lvlText w:val="•"/>
      <w:numFmt w:val="bullet"/>
      <w:start w:val="1"/>
    </w:lvl>
  </w:abstractNum>
  <w:abstractNum w:abstractNumId="68">
    <w:nsid w:val="64212B8C"/>
    <w:multiLevelType w:val="hybridMultilevel"/>
    <w:lvl w:ilvl="0">
      <w:lvlJc w:val="left"/>
      <w:lvlText w:val="•"/>
      <w:numFmt w:val="bullet"/>
      <w:start w:val="1"/>
    </w:lvl>
  </w:abstractNum>
  <w:abstractNum w:abstractNumId="69">
    <w:nsid w:val="5C17530C"/>
    <w:multiLevelType w:val="hybridMultilevel"/>
    <w:lvl w:ilvl="0">
      <w:lvlJc w:val="left"/>
      <w:lvlText w:val="•"/>
      <w:numFmt w:val="bullet"/>
      <w:start w:val="1"/>
    </w:lvl>
  </w:abstractNum>
  <w:abstractNum w:abstractNumId="70">
    <w:nsid w:val="19A52566"/>
    <w:multiLevelType w:val="hybridMultilevel"/>
    <w:lvl w:ilvl="0">
      <w:lvlJc w:val="left"/>
      <w:lvlText w:val="•"/>
      <w:numFmt w:val="bullet"/>
      <w:start w:val="1"/>
    </w:lvl>
  </w:abstractNum>
  <w:abstractNum w:abstractNumId="71">
    <w:nsid w:val="335A1DF1"/>
    <w:multiLevelType w:val="hybridMultilevel"/>
    <w:lvl w:ilvl="0">
      <w:lvlJc w:val="left"/>
      <w:lvlText w:val="•"/>
      <w:numFmt w:val="bullet"/>
      <w:start w:val="1"/>
    </w:lvl>
  </w:abstractNum>
  <w:abstractNum w:abstractNumId="72">
    <w:nsid w:val="28677B7C"/>
    <w:multiLevelType w:val="hybridMultilevel"/>
    <w:lvl w:ilvl="0">
      <w:lvlJc w:val="left"/>
      <w:lvlText w:val="•"/>
      <w:numFmt w:val="bullet"/>
      <w:start w:val="1"/>
    </w:lvl>
  </w:abstractNum>
  <w:abstractNum w:abstractNumId="73">
    <w:nsid w:val="378D97C0"/>
    <w:multiLevelType w:val="hybridMultilevel"/>
    <w:lvl w:ilvl="0">
      <w:lvlJc w:val="left"/>
      <w:lvlText w:val="•"/>
      <w:numFmt w:val="bullet"/>
      <w:start w:val="1"/>
    </w:lvl>
  </w:abstractNum>
  <w:abstractNum w:abstractNumId="74">
    <w:nsid w:val="1D91467C"/>
    <w:multiLevelType w:val="hybridMultilevel"/>
    <w:lvl w:ilvl="0">
      <w:lvlJc w:val="left"/>
      <w:lvlText w:val="•"/>
      <w:numFmt w:val="bullet"/>
      <w:start w:val="1"/>
    </w:lvl>
  </w:abstractNum>
  <w:abstractNum w:abstractNumId="75">
    <w:nsid w:val="316032BB"/>
    <w:multiLevelType w:val="hybridMultilevel"/>
    <w:lvl w:ilvl="0">
      <w:lvlJc w:val="left"/>
      <w:lvlText w:val="•"/>
      <w:numFmt w:val="bullet"/>
      <w:start w:val="1"/>
    </w:lvl>
  </w:abstractNum>
  <w:abstractNum w:abstractNumId="76">
    <w:nsid w:val="44344C22"/>
    <w:multiLevelType w:val="hybridMultilevel"/>
    <w:lvl w:ilvl="0">
      <w:lvlJc w:val="left"/>
      <w:lvlText w:val="•"/>
      <w:numFmt w:val="bullet"/>
      <w:start w:val="1"/>
    </w:lvl>
  </w:abstractNum>
  <w:abstractNum w:abstractNumId="77">
    <w:nsid w:val="13CDFCFC"/>
    <w:multiLevelType w:val="hybridMultilevel"/>
    <w:lvl w:ilvl="0">
      <w:lvlJc w:val="left"/>
      <w:lvlText w:val="•"/>
      <w:numFmt w:val="bullet"/>
      <w:start w:val="1"/>
    </w:lvl>
  </w:abstractNum>
  <w:abstractNum w:abstractNumId="78">
    <w:nsid w:val="471745E4"/>
    <w:multiLevelType w:val="hybridMultilevel"/>
    <w:lvl w:ilvl="0">
      <w:lvlJc w:val="left"/>
      <w:lvlText w:val="•"/>
      <w:numFmt w:val="bullet"/>
      <w:start w:val="1"/>
    </w:lvl>
  </w:abstractNum>
  <w:abstractNum w:abstractNumId="79">
    <w:nsid w:val="1DDBC66"/>
    <w:multiLevelType w:val="hybridMultilevel"/>
    <w:lvl w:ilvl="0">
      <w:lvlJc w:val="left"/>
      <w:lvlText w:val="•"/>
      <w:numFmt w:val="bullet"/>
      <w:start w:val="1"/>
    </w:lvl>
  </w:abstractNum>
  <w:abstractNum w:abstractNumId="80">
    <w:nsid w:val="30AADFDA"/>
    <w:multiLevelType w:val="hybridMultilevel"/>
    <w:lvl w:ilvl="0">
      <w:lvlJc w:val="left"/>
      <w:lvlText w:val="•"/>
      <w:numFmt w:val="bullet"/>
      <w:start w:val="1"/>
    </w:lvl>
  </w:abstractNum>
  <w:abstractNum w:abstractNumId="81">
    <w:nsid w:val="30EADA61"/>
    <w:multiLevelType w:val="hybridMultilevel"/>
    <w:lvl w:ilvl="0">
      <w:lvlJc w:val="left"/>
      <w:lvlText w:val="•"/>
      <w:numFmt w:val="bullet"/>
      <w:start w:val="1"/>
    </w:lvl>
  </w:abstractNum>
  <w:abstractNum w:abstractNumId="82">
    <w:nsid w:val="27179C0B"/>
    <w:multiLevelType w:val="hybridMultilevel"/>
    <w:lvl w:ilvl="0">
      <w:lvlJc w:val="left"/>
      <w:lvlText w:val="•"/>
      <w:numFmt w:val="bullet"/>
      <w:start w:val="1"/>
    </w:lvl>
  </w:abstractNum>
  <w:abstractNum w:abstractNumId="83">
    <w:nsid w:val="5E636063"/>
    <w:multiLevelType w:val="hybridMultilevel"/>
    <w:lvl w:ilvl="0">
      <w:lvlJc w:val="left"/>
      <w:lvlText w:val="•"/>
      <w:numFmt w:val="bullet"/>
      <w:start w:val="1"/>
    </w:lvl>
  </w:abstractNum>
  <w:abstractNum w:abstractNumId="84">
    <w:nsid w:val="215641AF"/>
    <w:multiLevelType w:val="hybridMultilevel"/>
    <w:lvl w:ilvl="0">
      <w:lvlJc w:val="left"/>
      <w:lvlText w:val="(%1)"/>
      <w:numFmt w:val="decimal"/>
      <w:start w:val="1"/>
    </w:lvl>
  </w:abstractNum>
  <w:abstractNum w:abstractNumId="85">
    <w:nsid w:val="53280662"/>
    <w:multiLevelType w:val="hybridMultilevel"/>
    <w:lvl w:ilvl="0">
      <w:lvlJc w:val="left"/>
      <w:lvlText w:val="•"/>
      <w:numFmt w:val="bullet"/>
      <w:start w:val="1"/>
    </w:lvl>
  </w:abstractNum>
  <w:abstractNum w:abstractNumId="86">
    <w:nsid w:val="46B24DBC"/>
    <w:multiLevelType w:val="hybridMultilevel"/>
    <w:lvl w:ilvl="0">
      <w:lvlJc w:val="left"/>
      <w:lvlText w:val="•"/>
      <w:numFmt w:val="bullet"/>
      <w:start w:val="1"/>
    </w:lvl>
  </w:abstractNum>
  <w:abstractNum w:abstractNumId="87">
    <w:nsid w:val="75B52783"/>
    <w:multiLevelType w:val="hybridMultilevel"/>
    <w:lvl w:ilvl="0">
      <w:lvlJc w:val="left"/>
      <w:lvlText w:val="•"/>
      <w:numFmt w:val="bullet"/>
      <w:start w:val="1"/>
    </w:lvl>
  </w:abstractNum>
  <w:abstractNum w:abstractNumId="88">
    <w:nsid w:val="57CE66B4"/>
    <w:multiLevelType w:val="hybridMultilevel"/>
    <w:lvl w:ilvl="0">
      <w:lvlJc w:val="left"/>
      <w:lvlText w:val="•"/>
      <w:numFmt w:val="bullet"/>
      <w:start w:val="1"/>
    </w:lvl>
  </w:abstractNum>
  <w:abstractNum w:abstractNumId="89">
    <w:nsid w:val="67A70B69"/>
    <w:multiLevelType w:val="hybridMultilevel"/>
    <w:lvl w:ilvl="0">
      <w:lvlJc w:val="left"/>
      <w:lvlText w:val="•"/>
      <w:numFmt w:val="bullet"/>
      <w:start w:val="1"/>
    </w:lvl>
  </w:abstractNum>
  <w:abstractNum w:abstractNumId="90">
    <w:nsid w:val="5953172F"/>
    <w:multiLevelType w:val="hybridMultilevel"/>
    <w:lvl w:ilvl="0">
      <w:lvlJc w:val="left"/>
      <w:lvlText w:val="•"/>
      <w:numFmt w:val="bullet"/>
      <w:start w:val="1"/>
    </w:lvl>
  </w:abstractNum>
  <w:abstractNum w:abstractNumId="91">
    <w:nsid w:val="27EDFE3A"/>
    <w:multiLevelType w:val="hybridMultilevel"/>
    <w:lvl w:ilvl="0">
      <w:lvlJc w:val="left"/>
      <w:lvlText w:val="•"/>
      <w:numFmt w:val="bullet"/>
      <w:start w:val="1"/>
    </w:lvl>
  </w:abstractNum>
  <w:abstractNum w:abstractNumId="92">
    <w:nsid w:val="52AC7DFF"/>
    <w:multiLevelType w:val="hybridMultilevel"/>
    <w:lvl w:ilvl="0">
      <w:lvlJc w:val="left"/>
      <w:lvlText w:val="•"/>
      <w:numFmt w:val="bullet"/>
      <w:start w:val="1"/>
    </w:lvl>
  </w:abstractNum>
  <w:abstractNum w:abstractNumId="93">
    <w:nsid w:val="C4C3AF"/>
    <w:multiLevelType w:val="hybridMultilevel"/>
    <w:lvl w:ilvl="0">
      <w:lvlJc w:val="left"/>
      <w:lvlText w:val="(%1)"/>
      <w:numFmt w:val="decimal"/>
      <w:start w:val="1"/>
    </w:lvl>
  </w:abstractNum>
  <w:abstractNum w:abstractNumId="94">
    <w:nsid w:val="44380727"/>
    <w:multiLevelType w:val="hybridMultilevel"/>
    <w:lvl w:ilvl="0">
      <w:lvlJc w:val="left"/>
      <w:lvlText w:val="(%1)"/>
      <w:numFmt w:val="decimal"/>
      <w:start w:val="1"/>
    </w:lvl>
  </w:abstractNum>
  <w:abstractNum w:abstractNumId="95">
    <w:nsid w:val="6C053B16"/>
    <w:multiLevelType w:val="hybridMultilevel"/>
    <w:lvl w:ilvl="0">
      <w:lvlJc w:val="left"/>
      <w:lvlText w:val="•"/>
      <w:numFmt w:val="bullet"/>
      <w:start w:val="1"/>
    </w:lvl>
  </w:abstractNum>
  <w:abstractNum w:abstractNumId="96">
    <w:nsid w:val="4F294393"/>
    <w:multiLevelType w:val="hybridMultilevel"/>
    <w:lvl w:ilvl="0">
      <w:lvlJc w:val="left"/>
      <w:lvlText w:val="•"/>
      <w:numFmt w:val="bullet"/>
      <w:start w:val="1"/>
    </w:lvl>
  </w:abstractNum>
  <w:abstractNum w:abstractNumId="97">
    <w:nsid w:val="5243BFAC"/>
    <w:multiLevelType w:val="hybridMultilevel"/>
    <w:lvl w:ilvl="0">
      <w:lvlJc w:val="left"/>
      <w:lvlText w:val="•"/>
      <w:numFmt w:val="bullet"/>
      <w:start w:val="1"/>
    </w:lvl>
    <w:lvl w:ilvl="1">
      <w:lvlJc w:val="left"/>
      <w:lvlText w:val="•"/>
      <w:numFmt w:val="bullet"/>
      <w:start w:val="1"/>
    </w:lvl>
  </w:abstractNum>
  <w:abstractNum w:abstractNumId="98">
    <w:nsid w:val="425EB207"/>
    <w:multiLevelType w:val="hybridMultilevel"/>
    <w:lvl w:ilvl="0">
      <w:lvlJc w:val="left"/>
      <w:lvlText w:val="•"/>
      <w:numFmt w:val="bullet"/>
      <w:start w:val="1"/>
    </w:lvl>
  </w:abstractNum>
  <w:abstractNum w:abstractNumId="99">
    <w:nsid w:val="334A6F1F"/>
    <w:multiLevelType w:val="hybridMultilevel"/>
    <w:lvl w:ilvl="0">
      <w:lvlJc w:val="left"/>
      <w:lvlText w:val="•"/>
      <w:numFmt w:val="bullet"/>
      <w:start w:val="1"/>
    </w:lvl>
  </w:abstractNum>
  <w:abstractNum w:abstractNumId="100">
    <w:nsid w:val="2E5B12B8"/>
    <w:multiLevelType w:val="hybridMultilevel"/>
    <w:lvl w:ilvl="0">
      <w:lvlJc w:val="left"/>
      <w:lvlText w:val="•"/>
      <w:numFmt w:val="bullet"/>
      <w:start w:val="1"/>
    </w:lvl>
    <w:lvl w:ilvl="1">
      <w:lvlJc w:val="left"/>
      <w:lvlText w:val="•"/>
      <w:numFmt w:val="bullet"/>
      <w:start w:val="1"/>
    </w:lvl>
  </w:abstractNum>
  <w:abstractNum w:abstractNumId="101">
    <w:nsid w:val="5C03D76D"/>
    <w:multiLevelType w:val="hybridMultilevel"/>
    <w:lvl w:ilvl="0">
      <w:lvlJc w:val="left"/>
      <w:lvlText w:val="•"/>
      <w:numFmt w:val="bullet"/>
      <w:start w:val="1"/>
    </w:lvl>
  </w:abstractNum>
  <w:abstractNum w:abstractNumId="102">
    <w:nsid w:val="66A48D11"/>
    <w:multiLevelType w:val="hybridMultilevel"/>
    <w:lvl w:ilvl="0">
      <w:lvlJc w:val="left"/>
      <w:lvlText w:val="•"/>
      <w:numFmt w:val="bullet"/>
      <w:start w:val="1"/>
    </w:lvl>
  </w:abstractNum>
  <w:abstractNum w:abstractNumId="103">
    <w:nsid w:val="56C28E34"/>
    <w:multiLevelType w:val="hybridMultilevel"/>
    <w:lvl w:ilvl="0">
      <w:lvlJc w:val="left"/>
      <w:lvlText w:val="•"/>
      <w:numFmt w:val="bullet"/>
      <w:start w:val="1"/>
    </w:lvl>
  </w:abstractNum>
  <w:abstractNum w:abstractNumId="104">
    <w:nsid w:val="13916F2D"/>
    <w:multiLevelType w:val="hybridMultilevel"/>
    <w:lvl w:ilvl="0">
      <w:lvlJc w:val="left"/>
      <w:lvlText w:val="•"/>
      <w:numFmt w:val="bullet"/>
      <w:start w:val="1"/>
    </w:lvl>
  </w:abstractNum>
  <w:abstractNum w:abstractNumId="105">
    <w:nsid w:val="435D38D"/>
    <w:multiLevelType w:val="hybridMultilevel"/>
    <w:lvl w:ilvl="0">
      <w:lvlJc w:val="left"/>
      <w:lvlText w:val="•"/>
      <w:numFmt w:val="bullet"/>
      <w:start w:val="1"/>
    </w:lvl>
  </w:abstractNum>
  <w:abstractNum w:abstractNumId="106">
    <w:nsid w:val="822C0EF"/>
    <w:multiLevelType w:val="hybridMultilevel"/>
    <w:lvl w:ilvl="0">
      <w:lvlJc w:val="left"/>
      <w:lvlText w:val="•"/>
      <w:numFmt w:val="bullet"/>
      <w:start w:val="1"/>
    </w:lvl>
  </w:abstractNum>
  <w:abstractNum w:abstractNumId="107">
    <w:nsid w:val="57C5BB4F"/>
    <w:multiLevelType w:val="hybridMultilevel"/>
    <w:lvl w:ilvl="0">
      <w:lvlJc w:val="left"/>
      <w:lvlText w:val="•"/>
      <w:numFmt w:val="bullet"/>
      <w:start w:val="1"/>
    </w:lvl>
  </w:abstractNum>
  <w:abstractNum w:abstractNumId="108">
    <w:nsid w:val="1803D089"/>
    <w:multiLevelType w:val="hybridMultilevel"/>
    <w:lvl w:ilvl="0">
      <w:lvlJc w:val="left"/>
      <w:lvlText w:val="•"/>
      <w:numFmt w:val="bullet"/>
      <w:start w:val="1"/>
    </w:lvl>
  </w:abstractNum>
  <w:abstractNum w:abstractNumId="109">
    <w:nsid w:val="4F3A06D4"/>
    <w:multiLevelType w:val="hybridMultilevel"/>
    <w:lvl w:ilvl="0">
      <w:lvlJc w:val="left"/>
      <w:lvlText w:val="•"/>
      <w:numFmt w:val="bullet"/>
      <w:start w:val="1"/>
    </w:lvl>
  </w:abstractNum>
  <w:abstractNum w:abstractNumId="110">
    <w:nsid w:val="59A377B6"/>
    <w:multiLevelType w:val="hybridMultilevel"/>
    <w:lvl w:ilvl="0">
      <w:lvlJc w:val="left"/>
      <w:lvlText w:val="*"/>
      <w:numFmt w:val="bullet"/>
      <w:start w:val="1"/>
    </w:lvl>
  </w:abstractNum>
  <w:abstractNum w:abstractNumId="111">
    <w:nsid w:val="48AEB063"/>
    <w:multiLevelType w:val="hybridMultilevel"/>
    <w:lvl w:ilvl="0">
      <w:lvlJc w:val="left"/>
      <w:lvlText w:val="(%1)"/>
      <w:numFmt w:val="decimal"/>
      <w:start w:val="1"/>
    </w:lvl>
    <w:lvl w:ilvl="1">
      <w:lvlJc w:val="left"/>
      <w:lvlText w:val="•"/>
      <w:numFmt w:val="bullet"/>
      <w:start w:val="1"/>
    </w:lvl>
  </w:abstractNum>
  <w:abstractNum w:abstractNumId="112">
    <w:nsid w:val="24E135"/>
    <w:multiLevelType w:val="hybridMultilevel"/>
    <w:lvl w:ilvl="0">
      <w:lvlJc w:val="left"/>
      <w:lvlText w:val="•"/>
      <w:numFmt w:val="bullet"/>
      <w:start w:val="1"/>
    </w:lvl>
  </w:abstractNum>
  <w:abstractNum w:abstractNumId="113">
    <w:nsid w:val="BB13C1"/>
    <w:multiLevelType w:val="hybridMultilevel"/>
    <w:lvl w:ilvl="0">
      <w:lvlJc w:val="left"/>
      <w:lvlText w:val="(%1)"/>
      <w:numFmt w:val="decimal"/>
      <w:start w:val="2"/>
    </w:lvl>
    <w:lvl w:ilvl="1">
      <w:lvlJc w:val="left"/>
      <w:lvlText w:val="•"/>
      <w:numFmt w:val="bullet"/>
      <w:start w:val="1"/>
    </w:lvl>
  </w:abstractNum>
  <w:abstractNum w:abstractNumId="114">
    <w:nsid w:val="271210C7"/>
    <w:multiLevelType w:val="hybridMultilevel"/>
    <w:lvl w:ilvl="0">
      <w:lvlJc w:val="left"/>
      <w:lvlText w:val="•"/>
      <w:numFmt w:val="bullet"/>
      <w:start w:val="1"/>
    </w:lvl>
  </w:abstractNum>
  <w:abstractNum w:abstractNumId="115">
    <w:nsid w:val="217B22E4"/>
    <w:multiLevelType w:val="hybridMultilevel"/>
    <w:lvl w:ilvl="0">
      <w:lvlJc w:val="left"/>
      <w:lvlText w:val="•"/>
      <w:numFmt w:val="bullet"/>
      <w:start w:val="1"/>
    </w:lvl>
  </w:abstractNum>
  <w:abstractNum w:abstractNumId="116">
    <w:nsid w:val="53E31A24"/>
    <w:multiLevelType w:val="hybridMultilevel"/>
    <w:lvl w:ilvl="0">
      <w:lvlJc w:val="left"/>
      <w:lvlText w:val="(%1)"/>
      <w:numFmt w:val="decimal"/>
      <w:start w:val="11"/>
    </w:lvl>
    <w:lvl w:ilvl="1">
      <w:lvlJc w:val="left"/>
      <w:lvlText w:val="•"/>
      <w:numFmt w:val="bullet"/>
      <w:start w:val="1"/>
    </w:lvl>
  </w:abstractNum>
  <w:abstractNum w:abstractNumId="117">
    <w:nsid w:val="6DC45E83"/>
    <w:multiLevelType w:val="hybridMultilevel"/>
    <w:lvl w:ilvl="0">
      <w:lvlJc w:val="left"/>
      <w:lvlText w:val="•"/>
      <w:numFmt w:val="bullet"/>
      <w:start w:val="1"/>
    </w:lvl>
  </w:abstractNum>
  <w:abstractNum w:abstractNumId="118">
    <w:nsid w:val="17304A67"/>
    <w:multiLevelType w:val="hybridMultilevel"/>
    <w:lvl w:ilvl="0">
      <w:lvlJc w:val="left"/>
      <w:lvlText w:val="(%1)"/>
      <w:numFmt w:val="decimal"/>
      <w:start w:val="13"/>
    </w:lvl>
    <w:lvl w:ilvl="1">
      <w:lvlJc w:val="left"/>
      <w:lvlText w:val="•"/>
      <w:numFmt w:val="bullet"/>
      <w:start w:val="1"/>
    </w:lvl>
  </w:abstractNum>
  <w:abstractNum w:abstractNumId="119">
    <w:nsid w:val="2BB180D8"/>
    <w:multiLevelType w:val="hybridMultilevel"/>
    <w:lvl w:ilvl="0">
      <w:lvlJc w:val="left"/>
      <w:lvlText w:val="•"/>
      <w:numFmt w:val="bullet"/>
      <w:start w:val="1"/>
    </w:lvl>
  </w:abstractNum>
  <w:abstractNum w:abstractNumId="120">
    <w:nsid w:val="556B69ED"/>
    <w:multiLevelType w:val="hybridMultilevel"/>
    <w:lvl w:ilvl="0">
      <w:lvlJc w:val="left"/>
      <w:lvlText w:val="•"/>
      <w:numFmt w:val="bullet"/>
      <w:start w:val="1"/>
    </w:lvl>
  </w:abstractNum>
  <w:abstractNum w:abstractNumId="121">
    <w:nsid w:val="70836196"/>
    <w:multiLevelType w:val="hybridMultilevel"/>
    <w:lvl w:ilvl="0">
      <w:lvlJc w:val="left"/>
      <w:lvlText w:val="•"/>
      <w:numFmt w:val="bullet"/>
      <w:start w:val="1"/>
    </w:lvl>
  </w:abstractNum>
  <w:abstractNum w:abstractNumId="122">
    <w:nsid w:val="539F7F12"/>
    <w:multiLevelType w:val="hybridMultilevel"/>
    <w:lvl w:ilvl="0">
      <w:lvlJc w:val="left"/>
      <w:lvlText w:val="•"/>
      <w:numFmt w:val="bullet"/>
      <w:start w:val="1"/>
    </w:lvl>
  </w:abstractNum>
  <w:abstractNum w:abstractNumId="123">
    <w:nsid w:val="2817E7EC"/>
    <w:multiLevelType w:val="hybridMultilevel"/>
    <w:lvl w:ilvl="0">
      <w:lvlJc w:val="left"/>
      <w:lvlText w:val="•"/>
      <w:numFmt w:val="bullet"/>
      <w:start w:val="1"/>
    </w:lvl>
  </w:abstractNum>
  <w:abstractNum w:abstractNumId="124">
    <w:nsid w:val="71482545"/>
    <w:multiLevelType w:val="hybridMultilevel"/>
    <w:lvl w:ilvl="0">
      <w:lvlJc w:val="left"/>
      <w:lvlText w:val="•"/>
      <w:numFmt w:val="bullet"/>
      <w:start w:val="1"/>
    </w:lvl>
  </w:abstractNum>
  <w:abstractNum w:abstractNumId="125">
    <w:nsid w:val="17D78639"/>
    <w:multiLevelType w:val="hybridMultilevel"/>
    <w:lvl w:ilvl="0">
      <w:lvlJc w:val="left"/>
      <w:lvlText w:val="•"/>
      <w:numFmt w:val="bullet"/>
      <w:start w:val="1"/>
    </w:lvl>
  </w:abstractNum>
  <w:abstractNum w:abstractNumId="126">
    <w:nsid w:val="141D2302"/>
    <w:multiLevelType w:val="hybridMultilevel"/>
    <w:lvl w:ilvl="0">
      <w:lvlJc w:val="left"/>
      <w:lvlText w:val="•"/>
      <w:numFmt w:val="bullet"/>
      <w:start w:val="1"/>
    </w:lvl>
  </w:abstractNum>
  <w:abstractNum w:abstractNumId="127">
    <w:nsid w:val="407168D8"/>
    <w:multiLevelType w:val="hybridMultilevel"/>
    <w:lvl w:ilvl="0">
      <w:lvlJc w:val="left"/>
      <w:lvlText w:val="•"/>
      <w:numFmt w:val="bullet"/>
      <w:start w:val="1"/>
    </w:lvl>
  </w:abstractNum>
  <w:abstractNum w:abstractNumId="128">
    <w:nsid w:val="6A1B45E5"/>
    <w:multiLevelType w:val="hybridMultilevel"/>
    <w:lvl w:ilvl="0">
      <w:lvlJc w:val="left"/>
      <w:lvlText w:val="•"/>
      <w:numFmt w:val="bullet"/>
      <w:start w:val="1"/>
    </w:lvl>
  </w:abstractNum>
  <w:abstractNum w:abstractNumId="129">
    <w:nsid w:val="567BD50A"/>
    <w:multiLevelType w:val="hybridMultilevel"/>
    <w:lvl w:ilvl="0">
      <w:lvlJc w:val="left"/>
      <w:lvlText w:val="(%1)"/>
      <w:numFmt w:val="lowerLetter"/>
      <w:start w:val="1"/>
    </w:lvl>
  </w:abstractNum>
  <w:abstractNum w:abstractNumId="130">
    <w:nsid w:val="73BBD7F8"/>
    <w:multiLevelType w:val="hybridMultilevel"/>
    <w:lvl w:ilvl="0">
      <w:lvlJc w:val="left"/>
      <w:lvlText w:val="(%1)"/>
      <w:numFmt w:val="lowerRoman"/>
      <w:start w:val="1"/>
    </w:lvl>
  </w:abstractNum>
  <w:abstractNum w:abstractNumId="131">
    <w:nsid w:val="1876589D"/>
    <w:multiLevelType w:val="hybridMultilevel"/>
    <w:lvl w:ilvl="0">
      <w:lvlJc w:val="left"/>
      <w:lvlText w:val="(%1)"/>
      <w:numFmt w:val="lowerRoman"/>
      <w:start w:val="1"/>
    </w:lvl>
  </w:abstractNum>
  <w:abstractNum w:abstractNumId="132">
    <w:nsid w:val="327FAC77"/>
    <w:multiLevelType w:val="hybridMultilevel"/>
    <w:lvl w:ilvl="0">
      <w:lvlJc w:val="left"/>
      <w:lvlText w:val="•"/>
      <w:numFmt w:val="bullet"/>
      <w:start w:val="1"/>
    </w:lvl>
  </w:abstractNum>
  <w:abstractNum w:abstractNumId="133">
    <w:nsid w:val="5A606509"/>
    <w:multiLevelType w:val="hybridMultilevel"/>
    <w:lvl w:ilvl="0">
      <w:lvlJc w:val="left"/>
      <w:lvlText w:val="•"/>
      <w:numFmt w:val="bullet"/>
      <w:start w:val="1"/>
    </w:lvl>
  </w:abstractNum>
  <w:abstractNum w:abstractNumId="134">
    <w:nsid w:val="6F38E6D1"/>
    <w:multiLevelType w:val="hybridMultilevel"/>
    <w:lvl w:ilvl="0">
      <w:lvlJc w:val="left"/>
      <w:lvlText w:val="(%1)"/>
      <w:numFmt w:val="decimal"/>
      <w:start w:val="2"/>
    </w:lvl>
  </w:abstractNum>
  <w:abstractNum w:abstractNumId="135">
    <w:nsid w:val="46111BA5"/>
    <w:multiLevelType w:val="hybridMultilevel"/>
    <w:lvl w:ilvl="0">
      <w:lvlJc w:val="left"/>
      <w:lvlText w:val="•"/>
      <w:numFmt w:val="bullet"/>
      <w:start w:val="1"/>
    </w:lvl>
  </w:abstractNum>
  <w:abstractNum w:abstractNumId="136">
    <w:nsid w:val="5E963896"/>
    <w:multiLevelType w:val="hybridMultilevel"/>
    <w:lvl w:ilvl="0">
      <w:lvlJc w:val="left"/>
      <w:lvlText w:val="%1."/>
      <w:numFmt w:val="decimal"/>
      <w:start w:val="3"/>
    </w:lvl>
  </w:abstractNum>
  <w:abstractNum w:abstractNumId="137">
    <w:nsid w:val="775BA7C1"/>
    <w:multiLevelType w:val="hybridMultilevel"/>
    <w:lvl w:ilvl="0">
      <w:lvlJc w:val="left"/>
      <w:lvlText w:val="(%1)"/>
      <w:numFmt w:val="decimal"/>
      <w:start w:val="1"/>
    </w:lvl>
  </w:abstractNum>
  <w:abstractNum w:abstractNumId="138">
    <w:nsid w:val="1DD6D6F4"/>
    <w:multiLevelType w:val="hybridMultilevel"/>
    <w:lvl w:ilvl="0">
      <w:lvlJc w:val="left"/>
      <w:lvlText w:val="•"/>
      <w:numFmt w:val="bullet"/>
      <w:start w:val="1"/>
    </w:lvl>
  </w:abstractNum>
  <w:abstractNum w:abstractNumId="139">
    <w:nsid w:val="769A091F"/>
    <w:multiLevelType w:val="hybridMultilevel"/>
    <w:lvl w:ilvl="0">
      <w:lvlJc w:val="left"/>
      <w:lvlText w:val="(%1)"/>
      <w:numFmt w:val="lowerLetter"/>
      <w:start w:val="3"/>
    </w:lvl>
  </w:abstractNum>
  <w:abstractNum w:abstractNumId="140">
    <w:nsid w:val="4695AE95"/>
    <w:multiLevelType w:val="hybridMultilevel"/>
    <w:lvl w:ilvl="0">
      <w:lvlJc w:val="left"/>
      <w:lvlText w:val="%1."/>
      <w:numFmt w:val="decimal"/>
      <w:start w:val="12"/>
    </w:lvl>
  </w:abstractNum>
  <w:abstractNum w:abstractNumId="141">
    <w:nsid w:val="777A4EAA"/>
    <w:multiLevelType w:val="hybridMultilevel"/>
    <w:lvl w:ilvl="0">
      <w:lvlJc w:val="left"/>
      <w:lvlText w:val="%1."/>
      <w:numFmt w:val="decimal"/>
      <w:start w:val="13"/>
    </w:lvl>
  </w:abstractNum>
  <w:abstractNum w:abstractNumId="142">
    <w:nsid w:val="3F48B982"/>
    <w:multiLevelType w:val="hybridMultilevel"/>
    <w:lvl w:ilvl="0">
      <w:lvlJc w:val="left"/>
      <w:lvlText w:val="%1."/>
      <w:numFmt w:val="decimal"/>
      <w:start w:val="14"/>
    </w:lvl>
  </w:abstractNum>
  <w:abstractNum w:abstractNumId="143">
    <w:nsid w:val="46BA8FCA"/>
    <w:multiLevelType w:val="hybridMultilevel"/>
    <w:lvl w:ilvl="0">
      <w:lvlJc w:val="left"/>
      <w:lvlText w:val="%1."/>
      <w:numFmt w:val="decimal"/>
      <w:start w:val="15"/>
    </w:lvl>
  </w:abstractNum>
  <w:abstractNum w:abstractNumId="144">
    <w:nsid w:val="7835626C"/>
    <w:multiLevelType w:val="hybridMultilevel"/>
    <w:lvl w:ilvl="0">
      <w:lvlJc w:val="left"/>
      <w:lvlText w:val="%1."/>
      <w:numFmt w:val="decimal"/>
      <w:start w:val="16"/>
    </w:lvl>
  </w:abstractNum>
  <w:abstractNum w:abstractNumId="145">
    <w:nsid w:val="665ACA49"/>
    <w:multiLevelType w:val="hybridMultilevel"/>
    <w:lvl w:ilvl="0">
      <w:lvlJc w:val="left"/>
      <w:lvlText w:val="%1."/>
      <w:numFmt w:val="decimal"/>
      <w:start w:val="17"/>
    </w:lvl>
  </w:abstractNum>
  <w:abstractNum w:abstractNumId="146">
    <w:nsid w:val="6835B2AE"/>
    <w:multiLevelType w:val="hybridMultilevel"/>
    <w:lvl w:ilvl="0">
      <w:lvlJc w:val="left"/>
      <w:lvlText w:val="*"/>
      <w:numFmt w:val="bullet"/>
      <w:start w:val="1"/>
    </w:lvl>
  </w:abstractNum>
  <w:abstractNum w:abstractNumId="147">
    <w:nsid w:val="4C187C90"/>
    <w:multiLevelType w:val="hybridMultilevel"/>
    <w:lvl w:ilvl="0">
      <w:lvlJc w:val="left"/>
      <w:lvlText w:val="$"/>
      <w:numFmt w:val="bullet"/>
      <w:start w:val="1"/>
    </w:lvl>
  </w:abstractNum>
  <w:abstractNum w:abstractNumId="148">
    <w:nsid w:val="541F28CD"/>
    <w:multiLevelType w:val="hybridMultilevel"/>
    <w:lvl w:ilvl="0">
      <w:lvlJc w:val="left"/>
      <w:lvlText w:val="$"/>
      <w:numFmt w:val="bullet"/>
      <w:start w:val="1"/>
    </w:lvl>
  </w:abstractNum>
  <w:abstractNum w:abstractNumId="149">
    <w:nsid w:val="7F65FD16"/>
    <w:multiLevelType w:val="hybridMultilevel"/>
    <w:lvl w:ilvl="0">
      <w:lvlJc w:val="left"/>
      <w:lvlText w:val="(%1)"/>
      <w:numFmt w:val="lowerLetter"/>
      <w:start w:val="1"/>
    </w:lvl>
    <w:lvl w:ilvl="1">
      <w:lvlJc w:val="left"/>
      <w:lvlText w:val="(%2)"/>
      <w:numFmt w:val="decimal"/>
      <w:start w:val="1"/>
    </w:lvl>
  </w:abstractNum>
  <w:abstractNum w:abstractNumId="150">
    <w:nsid w:val="77C9FD68"/>
    <w:multiLevelType w:val="hybridMultilevel"/>
    <w:lvl w:ilvl="0">
      <w:lvlJc w:val="left"/>
      <w:lvlText w:val="(%1)"/>
      <w:numFmt w:val="lowerLetter"/>
      <w:start w:val="1"/>
    </w:lvl>
    <w:lvl w:ilvl="1">
      <w:lvlJc w:val="left"/>
      <w:lvlText w:val="(%2)"/>
      <w:numFmt w:val="lowerRoman"/>
      <w:start w:val="1"/>
    </w:lvl>
  </w:abstractNum>
  <w:abstractNum w:abstractNumId="151">
    <w:nsid w:val="298A92BA"/>
    <w:multiLevelType w:val="hybridMultilevel"/>
    <w:lvl w:ilvl="0">
      <w:lvlJc w:val="left"/>
      <w:lvlText w:val="*"/>
      <w:numFmt w:val="bullet"/>
      <w:start w:val="1"/>
    </w:lvl>
  </w:abstractNum>
  <w:abstractNum w:abstractNumId="152">
    <w:nsid w:val="6FE95EAC"/>
    <w:multiLevelType w:val="hybridMultilevel"/>
    <w:lvl w:ilvl="0">
      <w:lvlJc w:val="left"/>
      <w:lvlText w:val="%1."/>
      <w:numFmt w:val="decimal"/>
      <w:start w:val="1"/>
    </w:lvl>
  </w:abstractNum>
  <w:abstractNum w:abstractNumId="153">
    <w:nsid w:val="4B697C7A"/>
    <w:multiLevelType w:val="hybridMultilevel"/>
    <w:lvl w:ilvl="0">
      <w:lvlJc w:val="left"/>
      <w:lvlText w:val="%1."/>
      <w:numFmt w:val="decimal"/>
      <w:start w:val="2"/>
    </w:lvl>
  </w:abstractNum>
  <w:abstractNum w:abstractNumId="154">
    <w:nsid w:val="51A27AA6"/>
    <w:multiLevelType w:val="hybridMultilevel"/>
    <w:lvl w:ilvl="0">
      <w:lvlJc w:val="left"/>
      <w:lvlText w:val="(%1)"/>
      <w:numFmt w:val="lowerLetter"/>
      <w:start w:val="2"/>
    </w:lvl>
  </w:abstractNum>
  <w:abstractNum w:abstractNumId="155">
    <w:nsid w:val="613183F2"/>
    <w:multiLevelType w:val="hybridMultilevel"/>
    <w:lvl w:ilvl="0">
      <w:lvlJc w:val="left"/>
      <w:lvlText w:val="(%1)"/>
      <w:numFmt w:val="lowerLetter"/>
      <w:start w:val="3"/>
    </w:lvl>
  </w:abstractNum>
  <w:abstractNum w:abstractNumId="156">
    <w:nsid w:val="634102B4"/>
    <w:multiLevelType w:val="hybridMultilevel"/>
    <w:lvl w:ilvl="0">
      <w:lvlJc w:val="left"/>
      <w:lvlText w:val="(%1)"/>
      <w:numFmt w:val="lowerLetter"/>
      <w:start w:val="1"/>
    </w:lvl>
  </w:abstractNum>
  <w:abstractNum w:abstractNumId="157">
    <w:nsid w:val="65BF9DA8"/>
    <w:multiLevelType w:val="hybridMultilevel"/>
    <w:lvl w:ilvl="0">
      <w:lvlJc w:val="left"/>
      <w:lvlText w:val="(%1)"/>
      <w:numFmt w:val="lowerLetter"/>
      <w:start w:val="4"/>
    </w:lvl>
  </w:abstractNum>
  <w:abstractNum w:abstractNumId="158">
    <w:nsid w:val="21A2ECCA"/>
    <w:multiLevelType w:val="hybridMultilevel"/>
    <w:lvl w:ilvl="0">
      <w:lvlJc w:val="left"/>
      <w:lvlText w:val="(%1)"/>
      <w:numFmt w:val="lowerLetter"/>
      <w:start w:val="6"/>
    </w:lvl>
  </w:abstractNum>
  <w:abstractNum w:abstractNumId="159">
    <w:nsid w:val="4D5C4899"/>
    <w:multiLevelType w:val="hybridMultilevel"/>
    <w:lvl w:ilvl="0">
      <w:lvlJc w:val="left"/>
      <w:lvlText w:val="%1"/>
      <w:numFmt w:val="lowerLetter"/>
      <w:start w:val="1"/>
    </w:lvl>
    <w:lvl w:ilvl="1">
      <w:lvlJc w:val="left"/>
      <w:lvlText w:val="(%2)"/>
      <w:numFmt w:val="lowerLetter"/>
      <w:start w:val="9"/>
    </w:lvl>
  </w:abstractNum>
  <w:abstractNum w:abstractNumId="160">
    <w:nsid w:val="3C3B72B2"/>
    <w:multiLevelType w:val="hybridMultilevel"/>
    <w:lvl w:ilvl="0">
      <w:lvlJc w:val="left"/>
      <w:lvlText w:val="(%1)"/>
      <w:numFmt w:val="lowerLetter"/>
      <w:start w:val="35"/>
    </w:lvl>
    <w:lvl w:ilvl="1">
      <w:lvlJc w:val="left"/>
      <w:lvlText w:val="%2"/>
      <w:numFmt w:val="lowerLetter"/>
      <w:start w:val="1"/>
    </w:lvl>
  </w:abstractNum>
  <w:abstractNum w:abstractNumId="161">
    <w:nsid w:val="155EC4C2"/>
    <w:multiLevelType w:val="hybridMultilevel"/>
    <w:lvl w:ilvl="0">
      <w:lvlJc w:val="left"/>
      <w:lvlText w:val="(%1)"/>
      <w:numFmt w:val="lowerLetter"/>
      <w:start w:val="13"/>
    </w:lvl>
  </w:abstractNum>
  <w:abstractNum w:abstractNumId="162">
    <w:nsid w:val="65D2A137"/>
    <w:multiLevelType w:val="hybridMultilevel"/>
    <w:lvl w:ilvl="0">
      <w:lvlJc w:val="left"/>
      <w:lvlText w:val="(%1)"/>
      <w:numFmt w:val="lowerLetter"/>
      <w:start w:val="16"/>
    </w:lvl>
  </w:abstractNum>
  <w:abstractNum w:abstractNumId="163">
    <w:nsid w:val="6EBB1F2A"/>
    <w:multiLevelType w:val="hybridMultilevel"/>
    <w:lvl w:ilvl="0">
      <w:lvlJc w:val="left"/>
      <w:lvlText w:val="%1"/>
      <w:numFmt w:val="lowerRoman"/>
      <w:start w:val="1"/>
    </w:lvl>
    <w:lvl w:ilvl="1">
      <w:lvlJc w:val="left"/>
      <w:lvlText w:val="(%2)"/>
      <w:numFmt w:val="lowerLetter"/>
      <w:start w:val="19"/>
    </w:lvl>
  </w:abstractNum>
  <w:abstractNum w:abstractNumId="164">
    <w:nsid w:val="6FBF29CB"/>
    <w:multiLevelType w:val="hybridMultilevel"/>
    <w:lvl w:ilvl="0">
      <w:lvlJc w:val="left"/>
      <w:lvlText w:val="(%1)"/>
      <w:numFmt w:val="lowerRoman"/>
      <w:start w:val="4"/>
    </w:lvl>
    <w:lvl w:ilvl="1">
      <w:lvlJc w:val="left"/>
      <w:lvlText w:val="%2"/>
      <w:numFmt w:val="lowerLetter"/>
      <w:start w:val="1"/>
    </w:lvl>
  </w:abstractNum>
  <w:abstractNum w:abstractNumId="165">
    <w:nsid w:val="550B8808"/>
    <w:multiLevelType w:val="hybridMultilevel"/>
    <w:lvl w:ilvl="0">
      <w:lvlJc w:val="left"/>
      <w:lvlText w:val="(%1)"/>
      <w:numFmt w:val="lowerRoman"/>
      <w:start w:val="8"/>
    </w:lvl>
    <w:lvl w:ilvl="1">
      <w:lvlJc w:val="left"/>
      <w:lvlText w:val="%2"/>
      <w:numFmt w:val="lowerLetter"/>
      <w:start w:val="1"/>
    </w:lvl>
  </w:abstractNum>
  <w:abstractNum w:abstractNumId="166">
    <w:nsid w:val="34CC3ACF"/>
    <w:multiLevelType w:val="hybridMultilevel"/>
    <w:lvl w:ilvl="0">
      <w:lvlJc w:val="left"/>
      <w:lvlText w:val="(%1)"/>
      <w:numFmt w:val="lowerLetter"/>
      <w:start w:val="21"/>
    </w:lvl>
  </w:abstractNum>
  <w:abstractNum w:abstractNumId="167">
    <w:nsid w:val="4E556261"/>
    <w:multiLevelType w:val="hybridMultilevel"/>
    <w:lvl w:ilvl="0">
      <w:lvlJc w:val="left"/>
      <w:lvlText w:val="(%1)"/>
      <w:numFmt w:val="lowerLetter"/>
      <w:start w:val="25"/>
    </w:lvl>
  </w:abstractNum>
  <w:abstractNum w:abstractNumId="168">
    <w:nsid w:val="4C672FC9"/>
    <w:multiLevelType w:val="hybridMultilevel"/>
    <w:lvl w:ilvl="0">
      <w:lvlJc w:val="left"/>
      <w:lvlText w:val="(%1)"/>
      <w:numFmt w:val="lowerLetter"/>
      <w:start w:val="26"/>
    </w:lvl>
  </w:abstractNum>
  <w:abstractNum w:abstractNumId="169">
    <w:nsid w:val="52A311C3"/>
    <w:multiLevelType w:val="hybridMultilevel"/>
    <w:lvl w:ilvl="0">
      <w:lvlJc w:val="left"/>
      <w:lvlText w:val="(%1)"/>
      <w:numFmt w:val="lowerLetter"/>
      <w:start w:val="27"/>
    </w:lvl>
  </w:abstractNum>
  <w:abstractNum w:abstractNumId="170">
    <w:nsid w:val="44EF6B80"/>
    <w:multiLevelType w:val="hybridMultilevel"/>
    <w:lvl w:ilvl="0">
      <w:lvlJc w:val="left"/>
      <w:lvlText w:val="(%1)"/>
      <w:numFmt w:val="lowerLetter"/>
      <w:start w:val="29"/>
    </w:lvl>
  </w:abstractNum>
  <w:abstractNum w:abstractNumId="171">
    <w:nsid w:val="12FCDE5E"/>
    <w:multiLevelType w:val="hybridMultilevel"/>
    <w:lvl w:ilvl="0">
      <w:lvlJc w:val="left"/>
      <w:lvlText w:val="(%1)"/>
      <w:numFmt w:val="lowerLetter"/>
      <w:start w:val="33"/>
    </w:lvl>
  </w:abstractNum>
  <w:abstractNum w:abstractNumId="172">
    <w:nsid w:val="4A1D606E"/>
    <w:multiLevelType w:val="hybridMultilevel"/>
    <w:lvl w:ilvl="0">
      <w:lvlJc w:val="left"/>
      <w:lvlText w:val="(%1)"/>
      <w:numFmt w:val="lowerLetter"/>
      <w:start w:val="39"/>
    </w:lvl>
  </w:abstractNum>
  <w:abstractNum w:abstractNumId="173">
    <w:nsid w:val="4382503"/>
    <w:multiLevelType w:val="hybridMultilevel"/>
    <w:lvl w:ilvl="0">
      <w:lvlJc w:val="left"/>
      <w:lvlText w:val="%1."/>
      <w:numFmt w:val="decimal"/>
      <w:start w:val="4"/>
    </w:lvl>
  </w:abstractNum>
  <w:abstractNum w:abstractNumId="174">
    <w:nsid w:val="59B76E28"/>
    <w:multiLevelType w:val="hybridMultilevel"/>
    <w:lvl w:ilvl="0">
      <w:lvlJc w:val="left"/>
      <w:lvlText w:val="(%1)"/>
      <w:numFmt w:val="lowerLetter"/>
      <w:start w:val="1"/>
    </w:lvl>
  </w:abstractNum>
  <w:abstractNum w:abstractNumId="175">
    <w:nsid w:val="4252C2DA"/>
    <w:multiLevelType w:val="hybridMultilevel"/>
    <w:lvl w:ilvl="0">
      <w:lvlJc w:val="left"/>
      <w:lvlText w:val="(%1)"/>
      <w:numFmt w:val="lowerLetter"/>
      <w:start w:val="2"/>
    </w:lvl>
  </w:abstractNum>
  <w:abstractNum w:abstractNumId="176">
    <w:nsid w:val="6A92EF4C"/>
    <w:multiLevelType w:val="hybridMultilevel"/>
    <w:lvl w:ilvl="0">
      <w:lvlJc w:val="left"/>
      <w:lvlText w:val="(%1)"/>
      <w:numFmt w:val="lowerLetter"/>
      <w:start w:val="7"/>
    </w:lvl>
  </w:abstractNum>
  <w:abstractNum w:abstractNumId="177">
    <w:nsid w:val="41ED20D7"/>
    <w:multiLevelType w:val="hybridMultilevel"/>
    <w:lvl w:ilvl="0">
      <w:lvlJc w:val="left"/>
      <w:lvlText w:val="(%1)"/>
      <w:numFmt w:val="lowerLetter"/>
      <w:start w:val="1"/>
    </w:lvl>
  </w:abstractNum>
  <w:abstractNum w:abstractNumId="178">
    <w:nsid w:val="E6B3F6A"/>
    <w:multiLevelType w:val="hybridMultilevel"/>
    <w:lvl w:ilvl="0">
      <w:lvlJc w:val="left"/>
      <w:lvlText w:val="(%1)"/>
      <w:numFmt w:val="lowerLetter"/>
      <w:start w:val="4"/>
    </w:lvl>
  </w:abstractNum>
  <w:abstractNum w:abstractNumId="179">
    <w:nsid w:val="3EB21819"/>
    <w:multiLevelType w:val="hybridMultilevel"/>
    <w:lvl w:ilvl="0">
      <w:lvlJc w:val="left"/>
      <w:lvlText w:val="(%1)"/>
      <w:numFmt w:val="lowerLetter"/>
      <w:start w:val="6"/>
    </w:lvl>
  </w:abstractNum>
  <w:abstractNum w:abstractNumId="180">
    <w:nsid w:val="41531DED"/>
    <w:multiLevelType w:val="hybridMultilevel"/>
    <w:lvl w:ilvl="0">
      <w:lvlJc w:val="left"/>
      <w:lvlText w:val="(%1)"/>
      <w:numFmt w:val="lowerLetter"/>
      <w:start w:val="9"/>
    </w:lvl>
  </w:abstractNum>
  <w:abstractNum w:abstractNumId="181">
    <w:nsid w:val="6353CD2"/>
    <w:multiLevelType w:val="hybridMultilevel"/>
    <w:lvl w:ilvl="0">
      <w:lvlJc w:val="left"/>
      <w:lvlText w:val="%1."/>
      <w:numFmt w:val="decimal"/>
      <w:start w:val="6"/>
    </w:lvl>
  </w:abstractNum>
  <w:abstractNum w:abstractNumId="182">
    <w:nsid w:val="683CAAD3"/>
    <w:multiLevelType w:val="hybridMultilevel"/>
    <w:lvl w:ilvl="0">
      <w:lvlJc w:val="left"/>
      <w:lvlText w:val="(%1)"/>
      <w:numFmt w:val="lowerLetter"/>
      <w:start w:val="1"/>
    </w:lvl>
  </w:abstractNum>
  <w:abstractNum w:abstractNumId="183">
    <w:nsid w:val="313C7C99"/>
    <w:multiLevelType w:val="hybridMultilevel"/>
    <w:lvl w:ilvl="0">
      <w:lvlJc w:val="left"/>
      <w:lvlText w:val="%1"/>
      <w:numFmt w:val="lowerLetter"/>
      <w:start w:val="1"/>
    </w:lvl>
    <w:lvl w:ilvl="1">
      <w:lvlJc w:val="left"/>
      <w:lvlText w:val="(%2)"/>
      <w:numFmt w:val="lowerLetter"/>
      <w:start w:val="1"/>
    </w:lvl>
  </w:abstractNum>
  <w:abstractNum w:abstractNumId="184">
    <w:nsid w:val="519EB94C"/>
    <w:multiLevelType w:val="hybridMultilevel"/>
    <w:lvl w:ilvl="0">
      <w:lvlJc w:val="left"/>
      <w:lvlText w:val="(%1)"/>
      <w:numFmt w:val="lowerLetter"/>
      <w:start w:val="9"/>
    </w:lvl>
    <w:lvl w:ilvl="1">
      <w:lvlJc w:val="left"/>
      <w:lvlText w:val="(%2)"/>
      <w:numFmt w:val="lowerLetter"/>
      <w:start w:val="2"/>
    </w:lvl>
  </w:abstractNum>
  <w:abstractNum w:abstractNumId="185">
    <w:nsid w:val="39DF2579"/>
    <w:multiLevelType w:val="hybridMultilevel"/>
    <w:lvl w:ilvl="0">
      <w:lvlJc w:val="left"/>
      <w:lvlText w:val="%1."/>
      <w:numFmt w:val="decimal"/>
      <w:start w:val="8"/>
    </w:lvl>
  </w:abstractNum>
  <w:abstractNum w:abstractNumId="186">
    <w:nsid w:val="126E008B"/>
    <w:multiLevelType w:val="hybridMultilevel"/>
    <w:lvl w:ilvl="0">
      <w:lvlJc w:val="left"/>
      <w:lvlText w:val="(%1)"/>
      <w:numFmt w:val="lowerLetter"/>
      <w:start w:val="1"/>
    </w:lvl>
  </w:abstractNum>
  <w:abstractNum w:abstractNumId="187">
    <w:nsid w:val="34DFBC00"/>
    <w:multiLevelType w:val="hybridMultilevel"/>
    <w:lvl w:ilvl="0">
      <w:lvlJc w:val="left"/>
      <w:lvlText w:val="(%1)"/>
      <w:numFmt w:val="lowerLetter"/>
      <w:start w:val="2"/>
    </w:lvl>
  </w:abstractNum>
  <w:abstractNum w:abstractNumId="188">
    <w:nsid w:val="1F9EC322"/>
    <w:multiLevelType w:val="hybridMultilevel"/>
    <w:lvl w:ilvl="0">
      <w:lvlJc w:val="left"/>
      <w:lvlText w:val="(%1)"/>
      <w:numFmt w:val="lowerLetter"/>
      <w:start w:val="6"/>
    </w:lvl>
  </w:abstractNum>
  <w:abstractNum w:abstractNumId="189">
    <w:nsid w:val="3410ED56"/>
    <w:multiLevelType w:val="hybridMultilevel"/>
    <w:lvl w:ilvl="0">
      <w:lvlJc w:val="left"/>
      <w:lvlText w:val="(%1)"/>
      <w:numFmt w:val="lowerLetter"/>
      <w:start w:val="13"/>
    </w:lvl>
  </w:abstractNum>
  <w:abstractNum w:abstractNumId="190">
    <w:nsid w:val="23C049A"/>
    <w:multiLevelType w:val="hybridMultilevel"/>
    <w:lvl w:ilvl="0">
      <w:lvlJc w:val="left"/>
      <w:lvlText w:val="%1."/>
      <w:numFmt w:val="decimal"/>
      <w:start w:val="9"/>
    </w:lvl>
  </w:abstractNum>
  <w:abstractNum w:abstractNumId="191">
    <w:nsid w:val="5BDA35D4"/>
    <w:multiLevelType w:val="hybridMultilevel"/>
    <w:lvl w:ilvl="0">
      <w:lvlJc w:val="left"/>
      <w:lvlText w:val="%1"/>
      <w:numFmt w:val="lowerLetter"/>
      <w:start w:val="1"/>
    </w:lvl>
    <w:lvl w:ilvl="1">
      <w:lvlJc w:val="left"/>
      <w:lvlText w:val="(%2)"/>
      <w:numFmt w:val="lowerLetter"/>
      <w:start w:val="1"/>
    </w:lvl>
  </w:abstractNum>
  <w:abstractNum w:abstractNumId="192">
    <w:nsid w:val="496FB218"/>
    <w:multiLevelType w:val="hybridMultilevel"/>
    <w:lvl w:ilvl="0">
      <w:lvlJc w:val="left"/>
      <w:lvlText w:val="(%1)"/>
      <w:numFmt w:val="lowerLetter"/>
      <w:start w:val="9"/>
    </w:lvl>
    <w:lvl w:ilvl="1">
      <w:lvlJc w:val="left"/>
      <w:lvlText w:val="%2"/>
      <w:numFmt w:val="lowerLetter"/>
      <w:start w:val="1"/>
    </w:lvl>
  </w:abstractNum>
  <w:abstractNum w:abstractNumId="193">
    <w:nsid w:val="680EA5D1"/>
    <w:multiLevelType w:val="hybridMultilevel"/>
    <w:lvl w:ilvl="0">
      <w:lvlJc w:val="left"/>
      <w:lvlText w:val="(%1)"/>
      <w:numFmt w:val="lowerLetter"/>
      <w:start w:val="2"/>
    </w:lvl>
  </w:abstractNum>
  <w:abstractNum w:abstractNumId="194">
    <w:nsid w:val="4A9554FE"/>
    <w:multiLevelType w:val="hybridMultilevel"/>
    <w:lvl w:ilvl="0">
      <w:lvlJc w:val="left"/>
      <w:lvlText w:val="(%1)"/>
      <w:numFmt w:val="lowerLetter"/>
      <w:start w:val="3"/>
    </w:lvl>
  </w:abstractNum>
  <w:abstractNum w:abstractNumId="195">
    <w:nsid w:val="392EDBE4"/>
    <w:multiLevelType w:val="hybridMultilevel"/>
    <w:lvl w:ilvl="0">
      <w:lvlJc w:val="left"/>
      <w:lvlText w:val="(%1)"/>
      <w:numFmt w:val="upperLetter"/>
      <w:start w:val="1"/>
    </w:lvl>
  </w:abstractNum>
  <w:abstractNum w:abstractNumId="196">
    <w:nsid w:val="3D1A2DD9"/>
    <w:multiLevelType w:val="hybridMultilevel"/>
    <w:lvl w:ilvl="0">
      <w:lvlJc w:val="left"/>
      <w:lvlText w:val="(%1)"/>
      <w:numFmt w:val="lowerLetter"/>
      <w:start w:val="5"/>
    </w:lvl>
  </w:abstractNum>
  <w:abstractNum w:abstractNumId="197">
    <w:nsid w:val="7F618FCD"/>
    <w:multiLevelType w:val="hybridMultilevel"/>
    <w:lvl w:ilvl="0">
      <w:lvlJc w:val="left"/>
      <w:lvlText w:val="(%1)"/>
      <w:numFmt w:val="lowerLetter"/>
      <w:start w:val="7"/>
    </w:lvl>
  </w:abstractNum>
  <w:abstractNum w:abstractNumId="198">
    <w:nsid w:val="7843E45"/>
    <w:multiLevelType w:val="hybridMultilevel"/>
    <w:lvl w:ilvl="0">
      <w:lvlJc w:val="left"/>
      <w:lvlText w:val="%1"/>
      <w:numFmt w:val="lowerRoman"/>
      <w:start w:val="1"/>
    </w:lvl>
    <w:lvl w:ilvl="1">
      <w:lvlJc w:val="left"/>
      <w:lvlText w:val="%2."/>
      <w:numFmt w:val="decimal"/>
      <w:start w:val="10"/>
    </w:lvl>
  </w:abstractNum>
  <w:abstractNum w:abstractNumId="199">
    <w:nsid w:val="9815DA3"/>
    <w:multiLevelType w:val="hybridMultilevel"/>
    <w:lvl w:ilvl="0">
      <w:lvlJc w:val="left"/>
      <w:lvlText w:val="(%1)"/>
      <w:numFmt w:val="lowerRoman"/>
      <w:start w:val="1"/>
    </w:lvl>
    <w:lvl w:ilvl="1">
      <w:lvlJc w:val="left"/>
      <w:lvlText w:val="%2."/>
      <w:numFmt w:val="decimal"/>
      <w:start w:val="12"/>
    </w:lvl>
  </w:abstractNum>
  <w:abstractNum w:abstractNumId="200">
    <w:nsid w:val="5204A191"/>
    <w:multiLevelType w:val="hybridMultilevel"/>
    <w:lvl w:ilvl="0">
      <w:lvlJc w:val="left"/>
      <w:lvlText w:val="(%1)"/>
      <w:numFmt w:val="lowerLetter"/>
      <w:start w:val="2"/>
    </w:lvl>
  </w:abstractNum>
  <w:abstractNum w:abstractNumId="201">
    <w:nsid w:val="4C73A9C6"/>
    <w:multiLevelType w:val="hybridMultilevel"/>
    <w:lvl w:ilvl="0">
      <w:lvlJc w:val="left"/>
      <w:lvlText w:val="%1."/>
      <w:numFmt w:val="decimal"/>
      <w:start w:val="13"/>
    </w:lvl>
  </w:abstractNum>
  <w:abstractNum w:abstractNumId="202">
    <w:nsid w:val="1C7E3C01"/>
    <w:multiLevelType w:val="hybridMultilevel"/>
    <w:lvl w:ilvl="0">
      <w:lvlJc w:val="left"/>
      <w:lvlText w:val="(%1)"/>
      <w:numFmt w:val="lowerRoman"/>
      <w:start w:val="9"/>
    </w:lvl>
    <w:lvl w:ilvl="1">
      <w:lvlJc w:val="left"/>
      <w:lvlText w:val="(%2)"/>
      <w:numFmt w:val="lowerLetter"/>
      <w:start w:val="2"/>
    </w:lvl>
  </w:abstractNum>
  <w:abstractNum w:abstractNumId="203">
    <w:nsid w:val="1C2201FF"/>
    <w:multiLevelType w:val="hybridMultilevel"/>
    <w:lvl w:ilvl="0">
      <w:lvlJc w:val="left"/>
      <w:lvlText w:val="%1."/>
      <w:numFmt w:val="decimal"/>
      <w:start w:val="14"/>
    </w:lvl>
  </w:abstractNum>
  <w:abstractNum w:abstractNumId="204">
    <w:nsid w:val="50ABCEC9"/>
    <w:multiLevelType w:val="hybridMultilevel"/>
    <w:lvl w:ilvl="0">
      <w:lvlJc w:val="left"/>
      <w:lvlText w:val="%1."/>
      <w:numFmt w:val="decimal"/>
      <w:start w:val="17"/>
    </w:lvl>
  </w:abstractNum>
  <w:abstractNum w:abstractNumId="205">
    <w:nsid w:val="7635AA2A"/>
    <w:multiLevelType w:val="hybridMultilevel"/>
    <w:lvl w:ilvl="0">
      <w:lvlJc w:val="left"/>
      <w:lvlText w:val="(%1)"/>
      <w:numFmt w:val="lowerLetter"/>
      <w:start w:val="2"/>
    </w:lvl>
  </w:abstractNum>
  <w:abstractNum w:abstractNumId="206">
    <w:nsid w:val="5E74C4D9"/>
    <w:multiLevelType w:val="hybridMultilevel"/>
    <w:lvl w:ilvl="0">
      <w:lvlJc w:val="left"/>
      <w:lvlText w:val=";"/>
      <w:numFmt w:val="bullet"/>
      <w:start w:val="1"/>
    </w:lvl>
    <w:lvl w:ilvl="1">
      <w:lvlJc w:val="left"/>
      <w:lvlText w:val="(%2)"/>
      <w:numFmt w:val="lowerLetter"/>
      <w:start w:val="3"/>
    </w:lvl>
  </w:abstractNum>
  <w:abstractNum w:abstractNumId="207">
    <w:nsid w:val="3B3EBE15"/>
    <w:multiLevelType w:val="hybridMultilevel"/>
    <w:lvl w:ilvl="0">
      <w:lvlJc w:val="left"/>
      <w:lvlText w:val="%1."/>
      <w:numFmt w:val="decimal"/>
      <w:start w:val="1"/>
    </w:lvl>
  </w:abstractNum>
  <w:abstractNum w:abstractNumId="208">
    <w:nsid w:val="3822CB01"/>
    <w:multiLevelType w:val="hybridMultilevel"/>
    <w:lvl w:ilvl="0">
      <w:lvlJc w:val="left"/>
      <w:lvlText w:val="%1."/>
      <w:numFmt w:val="decimal"/>
      <w:start w:val="11"/>
    </w:lvl>
  </w:abstractNum>
  <w:abstractNum w:abstractNumId="209">
    <w:nsid w:val="6CE00443"/>
    <w:multiLevelType w:val="hybridMultilevel"/>
    <w:lvl w:ilvl="0">
      <w:lvlJc w:val="left"/>
      <w:lvlText w:val="%1."/>
      <w:numFmt w:val="decimal"/>
      <w:start w:val="12"/>
    </w:lvl>
  </w:abstractNum>
  <w:abstractNum w:abstractNumId="210">
    <w:nsid w:val="79F0D62F"/>
    <w:multiLevelType w:val="hybridMultilevel"/>
    <w:lvl w:ilvl="0">
      <w:lvlJc w:val="left"/>
      <w:lvlText w:val="(%1)"/>
      <w:numFmt w:val="lowerLetter"/>
      <w:start w:val="1"/>
    </w:lvl>
  </w:abstractNum>
  <w:abstractNum w:abstractNumId="211">
    <w:nsid w:val="7975E8EE"/>
    <w:multiLevelType w:val="hybridMultilevel"/>
    <w:lvl w:ilvl="0">
      <w:lvlJc w:val="left"/>
      <w:lvlText w:val="%1."/>
      <w:numFmt w:val="lowerLetter"/>
      <w:start w:val="1"/>
    </w:lvl>
  </w:abstractNum>
  <w:abstractNum w:abstractNumId="212">
    <w:nsid w:val="73154115"/>
    <w:multiLevelType w:val="hybridMultilevel"/>
    <w:lvl w:ilvl="0">
      <w:lvlJc w:val="left"/>
      <w:lvlText w:val="%1."/>
      <w:numFmt w:val="decimal"/>
      <w:start w:val="1"/>
    </w:lvl>
  </w:abstractNum>
  <w:abstractNum w:abstractNumId="213">
    <w:nsid w:val="622D8102"/>
    <w:multiLevelType w:val="hybridMultilevel"/>
    <w:lvl w:ilvl="0">
      <w:lvlJc w:val="left"/>
      <w:lvlText w:val="(%1)"/>
      <w:numFmt w:val="decimal"/>
      <w:start w:val="1"/>
    </w:lvl>
  </w:abstractNum>
  <w:abstractNum w:abstractNumId="214">
    <w:nsid w:val="2AB26587"/>
    <w:multiLevelType w:val="hybridMultilevel"/>
    <w:lvl w:ilvl="0">
      <w:lvlJc w:val="left"/>
      <w:lvlText w:val="\emdash "/>
      <w:numFmt w:val="bullet"/>
      <w:start w:val="1"/>
    </w:lvl>
  </w:abstractNum>
  <w:abstractNum w:abstractNumId="215">
    <w:nsid w:val="44B3FA61"/>
    <w:multiLevelType w:val="hybridMultilevel"/>
    <w:lvl w:ilvl="0">
      <w:lvlJc w:val="left"/>
      <w:lvlText w:val="%1."/>
      <w:numFmt w:val="decimal"/>
      <w:start w:val="1"/>
    </w:lvl>
  </w:abstractNum>
  <w:abstractNum w:abstractNumId="216">
    <w:nsid w:val="1C0CA67C"/>
    <w:multiLevelType w:val="hybridMultilevel"/>
    <w:lvl w:ilvl="0">
      <w:lvlJc w:val="left"/>
      <w:lvlText w:val="%1."/>
      <w:numFmt w:val="decimal"/>
      <w:start w:val="1"/>
    </w:lvl>
  </w:abstractNum>
  <w:abstractNum w:abstractNumId="217">
    <w:nsid w:val="3D206613"/>
    <w:multiLevelType w:val="hybridMultilevel"/>
    <w:lvl w:ilvl="0">
      <w:lvlJc w:val="left"/>
      <w:lvlText w:val="%1."/>
      <w:numFmt w:val="decimal"/>
      <w:start w:val="3"/>
    </w:lvl>
    <w:lvl w:ilvl="1">
      <w:lvlJc w:val="left"/>
      <w:lvlText w:val="%2."/>
      <w:numFmt w:val="lowerLetter"/>
      <w:start w:val="1"/>
    </w:lvl>
  </w:abstractNum>
  <w:abstractNum w:abstractNumId="218">
    <w:nsid w:val="7993B662"/>
    <w:multiLevelType w:val="hybridMultilevel"/>
    <w:lvl w:ilvl="0">
      <w:lvlJc w:val="left"/>
      <w:lvlText w:val="(%1)"/>
      <w:numFmt w:val="lowerRoman"/>
      <w:start w:val="1"/>
    </w:lvl>
  </w:abstractNum>
  <w:abstractNum w:abstractNumId="219">
    <w:nsid w:val="3BAB699E"/>
    <w:multiLevelType w:val="hybridMultilevel"/>
    <w:lvl w:ilvl="0">
      <w:lvlJc w:val="left"/>
      <w:lvlText w:val="%1"/>
      <w:numFmt w:val="lowerLetter"/>
      <w:start w:val="1"/>
    </w:lvl>
    <w:lvl w:ilvl="1">
      <w:lvlJc w:val="left"/>
      <w:lvlText w:val="(%2)"/>
      <w:numFmt w:val="lowerRoman"/>
      <w:start w:val="6"/>
    </w:lvl>
  </w:abstractNum>
  <w:abstractNum w:abstractNumId="220">
    <w:nsid w:val="71315369"/>
    <w:multiLevelType w:val="hybridMultilevel"/>
    <w:lvl w:ilvl="0">
      <w:lvlJc w:val="left"/>
      <w:lvlText w:val="%1."/>
      <w:numFmt w:val="lowerLetter"/>
      <w:start w:val="3"/>
    </w:lvl>
    <w:lvl w:ilvl="1">
      <w:lvlJc w:val="left"/>
      <w:lvlText w:val="(%2)"/>
      <w:numFmt w:val="lowerRoman"/>
      <w:start w:val="1"/>
    </w:lvl>
  </w:abstractNum>
  <w:abstractNum w:abstractNumId="221">
    <w:nsid w:val="7BCFBAF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2">
    <w:nsid w:val="17859F7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3">
    <w:nsid w:val="3AA1058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4">
    <w:nsid w:val="63DE60CD"/>
    <w:multiLevelType w:val="hybridMultilevel"/>
    <w:lvl w:ilvl="0">
      <w:lvlJc w:val="left"/>
      <w:lvlText w:val="(%1)"/>
      <w:numFmt w:val="lowerLetter"/>
      <w:start w:val="2"/>
    </w:lvl>
  </w:abstractNum>
  <w:abstractNum w:abstractNumId="225">
    <w:nsid w:val="621AF471"/>
    <w:multiLevelType w:val="hybridMultilevel"/>
    <w:lvl w:ilvl="0">
      <w:lvlJc w:val="left"/>
      <w:lvlText w:val="%1"/>
      <w:numFmt w:val="lowerLetter"/>
      <w:start w:val="1"/>
    </w:lvl>
    <w:lvl w:ilvl="1">
      <w:lvlJc w:val="left"/>
      <w:lvlText w:val="(%2)"/>
      <w:numFmt w:val="lowerLetter"/>
      <w:start w:val="4"/>
    </w:lvl>
  </w:abstractNum>
  <w:abstractNum w:abstractNumId="226">
    <w:nsid w:val="73CFE165"/>
    <w:multiLevelType w:val="hybridMultilevel"/>
    <w:lvl w:ilvl="0">
      <w:lvlJc w:val="left"/>
      <w:lvlText w:val="(%1)"/>
      <w:numFmt w:val="lowerLetter"/>
      <w:start w:val="9"/>
    </w:lvl>
    <w:lvl w:ilvl="1">
      <w:lvlJc w:val="left"/>
      <w:lvlText w:val="%2"/>
      <w:numFmt w:val="lowerLetter"/>
      <w:start w:val="1"/>
    </w:lvl>
  </w:abstractNum>
  <w:abstractNum w:abstractNumId="227">
    <w:nsid w:val="20F88EA6"/>
    <w:multiLevelType w:val="hybridMultilevel"/>
    <w:lvl w:ilvl="0">
      <w:lvlJc w:val="left"/>
      <w:lvlText w:val="(%1)"/>
      <w:numFmt w:val="lowerLetter"/>
      <w:start w:val="61"/>
    </w:lvl>
    <w:lvl w:ilvl="1">
      <w:lvlJc w:val="left"/>
      <w:lvlText w:val="(%2)"/>
      <w:numFmt w:val="lowerLetter"/>
      <w:start w:val="5"/>
    </w:lvl>
  </w:abstractNum>
  <w:abstractNum w:abstractNumId="228">
    <w:nsid w:val="617C843E"/>
    <w:multiLevelType w:val="hybridMultilevel"/>
    <w:lvl w:ilvl="0">
      <w:lvlJc w:val="left"/>
      <w:lvlText w:val="(%1)"/>
      <w:numFmt w:val="lowerLetter"/>
      <w:start w:val="4"/>
    </w:lvl>
    <w:lvl w:ilvl="1">
      <w:lvlJc w:val="left"/>
      <w:lvlText w:val="(%2)"/>
      <w:numFmt w:val="lowerLetter"/>
      <w:start w:val="6"/>
    </w:lvl>
  </w:abstractNum>
  <w:abstractNum w:abstractNumId="229">
    <w:nsid w:val="7B541FAB"/>
    <w:multiLevelType w:val="hybridMultilevel"/>
    <w:lvl w:ilvl="0">
      <w:lvlJc w:val="left"/>
      <w:lvlText w:val="(%1)"/>
      <w:numFmt w:val="lowerLetter"/>
      <w:start w:val="7"/>
    </w:lvl>
  </w:abstractNum>
  <w:abstractNum w:abstractNumId="230">
    <w:nsid w:val="2A79EC49"/>
    <w:multiLevelType w:val="hybridMultilevel"/>
    <w:lvl w:ilvl="0">
      <w:lvlJc w:val="left"/>
      <w:lvlText w:val="%1"/>
      <w:numFmt w:val="decimal"/>
      <w:start w:val="1"/>
    </w:lvl>
    <w:lvl w:ilvl="1">
      <w:lvlJc w:val="left"/>
      <w:lvlText w:val="(%2)"/>
      <w:numFmt w:val="lowerLetter"/>
      <w:start w:val="10"/>
    </w:lvl>
  </w:abstractNum>
  <w:abstractNum w:abstractNumId="231">
    <w:nsid w:val="338125CF"/>
    <w:multiLevelType w:val="hybridMultilevel"/>
    <w:lvl w:ilvl="0">
      <w:lvlJc w:val="left"/>
      <w:lvlText w:val="%1."/>
      <w:numFmt w:val="decimal"/>
      <w:start w:val="8"/>
    </w:lvl>
    <w:lvl w:ilvl="1">
      <w:lvlJc w:val="left"/>
      <w:lvlText w:val="%2"/>
      <w:numFmt w:val="lowerLetter"/>
      <w:start w:val="1"/>
    </w:lvl>
  </w:abstractNum>
  <w:abstractNum w:abstractNumId="232">
    <w:nsid w:val="47C7C971"/>
    <w:multiLevelType w:val="hybridMultilevel"/>
    <w:lvl w:ilvl="0">
      <w:lvlJc w:val="left"/>
      <w:lvlText w:val="%1."/>
      <w:numFmt w:val="decimal"/>
      <w:start w:val="9"/>
    </w:lvl>
    <w:lvl w:ilvl="1">
      <w:lvlJc w:val="left"/>
      <w:lvlText w:val="(%2)"/>
      <w:numFmt w:val="lowerRoman"/>
      <w:start w:val="1"/>
    </w:lvl>
  </w:abstractNum>
  <w:abstractNum w:abstractNumId="233">
    <w:nsid w:val="46F8284B"/>
    <w:multiLevelType w:val="hybridMultilevel"/>
    <w:lvl w:ilvl="0">
      <w:lvlJc w:val="left"/>
      <w:lvlText w:val="%1."/>
      <w:numFmt w:val="decimal"/>
      <w:start w:val="4"/>
    </w:lvl>
    <w:lvl w:ilvl="1">
      <w:lvlJc w:val="left"/>
      <w:lvlText w:val="%2."/>
      <w:numFmt w:val="lowerLetter"/>
      <w:start w:val="1"/>
    </w:lvl>
  </w:abstractNum>
  <w:abstractNum w:abstractNumId="234">
    <w:nsid w:val="4FA327CE"/>
    <w:multiLevelType w:val="hybridMultilevel"/>
    <w:lvl w:ilvl="0">
      <w:lvlJc w:val="left"/>
      <w:lvlText w:val="%1."/>
      <w:numFmt w:val="lowerLetter"/>
      <w:start w:val="6"/>
    </w:lvl>
    <w:lvl w:ilvl="1">
      <w:lvlJc w:val="left"/>
      <w:lvlText w:val="(%2)"/>
      <w:numFmt w:val="lowerRoman"/>
      <w:start w:val="1"/>
    </w:lvl>
  </w:abstractNum>
  <w:abstractNum w:abstractNumId="235">
    <w:nsid w:val="1873983A"/>
    <w:multiLevelType w:val="hybridMultilevel"/>
    <w:lvl w:ilvl="0">
      <w:lvlJc w:val="left"/>
      <w:lvlText w:val="%1"/>
      <w:numFmt w:val="lowerLetter"/>
      <w:start w:val="1"/>
    </w:lvl>
    <w:lvl w:ilvl="1">
      <w:lvlJc w:val="left"/>
      <w:lvlText w:val="(%2)"/>
      <w:numFmt w:val="lowerRoman"/>
      <w:start w:val="3"/>
    </w:lvl>
  </w:abstractNum>
  <w:abstractNum w:abstractNumId="236">
    <w:nsid w:val="3D2DD275"/>
    <w:multiLevelType w:val="hybridMultilevel"/>
    <w:lvl w:ilvl="0">
      <w:lvlJc w:val="left"/>
      <w:lvlText w:val="%1."/>
      <w:numFmt w:val="lowerLetter"/>
      <w:start w:val="7"/>
    </w:lvl>
    <w:lvl w:ilvl="1">
      <w:lvlJc w:val="left"/>
      <w:lvlText w:val="%2"/>
      <w:numFmt w:val="lowerRoman"/>
      <w:start w:val="1"/>
    </w:lvl>
  </w:abstractNum>
  <w:abstractNum w:abstractNumId="237">
    <w:nsid w:val="2E17ECA7"/>
    <w:multiLevelType w:val="hybridMultilevel"/>
    <w:lvl w:ilvl="0">
      <w:lvlJc w:val="left"/>
      <w:lvlText w:val="(%1)"/>
      <w:numFmt w:val="decimal"/>
      <w:start w:val="3"/>
    </w:lvl>
  </w:abstractNum>
  <w:abstractNum w:abstractNumId="238">
    <w:nsid w:val="53B2564F"/>
    <w:multiLevelType w:val="hybridMultilevel"/>
    <w:lvl w:ilvl="0">
      <w:lvlJc w:val="left"/>
      <w:lvlText w:val="(%1)"/>
      <w:numFmt w:val="lowerLetter"/>
      <w:start w:val="1"/>
    </w:lvl>
  </w:abstractNum>
  <w:abstractNum w:abstractNumId="239">
    <w:nsid w:val="75509D76"/>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240">
    <w:nsid w:val="1AF7F0E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41">
    <w:nsid w:val="4DA32C7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242">
    <w:nsid w:val="6EC68664"/>
    <w:multiLevelType w:val="hybridMultilevel"/>
    <w:lvl w:ilvl="0">
      <w:lvlJc w:val="left"/>
      <w:lvlText w:val="(%1)"/>
      <w:numFmt w:val="lowerLetter"/>
      <w:start w:val="6"/>
    </w:lvl>
  </w:abstractNum>
  <w:abstractNum w:abstractNumId="243">
    <w:nsid w:val="E0D31FF"/>
    <w:multiLevelType w:val="hybridMultilevel"/>
    <w:lvl w:ilvl="0">
      <w:lvlJc w:val="left"/>
      <w:lvlText w:val="(%1)"/>
      <w:numFmt w:val="lowerLetter"/>
      <w:start w:val="13"/>
    </w:lvl>
  </w:abstractNum>
  <w:abstractNum w:abstractNumId="244">
    <w:nsid w:val="2FD0AD81"/>
    <w:multiLevelType w:val="hybridMultilevel"/>
    <w:lvl w:ilvl="0">
      <w:lvlJc w:val="left"/>
      <w:lvlText w:val="(%1)"/>
      <w:numFmt w:val="lowerLetter"/>
      <w:start w:val="21"/>
    </w:lvl>
  </w:abstractNum>
  <w:abstractNum w:abstractNumId="245">
    <w:nsid w:val="1978EBEB"/>
    <w:multiLevelType w:val="hybridMultilevel"/>
    <w:lvl w:ilvl="0">
      <w:lvlJc w:val="left"/>
      <w:lvlText w:val="(%1)"/>
      <w:numFmt w:val="lowerLetter"/>
      <w:start w:val="23"/>
    </w:lvl>
  </w:abstractNum>
  <w:abstractNum w:abstractNumId="246">
    <w:nsid w:val="52C12C61"/>
    <w:multiLevelType w:val="hybridMultilevel"/>
    <w:lvl w:ilvl="0">
      <w:lvlJc w:val="left"/>
      <w:lvlText w:val="%1"/>
      <w:numFmt w:val="lowerLetter"/>
      <w:start w:val="1"/>
    </w:lvl>
    <w:lvl w:ilvl="1">
      <w:lvlJc w:val="left"/>
      <w:lvlText w:val="(%2)"/>
      <w:numFmt w:val="lowerLetter"/>
      <w:start w:val="27"/>
    </w:lvl>
  </w:abstractNum>
  <w:abstractNum w:abstractNumId="247">
    <w:nsid w:val="4BDD53FD"/>
    <w:multiLevelType w:val="hybridMultilevel"/>
    <w:lvl w:ilvl="0">
      <w:lvlJc w:val="left"/>
      <w:lvlText w:val="(%1)"/>
      <w:numFmt w:val="lowerLetter"/>
      <w:start w:val="35"/>
    </w:lvl>
    <w:lvl w:ilvl="1">
      <w:lvlJc w:val="left"/>
      <w:lvlText w:val="%2"/>
      <w:numFmt w:val="lowerLetter"/>
      <w:start w:val="1"/>
    </w:lvl>
  </w:abstractNum>
  <w:abstractNum w:abstractNumId="248">
    <w:nsid w:val="569951FE"/>
    <w:multiLevelType w:val="hybridMultilevel"/>
    <w:lvl w:ilvl="0">
      <w:lvlJc w:val="left"/>
      <w:lvlText w:val="(%1)"/>
      <w:numFmt w:val="lowerLetter"/>
      <w:start w:val="37"/>
    </w:lvl>
  </w:abstractNum>
  <w:abstractNum w:abstractNumId="249">
    <w:nsid w:val="4C54E2C3"/>
    <w:multiLevelType w:val="hybridMultilevel"/>
    <w:lvl w:ilvl="0">
      <w:lvlJc w:val="left"/>
      <w:lvlText w:val="(%1)"/>
      <w:numFmt w:val="lowerLetter"/>
      <w:start w:val="1"/>
    </w:lvl>
  </w:abstractNum>
  <w:abstractNum w:abstractNumId="250">
    <w:nsid w:val="788BD9B"/>
    <w:multiLevelType w:val="hybridMultilevel"/>
    <w:lvl w:ilvl="0">
      <w:lvlJc w:val="left"/>
      <w:lvlText w:val="(%1)"/>
      <w:numFmt w:val="lowerLetter"/>
      <w:start w:val="2"/>
    </w:lvl>
  </w:abstractNum>
  <w:abstractNum w:abstractNumId="251">
    <w:nsid w:val="47CAA567"/>
    <w:multiLevelType w:val="hybridMultilevel"/>
    <w:lvl w:ilvl="0">
      <w:lvlJc w:val="left"/>
      <w:lvlText w:val="(%1)"/>
      <w:numFmt w:val="lowerLetter"/>
      <w:start w:val="4"/>
    </w:lvl>
  </w:abstractNum>
  <w:abstractNum w:abstractNumId="252">
    <w:nsid w:val="48249DBF"/>
    <w:multiLevelType w:val="hybridMultilevel"/>
    <w:lvl w:ilvl="0">
      <w:lvlJc w:val="left"/>
      <w:lvlText w:val="(%1)"/>
      <w:numFmt w:val="lowerLetter"/>
      <w:start w:val="1"/>
    </w:lvl>
  </w:abstractNum>
  <w:abstractNum w:abstractNumId="253">
    <w:nsid w:val="1F0E5D0D"/>
    <w:multiLevelType w:val="hybridMultilevel"/>
    <w:lvl w:ilvl="0">
      <w:lvlJc w:val="left"/>
      <w:lvlText w:val="%1"/>
      <w:numFmt w:val="lowerLetter"/>
      <w:start w:val="1"/>
    </w:lvl>
    <w:lvl w:ilvl="1">
      <w:lvlJc w:val="left"/>
      <w:lvlText w:val="(%2)"/>
      <w:numFmt w:val="lowerLetter"/>
      <w:start w:val="2"/>
    </w:lvl>
  </w:abstractNum>
  <w:abstractNum w:abstractNumId="254">
    <w:nsid w:val="26BAAE9"/>
    <w:multiLevelType w:val="hybridMultilevel"/>
    <w:lvl w:ilvl="0">
      <w:lvlJc w:val="left"/>
      <w:lvlText w:val="(%1)"/>
      <w:numFmt w:val="lowerLetter"/>
      <w:start w:val="9"/>
    </w:lvl>
    <w:lvl w:ilvl="1">
      <w:lvlJc w:val="left"/>
      <w:lvlText w:val="%2"/>
      <w:numFmt w:val="lowerLetter"/>
      <w:start w:val="1"/>
    </w:lvl>
  </w:abstractNum>
  <w:abstractNum w:abstractNumId="255">
    <w:nsid w:val="2C02FE8C"/>
    <w:multiLevelType w:val="hybridMultilevel"/>
    <w:lvl w:ilvl="0">
      <w:lvlJc w:val="left"/>
      <w:lvlText w:val="(%1)"/>
      <w:numFmt w:val="lowerLetter"/>
      <w:start w:val="1"/>
    </w:lvl>
  </w:abstractNum>
  <w:abstractNum w:abstractNumId="256">
    <w:nsid w:val="129517E"/>
    <w:multiLevelType w:val="hybridMultilevel"/>
    <w:lvl w:ilvl="0">
      <w:lvlJc w:val="left"/>
      <w:lvlText w:val="(%1)"/>
      <w:numFmt w:val="lowerLetter"/>
      <w:start w:val="2"/>
    </w:lvl>
  </w:abstractNum>
  <w:abstractNum w:abstractNumId="257">
    <w:nsid w:val="763B8C4E"/>
    <w:multiLevelType w:val="hybridMultilevel"/>
    <w:lvl w:ilvl="0">
      <w:lvlJc w:val="left"/>
      <w:lvlText w:val="(%1)"/>
      <w:numFmt w:val="lowerLetter"/>
      <w:start w:val="1"/>
    </w:lvl>
  </w:abstractNum>
  <w:abstractNum w:abstractNumId="258">
    <w:nsid w:val="4CFB8D32"/>
    <w:multiLevelType w:val="hybridMultilevel"/>
    <w:lvl w:ilvl="0">
      <w:lvlJc w:val="left"/>
      <w:lvlText w:val="(%1)"/>
      <w:numFmt w:val="lowerLetter"/>
      <w:start w:val="2"/>
    </w:lvl>
  </w:abstractNum>
  <w:abstractNum w:abstractNumId="259">
    <w:nsid w:val="62A5D5BD"/>
    <w:multiLevelType w:val="hybridMultilevel"/>
    <w:lvl w:ilvl="0">
      <w:lvlJc w:val="left"/>
      <w:lvlText w:val="(%1)"/>
      <w:numFmt w:val="lowerLetter"/>
      <w:start w:val="1"/>
    </w:lvl>
  </w:abstractNum>
  <w:abstractNum w:abstractNumId="260">
    <w:nsid w:val="718FABF9"/>
    <w:multiLevelType w:val="hybridMultilevel"/>
    <w:lvl w:ilvl="0">
      <w:lvlJc w:val="left"/>
      <w:lvlText w:val="(%1)"/>
      <w:numFmt w:val="lowerLetter"/>
      <w:start w:val="4"/>
    </w:lvl>
  </w:abstractNum>
  <w:abstractNum w:abstractNumId="261">
    <w:nsid w:val="7775797C"/>
    <w:multiLevelType w:val="hybridMultilevel"/>
    <w:lvl w:ilvl="0">
      <w:lvlJc w:val="left"/>
      <w:lvlText w:val="%1"/>
      <w:numFmt w:val="lowerLetter"/>
      <w:start w:val="1"/>
    </w:lvl>
    <w:lvl w:ilvl="1">
      <w:lvlJc w:val="left"/>
      <w:lvlText w:val="(%2)"/>
      <w:numFmt w:val="lowerLetter"/>
      <w:start w:val="6"/>
    </w:lvl>
  </w:abstractNum>
  <w:abstractNum w:abstractNumId="262">
    <w:nsid w:val="1626FB8C"/>
    <w:multiLevelType w:val="hybridMultilevel"/>
    <w:lvl w:ilvl="0">
      <w:lvlJc w:val="left"/>
      <w:lvlText w:val="(%1)"/>
      <w:numFmt w:val="lowerLetter"/>
      <w:start w:val="9"/>
    </w:lvl>
    <w:lvl w:ilvl="1">
      <w:lvlJc w:val="left"/>
      <w:lvlText w:val="%2"/>
      <w:numFmt w:val="lowerLetter"/>
      <w:start w:val="1"/>
    </w:lvl>
  </w:abstractNum>
  <w:abstractNum w:abstractNumId="263">
    <w:nsid w:val="3957756A"/>
    <w:multiLevelType w:val="hybridMultilevel"/>
    <w:lvl w:ilvl="0">
      <w:lvlJc w:val="left"/>
      <w:lvlText w:val="(%1)"/>
      <w:numFmt w:val="lowerLetter"/>
      <w:start w:val="1"/>
    </w:lvl>
  </w:abstractNum>
  <w:abstractNum w:abstractNumId="264">
    <w:nsid w:val="3E6DA1C7"/>
    <w:multiLevelType w:val="hybridMultilevel"/>
    <w:lvl w:ilvl="0">
      <w:lvlJc w:val="left"/>
      <w:lvlText w:val="(%1)"/>
      <w:numFmt w:val="lowerLetter"/>
      <w:start w:val="9"/>
    </w:lvl>
    <w:lvl w:ilvl="1">
      <w:lvlJc w:val="left"/>
      <w:lvlText w:val="(%2)"/>
      <w:numFmt w:val="lowerLetter"/>
      <w:start w:val="4"/>
    </w:lvl>
  </w:abstractNum>
  <w:abstractNum w:abstractNumId="265">
    <w:nsid w:val="65CA235B"/>
    <w:multiLevelType w:val="hybridMultilevel"/>
    <w:lvl w:ilvl="0">
      <w:lvlJc w:val="left"/>
      <w:lvlText w:val="(%1)"/>
      <w:numFmt w:val="lowerLetter"/>
      <w:start w:val="1"/>
    </w:lvl>
    <w:lvl w:ilvl="1">
      <w:lvlJc w:val="left"/>
      <w:lvlText w:val="(%2)"/>
      <w:numFmt w:val="lowerLetter"/>
      <w:start w:val="35"/>
    </w:lvl>
  </w:abstractNum>
  <w:abstractNum w:abstractNumId="266">
    <w:nsid w:val="51CB0DA4"/>
    <w:multiLevelType w:val="hybridMultilevel"/>
    <w:lvl w:ilvl="0">
      <w:lvlJc w:val="left"/>
      <w:lvlText w:val="(%1)"/>
      <w:numFmt w:val="lowerRoman"/>
      <w:start w:val="3"/>
    </w:lvl>
  </w:abstractNum>
  <w:abstractNum w:abstractNumId="267">
    <w:nsid w:val="7B9B743C"/>
    <w:multiLevelType w:val="hybridMultilevel"/>
    <w:lvl w:ilvl="0">
      <w:lvlJc w:val="left"/>
      <w:lvlText w:val="(%1)"/>
      <w:numFmt w:val="lowerLetter"/>
      <w:start w:val="2"/>
    </w:lvl>
  </w:abstractNum>
  <w:abstractNum w:abstractNumId="268">
    <w:nsid w:val="13E21002"/>
    <w:multiLevelType w:val="hybridMultilevel"/>
    <w:lvl w:ilvl="0">
      <w:lvlJc w:val="left"/>
      <w:lvlText w:val="(%1)"/>
      <w:numFmt w:val="lowerLetter"/>
      <w:start w:val="4"/>
    </w:lvl>
  </w:abstractNum>
  <w:abstractNum w:abstractNumId="269">
    <w:nsid w:val="257D63F4"/>
    <w:multiLevelType w:val="hybridMultilevel"/>
    <w:lvl w:ilvl="0">
      <w:lvlJc w:val="left"/>
      <w:lvlText w:val="%1"/>
      <w:numFmt w:val="lowerLetter"/>
      <w:start w:val="1"/>
    </w:lvl>
    <w:lvl w:ilvl="1">
      <w:lvlJc w:val="left"/>
      <w:lvlText w:val="(%2)"/>
      <w:numFmt w:val="lowerLetter"/>
      <w:start w:val="35"/>
    </w:lvl>
  </w:abstractNum>
  <w:abstractNum w:abstractNumId="270">
    <w:nsid w:val="70EC11B2"/>
    <w:multiLevelType w:val="hybridMultilevel"/>
    <w:lvl w:ilvl="0">
      <w:lvlJc w:val="left"/>
      <w:lvlText w:val="(%1)"/>
      <w:numFmt w:val="lowerLetter"/>
      <w:start w:val="5"/>
    </w:lvl>
    <w:lvl w:ilvl="1">
      <w:lvlJc w:val="left"/>
      <w:lvlText w:val="%2"/>
      <w:numFmt w:val="lowerLetter"/>
      <w:start w:val="1"/>
    </w:lvl>
  </w:abstractNum>
  <w:abstractNum w:abstractNumId="271">
    <w:nsid w:val="2EDA00ED"/>
    <w:multiLevelType w:val="hybridMultilevel"/>
    <w:lvl w:ilvl="0">
      <w:lvlJc w:val="left"/>
      <w:lvlText w:val="%1"/>
      <w:numFmt w:val="lowerLetter"/>
      <w:start w:val="1"/>
    </w:lvl>
    <w:lvl w:ilvl="1">
      <w:lvlJc w:val="left"/>
      <w:lvlText w:val="(%2)"/>
      <w:numFmt w:val="lowerLetter"/>
      <w:start w:val="7"/>
    </w:lvl>
  </w:abstractNum>
  <w:abstractNum w:abstractNumId="272">
    <w:nsid w:val="73209072"/>
    <w:multiLevelType w:val="hybridMultilevel"/>
    <w:lvl w:ilvl="0">
      <w:lvlJc w:val="left"/>
      <w:lvlText w:val="(%1)"/>
      <w:numFmt w:val="lowerLetter"/>
      <w:start w:val="24"/>
    </w:lvl>
    <w:lvl w:ilvl="1">
      <w:lvlJc w:val="left"/>
      <w:lvlText w:val="(%2)"/>
      <w:numFmt w:val="lowerLetter"/>
      <w:start w:val="9"/>
    </w:lvl>
  </w:abstractNum>
  <w:abstractNum w:abstractNumId="273">
    <w:nsid w:val="5FB29816"/>
    <w:multiLevelType w:val="hybridMultilevel"/>
    <w:lvl w:ilvl="0">
      <w:lvlJc w:val="left"/>
      <w:lvlText w:val="%1"/>
      <w:numFmt w:val="lowerRoman"/>
      <w:start w:val="1"/>
    </w:lvl>
    <w:lvl w:ilvl="1">
      <w:lvlJc w:val="left"/>
      <w:lvlText w:val="(%2)"/>
      <w:numFmt w:val="lowerLetter"/>
      <w:start w:val="10"/>
    </w:lvl>
  </w:abstractNum>
  <w:abstractNum w:abstractNumId="274">
    <w:nsid w:val="3CE732EC"/>
    <w:multiLevelType w:val="hybridMultilevel"/>
    <w:lvl w:ilvl="0">
      <w:lvlJc w:val="left"/>
      <w:lvlText w:val="(%1)"/>
      <w:numFmt w:val="lowerRoman"/>
      <w:start w:val="3"/>
    </w:lvl>
    <w:lvl w:ilvl="1">
      <w:lvlJc w:val="left"/>
      <w:lvlText w:val="(%2)"/>
      <w:numFmt w:val="lowerLetter"/>
      <w:start w:val="14"/>
    </w:lvl>
  </w:abstractNum>
  <w:abstractNum w:abstractNumId="275">
    <w:nsid w:val="22F13DF3"/>
    <w:multiLevelType w:val="hybridMultilevel"/>
    <w:lvl w:ilvl="0">
      <w:lvlJc w:val="left"/>
      <w:lvlText w:val="(%1)"/>
      <w:numFmt w:val="lowerRoman"/>
      <w:start w:val="10"/>
    </w:lvl>
    <w:lvl w:ilvl="1">
      <w:lvlJc w:val="left"/>
      <w:lvlText w:val="%2"/>
      <w:numFmt w:val="lowerLetter"/>
      <w:start w:val="1"/>
    </w:lvl>
  </w:abstractNum>
  <w:abstractNum w:abstractNumId="276">
    <w:nsid w:val="792B8401"/>
    <w:multiLevelType w:val="hybridMultilevel"/>
    <w:lvl w:ilvl="0">
      <w:lvlJc w:val="left"/>
      <w:lvlText w:val="(%1)"/>
      <w:numFmt w:val="lowerLetter"/>
      <w:start w:val="15"/>
    </w:lvl>
  </w:abstractNum>
  <w:abstractNum w:abstractNumId="277">
    <w:nsid w:val="FA85F4D"/>
    <w:multiLevelType w:val="hybridMultilevel"/>
    <w:lvl w:ilvl="0">
      <w:lvlJc w:val="left"/>
      <w:lvlText w:val="(%1)"/>
      <w:numFmt w:val="lowerLetter"/>
      <w:start w:val="1"/>
    </w:lvl>
  </w:abstractNum>
  <w:abstractNum w:abstractNumId="278">
    <w:nsid w:val="6ECE91F0"/>
    <w:multiLevelType w:val="hybridMultilevel"/>
    <w:lvl w:ilvl="0">
      <w:lvlJc w:val="left"/>
      <w:lvlText w:val="(%1)"/>
      <w:numFmt w:val="lowerLetter"/>
      <w:start w:val="2"/>
    </w:lvl>
    <w:lvl w:ilvl="1">
      <w:lvlJc w:val="left"/>
      <w:lvlText w:val="(%2)"/>
      <w:numFmt w:val="lowerLetter"/>
      <w:start w:val="9"/>
    </w:lvl>
  </w:abstractNum>
  <w:abstractNum w:abstractNumId="279">
    <w:nsid w:val="4FC4D600"/>
    <w:multiLevelType w:val="hybridMultilevel"/>
    <w:lvl w:ilvl="0">
      <w:lvlJc w:val="left"/>
      <w:lvlText w:val="(%1)"/>
      <w:numFmt w:val="lowerRoman"/>
      <w:start w:val="2"/>
    </w:lvl>
  </w:abstractNum>
  <w:abstractNum w:abstractNumId="280">
    <w:nsid w:val="5BFD4210"/>
    <w:multiLevelType w:val="hybridMultilevel"/>
    <w:lvl w:ilvl="0">
      <w:lvlJc w:val="left"/>
      <w:lvlText w:val="(%1)"/>
      <w:numFmt w:val="decimal"/>
      <w:start w:val="12"/>
    </w:lvl>
    <w:lvl w:ilvl="1">
      <w:lvlJc w:val="left"/>
      <w:lvlText w:val="(%2)"/>
      <w:numFmt w:val="lowerLetter"/>
      <w:start w:val="3"/>
    </w:lvl>
    <w:lvl w:ilvl="2">
      <w:lvlJc w:val="left"/>
      <w:lvlText w:val="(%3)"/>
      <w:numFmt w:val="lowerRoman"/>
      <w:start w:val="1"/>
    </w:lvl>
  </w:abstractNum>
  <w:abstractNum w:abstractNumId="281">
    <w:nsid w:val="76574F8B"/>
    <w:multiLevelType w:val="hybridMultilevel"/>
    <w:lvl w:ilvl="0">
      <w:lvlJc w:val="left"/>
      <w:lvlText w:val="(%1)"/>
      <w:numFmt w:val="lowerLetter"/>
      <w:start w:val="4"/>
    </w:lvl>
  </w:abstractNum>
  <w:abstractNum w:abstractNumId="282">
    <w:nsid w:val="178F7B67"/>
    <w:multiLevelType w:val="hybridMultilevel"/>
    <w:lvl w:ilvl="0">
      <w:lvlJc w:val="left"/>
      <w:lvlText w:val="(%1)"/>
      <w:numFmt w:val="lowerLetter"/>
      <w:start w:val="1"/>
    </w:lvl>
  </w:abstractNum>
  <w:abstractNum w:abstractNumId="283">
    <w:nsid w:val="2421DFCF"/>
    <w:multiLevelType w:val="hybridMultilevel"/>
    <w:lvl w:ilvl="0">
      <w:lvlJc w:val="left"/>
      <w:lvlText w:val="(%1)"/>
      <w:numFmt w:val="lowerLetter"/>
      <w:start w:val="3"/>
    </w:lvl>
  </w:abstractNum>
  <w:abstractNum w:abstractNumId="284">
    <w:nsid w:val="1565AC99"/>
    <w:multiLevelType w:val="hybridMultilevel"/>
    <w:lvl w:ilvl="0">
      <w:lvlJc w:val="left"/>
      <w:lvlText w:val="(%1)"/>
      <w:numFmt w:val="lowerLetter"/>
      <w:start w:val="1"/>
    </w:lvl>
  </w:abstractNum>
  <w:abstractNum w:abstractNumId="285">
    <w:nsid w:val="19FB2650"/>
    <w:multiLevelType w:val="hybridMultilevel"/>
    <w:lvl w:ilvl="0">
      <w:lvlJc w:val="left"/>
      <w:lvlText w:val="(%1)"/>
      <w:numFmt w:val="lowerLetter"/>
      <w:start w:val="1"/>
    </w:lvl>
  </w:abstractNum>
  <w:abstractNum w:abstractNumId="286">
    <w:nsid w:val="5024DE5B"/>
    <w:multiLevelType w:val="hybridMultilevel"/>
    <w:lvl w:ilvl="0">
      <w:lvlJc w:val="left"/>
      <w:lvlText w:val="(%1)"/>
      <w:numFmt w:val="lowerLetter"/>
      <w:start w:val="2"/>
    </w:lvl>
  </w:abstractNum>
  <w:abstractNum w:abstractNumId="287">
    <w:nsid w:val="168EFE17"/>
    <w:multiLevelType w:val="hybridMultilevel"/>
    <w:lvl w:ilvl="0">
      <w:lvlJc w:val="left"/>
      <w:lvlText w:val="(%1)"/>
      <w:numFmt w:val="lowerLetter"/>
      <w:start w:val="1"/>
    </w:lvl>
  </w:abstractNum>
  <w:abstractNum w:abstractNumId="288">
    <w:nsid w:val="1036B29F"/>
    <w:multiLevelType w:val="hybridMultilevel"/>
    <w:lvl w:ilvl="0">
      <w:lvlJc w:val="left"/>
      <w:lvlText w:val="(%1)"/>
      <w:numFmt w:val="lowerLetter"/>
      <w:start w:val="1"/>
    </w:lvl>
  </w:abstractNum>
  <w:abstractNum w:abstractNumId="289">
    <w:nsid w:val="1D206B8E"/>
    <w:multiLevelType w:val="hybridMultilevel"/>
    <w:lvl w:ilvl="0">
      <w:lvlJc w:val="left"/>
      <w:lvlText w:val="(%1)"/>
      <w:numFmt w:val="lowerLetter"/>
      <w:start w:val="7"/>
    </w:lvl>
  </w:abstractNum>
  <w:abstractNum w:abstractNumId="290">
    <w:nsid w:val="7934D3D4"/>
    <w:multiLevelType w:val="hybridMultilevel"/>
    <w:lvl w:ilvl="0">
      <w:lvlJc w:val="left"/>
      <w:lvlText w:val="(%1)"/>
      <w:numFmt w:val="lowerLetter"/>
      <w:start w:val="1"/>
    </w:lvl>
  </w:abstractNum>
  <w:abstractNum w:abstractNumId="291">
    <w:nsid w:val="1C65E98"/>
    <w:multiLevelType w:val="hybridMultilevel"/>
    <w:lvl w:ilvl="0">
      <w:lvlJc w:val="left"/>
      <w:lvlText w:val="(%1)"/>
      <w:numFmt w:val="lowerLetter"/>
      <w:start w:val="1"/>
    </w:lvl>
  </w:abstractNum>
  <w:abstractNum w:abstractNumId="292">
    <w:nsid w:val="1495E50A"/>
    <w:multiLevelType w:val="hybridMultilevel"/>
    <w:lvl w:ilvl="0">
      <w:lvlJc w:val="left"/>
      <w:lvlText w:val="(%1)"/>
      <w:numFmt w:val="lowerLetter"/>
      <w:start w:val="5"/>
    </w:lvl>
  </w:abstractNum>
  <w:abstractNum w:abstractNumId="293">
    <w:nsid w:val="F5BCF61"/>
    <w:multiLevelType w:val="hybridMultilevel"/>
    <w:lvl w:ilvl="0">
      <w:lvlJc w:val="left"/>
      <w:lvlText w:val="(%1)"/>
      <w:numFmt w:val="lowerLetter"/>
      <w:start w:val="1"/>
    </w:lvl>
  </w:abstractNum>
  <w:abstractNum w:abstractNumId="294">
    <w:nsid w:val="3B1DD403"/>
    <w:multiLevelType w:val="hybridMultilevel"/>
    <w:lvl w:ilvl="0">
      <w:lvlJc w:val="left"/>
      <w:lvlText w:val="(%1)"/>
      <w:numFmt w:val="upperLetter"/>
      <w:start w:val="1"/>
    </w:lvl>
  </w:abstractNum>
  <w:abstractNum w:abstractNumId="295">
    <w:nsid w:val="530386D1"/>
    <w:multiLevelType w:val="hybridMultilevel"/>
    <w:lvl w:ilvl="0">
      <w:lvlJc w:val="left"/>
      <w:lvlText w:val="(%1)"/>
      <w:numFmt w:val="upperLetter"/>
      <w:start w:val="2"/>
    </w:lvl>
  </w:abstractNum>
  <w:abstractNum w:abstractNumId="296">
    <w:nsid w:val="7525F2BC"/>
    <w:multiLevelType w:val="hybridMultilevel"/>
    <w:lvl w:ilvl="0">
      <w:lvlJc w:val="left"/>
      <w:lvlText w:val="(%1)"/>
      <w:numFmt w:val="upperLetter"/>
      <w:start w:val="3"/>
    </w:lvl>
  </w:abstractNum>
  <w:abstractNum w:abstractNumId="297">
    <w:nsid w:val="CE8E1A7"/>
    <w:multiLevelType w:val="hybridMultilevel"/>
    <w:lvl w:ilvl="0">
      <w:lvlJc w:val="left"/>
      <w:lvlText w:val="(%1)"/>
      <w:numFmt w:val="upperLetter"/>
      <w:start w:val="1"/>
    </w:lvl>
  </w:abstractNum>
  <w:abstractNum w:abstractNumId="298">
    <w:nsid w:val="4E9EFB0D"/>
    <w:multiLevelType w:val="hybridMultilevel"/>
    <w:lvl w:ilvl="0">
      <w:lvlJc w:val="left"/>
      <w:lvlText w:val="(%1)"/>
      <w:numFmt w:val="upperLetter"/>
      <w:start w:val="3"/>
    </w:lvl>
    <w:lvl w:ilvl="1">
      <w:lvlJc w:val="left"/>
      <w:lvlText w:val="(%2)"/>
      <w:numFmt w:val="lowerRoman"/>
      <w:start w:val="2"/>
    </w:lvl>
  </w:abstractNum>
  <w:abstractNum w:abstractNumId="299">
    <w:nsid w:val="90802BE"/>
    <w:multiLevelType w:val="hybridMultilevel"/>
    <w:lvl w:ilvl="0">
      <w:lvlJc w:val="left"/>
      <w:lvlText w:val="(%1)"/>
      <w:numFmt w:val="upperLetter"/>
      <w:start w:val="1"/>
    </w:lvl>
    <w:lvl w:ilvl="1">
      <w:lvlJc w:val="left"/>
      <w:lvlText w:val="(%2)"/>
      <w:numFmt w:val="lowerRoman"/>
      <w:start w:val="1"/>
    </w:lvl>
  </w:abstractNum>
  <w:abstractNum w:abstractNumId="300">
    <w:nsid w:val="3266459B"/>
    <w:multiLevelType w:val="hybridMultilevel"/>
    <w:lvl w:ilvl="0">
      <w:lvlJc w:val="left"/>
      <w:lvlText w:val="(%1)"/>
      <w:numFmt w:val="upperLetter"/>
      <w:start w:val="1"/>
    </w:lvl>
  </w:abstractNum>
  <w:abstractNum w:abstractNumId="301">
    <w:nsid w:val="3F8B0CBF"/>
    <w:multiLevelType w:val="hybridMultilevel"/>
    <w:lvl w:ilvl="0">
      <w:lvlJc w:val="left"/>
      <w:lvlText w:val="1"/>
      <w:numFmt w:val="bullet"/>
      <w:start w:val="1"/>
    </w:lvl>
  </w:abstractNum>
  <w:abstractNum w:abstractNumId="302">
    <w:nsid w:val="37E203AB"/>
    <w:multiLevelType w:val="hybridMultilevel"/>
    <w:lvl w:ilvl="0">
      <w:lvlJc w:val="left"/>
      <w:lvlText w:val="(%1)"/>
      <w:numFmt w:val="decimal"/>
      <w:start w:val="1"/>
    </w:lvl>
  </w:abstractNum>
  <w:abstractNum w:abstractNumId="303">
    <w:nsid w:val="2586D60E"/>
    <w:multiLevelType w:val="hybridMultilevel"/>
    <w:lvl w:ilvl="0">
      <w:lvlJc w:val="left"/>
      <w:lvlText w:val="•"/>
      <w:numFmt w:val="bullet"/>
      <w:start w:val="1"/>
    </w:lvl>
  </w:abstractNum>
  <w:abstractNum w:abstractNumId="304">
    <w:nsid w:val="1F3DA4D5"/>
    <w:multiLevelType w:val="hybridMultilevel"/>
    <w:lvl w:ilvl="0">
      <w:lvlJc w:val="left"/>
      <w:lvlText w:val="•"/>
      <w:numFmt w:val="bullet"/>
      <w:start w:val="1"/>
    </w:lvl>
  </w:abstractNum>
  <w:abstractNum w:abstractNumId="305">
    <w:nsid w:val="74C93698"/>
    <w:multiLevelType w:val="hybridMultilevel"/>
    <w:lvl w:ilvl="0">
      <w:lvlJc w:val="left"/>
      <w:lvlText w:val="•"/>
      <w:numFmt w:val="bullet"/>
      <w:start w:val="1"/>
    </w:lvl>
  </w:abstractNum>
  <w:abstractNum w:abstractNumId="306">
    <w:nsid w:val="48781401"/>
    <w:multiLevelType w:val="hybridMultilevel"/>
    <w:lvl w:ilvl="0">
      <w:lvlJc w:val="left"/>
      <w:lvlText w:val="•"/>
      <w:numFmt w:val="bullet"/>
      <w:start w:val="1"/>
    </w:lvl>
  </w:abstractNum>
  <w:abstractNum w:abstractNumId="307">
    <w:nsid w:val="186928D6"/>
    <w:multiLevelType w:val="hybridMultilevel"/>
    <w:lvl w:ilvl="0">
      <w:lvlJc w:val="left"/>
      <w:lvlText w:val="•"/>
      <w:numFmt w:val="bullet"/>
      <w:start w:val="1"/>
    </w:lvl>
  </w:abstractNum>
  <w:abstractNum w:abstractNumId="308">
    <w:nsid w:val="47195E5"/>
    <w:multiLevelType w:val="hybridMultilevel"/>
    <w:lvl w:ilvl="0">
      <w:lvlJc w:val="left"/>
      <w:lvlText w:val="•"/>
      <w:numFmt w:val="bullet"/>
      <w:start w:val="1"/>
    </w:lvl>
  </w:abstractNum>
  <w:abstractNum w:abstractNumId="309">
    <w:nsid w:val="3746A5F2"/>
    <w:multiLevelType w:val="hybridMultilevel"/>
    <w:lvl w:ilvl="0">
      <w:lvlJc w:val="left"/>
      <w:lvlText w:val="•"/>
      <w:numFmt w:val="bullet"/>
      <w:start w:val="1"/>
    </w:lvl>
  </w:abstractNum>
  <w:abstractNum w:abstractNumId="310">
    <w:nsid w:val="682DFED6"/>
    <w:multiLevelType w:val="hybridMultilevel"/>
    <w:lvl w:ilvl="0">
      <w:lvlJc w:val="left"/>
      <w:lvlText w:val="(%1)"/>
      <w:numFmt w:val="lowerRoman"/>
      <w:start w:val="1"/>
    </w:lvl>
  </w:abstractNum>
  <w:abstractNum w:abstractNumId="311">
    <w:nsid w:val="606ED7F6"/>
    <w:multiLevelType w:val="hybridMultilevel"/>
    <w:lvl w:ilvl="0">
      <w:lvlJc w:val="left"/>
      <w:lvlText w:val="%1."/>
      <w:numFmt w:val="decimal"/>
      <w:start w:val="1"/>
    </w:lvl>
  </w:abstractNum>
  <w:abstractNum w:abstractNumId="312">
    <w:nsid w:val="2D9DF57D"/>
    <w:multiLevelType w:val="hybridMultilevel"/>
    <w:lvl w:ilvl="0">
      <w:lvlJc w:val="left"/>
      <w:lvlText w:val="%1."/>
      <w:numFmt w:val="decimal"/>
      <w:start w:val="2"/>
    </w:lvl>
  </w:abstractNum>
  <w:abstractNum w:abstractNumId="313">
    <w:nsid w:val="7FBD7A3E"/>
    <w:multiLevelType w:val="hybridMultilevel"/>
    <w:lvl w:ilvl="0">
      <w:lvlJc w:val="left"/>
      <w:lvlText w:val="%1."/>
      <w:numFmt w:val="decimal"/>
      <w:start w:val="3"/>
    </w:lvl>
    <w:lvl w:ilvl="1">
      <w:lvlJc w:val="left"/>
      <w:lvlText w:val="(%2)"/>
      <w:numFmt w:val="lowerLetter"/>
      <w:start w:val="1"/>
    </w:lvl>
  </w:abstractNum>
  <w:abstractNum w:abstractNumId="314">
    <w:nsid w:val="490B7C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315">
    <w:nsid w:val="4303A216"/>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16">
    <w:nsid w:val="19B8A08E"/>
    <w:multiLevelType w:val="hybridMultilevel"/>
    <w:lvl w:ilvl="0">
      <w:lvlJc w:val="left"/>
      <w:lvlText w:val="%1"/>
      <w:numFmt w:val="lowerRoman"/>
      <w:start w:val="1"/>
    </w:lvl>
    <w:lvl w:ilvl="1">
      <w:lvlJc w:val="left"/>
      <w:lvlText w:val="(%2)"/>
      <w:numFmt w:val="decimal"/>
      <w:start w:val="7"/>
    </w:lvl>
  </w:abstractNum>
  <w:abstractNum w:abstractNumId="317">
    <w:nsid w:val="54B59621"/>
    <w:multiLevelType w:val="hybridMultilevel"/>
    <w:lvl w:ilvl="0">
      <w:lvlJc w:val="left"/>
      <w:lvlText w:val="(%1)"/>
      <w:numFmt w:val="lowerRoman"/>
      <w:start w:val="2"/>
    </w:lvl>
    <w:lvl w:ilvl="1">
      <w:lvlJc w:val="left"/>
      <w:lvlText w:val="(%2)"/>
      <w:numFmt w:val="decimal"/>
      <w:start w:val="8"/>
    </w:lvl>
  </w:abstractNum>
  <w:abstractNum w:abstractNumId="318">
    <w:nsid w:val="5992A02E"/>
    <w:multiLevelType w:val="hybridMultilevel"/>
    <w:lvl w:ilvl="0">
      <w:lvlJc w:val="left"/>
      <w:lvlText w:val="(%1)"/>
      <w:numFmt w:val="lowerRoman"/>
      <w:start w:val="2"/>
    </w:lvl>
    <w:lvl w:ilvl="1">
      <w:lvlJc w:val="left"/>
      <w:lvlText w:val="%2"/>
      <w:numFmt w:val="decimal"/>
      <w:start w:val="1"/>
    </w:lvl>
  </w:abstractNum>
  <w:abstractNum w:abstractNumId="319">
    <w:nsid w:val="29EF532D"/>
    <w:multiLevelType w:val="hybridMultilevel"/>
    <w:lvl w:ilvl="0">
      <w:lvlJc w:val="left"/>
      <w:lvlText w:val="%1"/>
      <w:numFmt w:val="decimal"/>
      <w:start w:val="1"/>
    </w:lvl>
    <w:lvl w:ilvl="1">
      <w:lvlJc w:val="left"/>
      <w:lvlText w:val="(%2)"/>
      <w:numFmt w:val="lowerLetter"/>
      <w:start w:val="2"/>
    </w:lvl>
  </w:abstractNum>
  <w:abstractNum w:abstractNumId="320">
    <w:nsid w:val="71D601AF"/>
    <w:multiLevelType w:val="hybridMultilevel"/>
    <w:lvl w:ilvl="0">
      <w:lvlJc w:val="left"/>
      <w:lvlText w:val="%1."/>
      <w:numFmt w:val="decimal"/>
      <w:start w:val="5"/>
    </w:lvl>
    <w:lvl w:ilvl="1">
      <w:lvlJc w:val="left"/>
      <w:lvlText w:val="(%2)"/>
      <w:numFmt w:val="lowerLetter"/>
      <w:start w:val="1"/>
    </w:lvl>
  </w:abstractNum>
  <w:abstractNum w:abstractNumId="321">
    <w:nsid w:val="52C77402"/>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322">
    <w:nsid w:val="2BB5B1C6"/>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323">
    <w:nsid w:val="66BE6B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24">
    <w:nsid w:val="62234363"/>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325">
    <w:nsid w:val="66D385C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26">
    <w:nsid w:val="596F6D8A"/>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327">
    <w:nsid w:val="5749361F"/>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328">
    <w:nsid w:val="73BC6770"/>
    <w:multiLevelType w:val="hybridMultilevel"/>
    <w:lvl w:ilvl="0">
      <w:lvlJc w:val="left"/>
      <w:lvlText w:val="(%1)"/>
      <w:numFmt w:val="lowerLetter"/>
      <w:start w:val="2"/>
    </w:lvl>
    <w:lvl w:ilvl="1">
      <w:lvlJc w:val="left"/>
      <w:lvlText w:val="(%2)"/>
      <w:numFmt w:val="decimal"/>
      <w:start w:val="1"/>
    </w:lvl>
  </w:abstractNum>
  <w:abstractNum w:abstractNumId="329">
    <w:nsid w:val="280E6897"/>
    <w:multiLevelType w:val="hybridMultilevel"/>
    <w:lvl w:ilvl="0">
      <w:lvlJc w:val="left"/>
      <w:lvlText w:val="%1."/>
      <w:numFmt w:val="decimal"/>
      <w:start w:val="9"/>
    </w:lvl>
  </w:abstractNum>
  <w:abstractNum w:abstractNumId="330">
    <w:nsid w:val="605138DE"/>
    <w:multiLevelType w:val="hybridMultilevel"/>
    <w:lvl w:ilvl="0">
      <w:lvlJc w:val="left"/>
      <w:lvlText w:val="%1."/>
      <w:numFmt w:val="decimal"/>
      <w:start w:val="10"/>
    </w:lvl>
  </w:abstractNum>
  <w:abstractNum w:abstractNumId="331">
    <w:nsid w:val="2622AD0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32">
    <w:nsid w:val="67997556"/>
    <w:multiLevelType w:val="hybridMultilevel"/>
    <w:lvl w:ilvl="0">
      <w:lvlJc w:val="left"/>
      <w:lvlText w:val="%1"/>
      <w:numFmt w:val="lowerLetter"/>
      <w:start w:val="1"/>
    </w:lvl>
    <w:lvl w:ilvl="1">
      <w:lvlJc w:val="left"/>
      <w:lvlText w:val="(%2)"/>
      <w:numFmt w:val="lowerRoman"/>
      <w:start w:val="2"/>
    </w:lvl>
  </w:abstractNum>
  <w:abstractNum w:abstractNumId="333">
    <w:nsid w:val="18333C89"/>
    <w:multiLevelType w:val="hybridMultilevel"/>
    <w:lvl w:ilvl="0">
      <w:lvlJc w:val="left"/>
      <w:lvlText w:val="(%1)"/>
      <w:numFmt w:val="lowerLetter"/>
      <w:start w:val="2"/>
    </w:lvl>
    <w:lvl w:ilvl="1">
      <w:lvlJc w:val="left"/>
      <w:lvlText w:val="(%2)"/>
      <w:numFmt w:val="lowerRoman"/>
      <w:start w:val="1"/>
    </w:lvl>
  </w:abstractNum>
  <w:abstractNum w:abstractNumId="334">
    <w:nsid w:val="4BA9831A"/>
    <w:multiLevelType w:val="hybridMultilevel"/>
    <w:lvl w:ilvl="0">
      <w:lvlJc w:val="left"/>
      <w:lvlText w:val="(%1)"/>
      <w:numFmt w:val="lowerLetter"/>
      <w:start w:val="61"/>
    </w:lvl>
  </w:abstractNum>
  <w:abstractNum w:abstractNumId="335">
    <w:nsid w:val="6D71A2B"/>
    <w:multiLevelType w:val="hybridMultilevel"/>
    <w:lvl w:ilvl="0">
      <w:lvlJc w:val="left"/>
      <w:lvlText w:val="%1"/>
      <w:numFmt w:val="lowerLetter"/>
      <w:start w:val="1"/>
    </w:lvl>
    <w:lvl w:ilvl="1">
      <w:lvlJc w:val="left"/>
      <w:lvlText w:val="(%2)"/>
      <w:numFmt w:val="lowerRoman"/>
      <w:start w:val="4"/>
    </w:lvl>
  </w:abstractNum>
  <w:abstractNum w:abstractNumId="336">
    <w:nsid w:val="CFC7321"/>
    <w:multiLevelType w:val="hybridMultilevel"/>
    <w:lvl w:ilvl="0">
      <w:lvlJc w:val="left"/>
      <w:lvlText w:val="(%1)"/>
      <w:numFmt w:val="lowerLetter"/>
      <w:start w:val="3"/>
    </w:lvl>
    <w:lvl w:ilvl="1">
      <w:lvlJc w:val="left"/>
      <w:lvlText w:val="%2"/>
      <w:numFmt w:val="lowerRoman"/>
      <w:start w:val="1"/>
    </w:lvl>
  </w:abstractNum>
  <w:abstractNum w:abstractNumId="337">
    <w:nsid w:val="1421971B"/>
    <w:multiLevelType w:val="hybridMultilevel"/>
    <w:lvl w:ilvl="0">
      <w:lvlJc w:val="left"/>
      <w:lvlText w:val="%1"/>
      <w:numFmt w:val="decimal"/>
      <w:start w:val="1"/>
    </w:lvl>
    <w:lvl w:ilvl="1">
      <w:lvlJc w:val="left"/>
      <w:lvlText w:val="(%2)"/>
      <w:numFmt w:val="lowerLetter"/>
      <w:start w:val="4"/>
    </w:lvl>
  </w:abstractNum>
  <w:abstractNum w:abstractNumId="338">
    <w:nsid w:val="1F404301"/>
    <w:multiLevelType w:val="hybridMultilevel"/>
    <w:lvl w:ilvl="0">
      <w:lvlJc w:val="left"/>
      <w:lvlText w:val="(%1)"/>
      <w:numFmt w:val="decimal"/>
      <w:start w:val="2"/>
    </w:lvl>
    <w:lvl w:ilvl="1">
      <w:lvlJc w:val="left"/>
      <w:lvlText w:val="(%2)"/>
      <w:numFmt w:val="lowerLetter"/>
      <w:start w:val="1"/>
    </w:lvl>
  </w:abstractNum>
  <w:abstractNum w:abstractNumId="339">
    <w:nsid w:val="116E0907"/>
    <w:multiLevelType w:val="hybridMultilevel"/>
    <w:lvl w:ilvl="0">
      <w:lvlJc w:val="left"/>
      <w:lvlText w:val="(%1)"/>
      <w:numFmt w:val="lowerLetter"/>
      <w:start w:val="2"/>
    </w:lvl>
  </w:abstractNum>
  <w:abstractNum w:abstractNumId="340">
    <w:nsid w:val="4B683D0D"/>
    <w:multiLevelType w:val="hybridMultilevel"/>
    <w:lvl w:ilvl="0">
      <w:lvlJc w:val="left"/>
      <w:lvlText w:val="(%1)"/>
      <w:numFmt w:val="decimal"/>
      <w:start w:val="3"/>
    </w:lvl>
    <w:lvl w:ilvl="1">
      <w:lvlJc w:val="left"/>
      <w:lvlText w:val="(%2)"/>
      <w:numFmt w:val="lowerLetter"/>
      <w:start w:val="1"/>
    </w:lvl>
  </w:abstractNum>
  <w:abstractNum w:abstractNumId="341">
    <w:nsid w:val="76E41D8"/>
    <w:multiLevelType w:val="hybridMultilevel"/>
    <w:lvl w:ilvl="0">
      <w:lvlJc w:val="left"/>
      <w:lvlText w:val="%1."/>
      <w:numFmt w:val="decimal"/>
      <w:start w:val="11"/>
    </w:lvl>
    <w:lvl w:ilvl="1">
      <w:lvlJc w:val="left"/>
      <w:lvlText w:val="(%2)"/>
      <w:numFmt w:val="lowerLetter"/>
      <w:start w:val="1"/>
    </w:lvl>
  </w:abstractNum>
  <w:abstractNum w:abstractNumId="342">
    <w:nsid w:val="71DCE0FD"/>
    <w:multiLevelType w:val="hybridMultilevel"/>
    <w:lvl w:ilvl="0">
      <w:lvlJc w:val="left"/>
      <w:lvlText w:val="(%1)"/>
      <w:numFmt w:val="lowerLetter"/>
      <w:start w:val="2"/>
    </w:lvl>
  </w:abstractNum>
  <w:abstractNum w:abstractNumId="343">
    <w:nsid w:val="7906328B"/>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abstractNum>
  <w:abstractNum w:abstractNumId="344">
    <w:nsid w:val="72BBC16"/>
    <w:multiLevelType w:val="hybridMultilevel"/>
    <w:lvl w:ilvl="0">
      <w:lvlJc w:val="left"/>
      <w:lvlText w:val="(%1)"/>
      <w:numFmt w:val="lowerLetter"/>
      <w:start w:val="12"/>
    </w:lvl>
    <w:lvl w:ilvl="1">
      <w:lvlJc w:val="left"/>
      <w:lvlText w:val="%2"/>
      <w:numFmt w:val="lowerLetter"/>
      <w:start w:val="1"/>
    </w:lvl>
    <w:lvl w:ilvl="2">
      <w:lvlJc w:val="left"/>
      <w:lvlText w:val="%3"/>
      <w:numFmt w:val="decimal"/>
      <w:start w:val="1"/>
    </w:lvl>
  </w:abstractNum>
  <w:abstractNum w:abstractNumId="345">
    <w:nsid w:val="766D98C2"/>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346">
    <w:nsid w:val="3C09D4A1"/>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347">
    <w:nsid w:val="20E45CA4"/>
    <w:multiLevelType w:val="hybridMultilevel"/>
    <w:lvl w:ilvl="0">
      <w:lvlJc w:val="left"/>
      <w:lvlText w:val="(%1)"/>
      <w:numFmt w:val="lowerLetter"/>
      <w:start w:val="6"/>
    </w:lvl>
  </w:abstractNum>
  <w:abstractNum w:abstractNumId="348">
    <w:nsid w:val="4B232EE3"/>
    <w:multiLevelType w:val="hybridMultilevel"/>
    <w:lvl w:ilvl="0">
      <w:lvlJc w:val="left"/>
      <w:lvlText w:val="%1."/>
      <w:numFmt w:val="decimal"/>
      <w:start w:val="1"/>
    </w:lvl>
  </w:abstractNum>
  <w:abstractNum w:abstractNumId="349">
    <w:nsid w:val="159C74CF"/>
    <w:multiLevelType w:val="hybridMultilevel"/>
    <w:lvl w:ilvl="0">
      <w:lvlJc w:val="left"/>
      <w:lvlText w:val="%1."/>
      <w:numFmt w:val="decimal"/>
      <w:start w:val="2"/>
    </w:lvl>
  </w:abstractNum>
  <w:abstractNum w:abstractNumId="350">
    <w:nsid w:val="4AD3AFD2"/>
    <w:multiLevelType w:val="hybridMultilevel"/>
    <w:lvl w:ilvl="0">
      <w:lvlJc w:val="left"/>
      <w:lvlText w:val="%1."/>
      <w:numFmt w:val="decimal"/>
      <w:start w:val="3"/>
    </w:lvl>
    <w:lvl w:ilvl="1">
      <w:lvlJc w:val="left"/>
      <w:lvlText w:val="(%2)"/>
      <w:numFmt w:val="lowerLetter"/>
      <w:start w:val="1"/>
    </w:lvl>
  </w:abstractNum>
  <w:abstractNum w:abstractNumId="351">
    <w:nsid w:val="3CF93092"/>
    <w:multiLevelType w:val="hybridMultilevel"/>
    <w:lvl w:ilvl="0">
      <w:lvlJc w:val="left"/>
      <w:lvlText w:val="%1"/>
      <w:numFmt w:val="decimal"/>
      <w:start w:val="1"/>
    </w:lvl>
    <w:lvl w:ilvl="1">
      <w:lvlJc w:val="left"/>
      <w:lvlText w:val="(%2)"/>
      <w:numFmt w:val="lowerLetter"/>
      <w:start w:val="4"/>
    </w:lvl>
  </w:abstractNum>
  <w:abstractNum w:abstractNumId="352">
    <w:nsid w:val="6863E8D2"/>
    <w:multiLevelType w:val="hybridMultilevel"/>
    <w:lvl w:ilvl="0">
      <w:lvlJc w:val="left"/>
      <w:lvlText w:val="%1."/>
      <w:numFmt w:val="decimal"/>
      <w:start w:val="4"/>
    </w:lvl>
    <w:lvl w:ilvl="1">
      <w:lvlJc w:val="left"/>
      <w:lvlText w:val="(%2)"/>
      <w:numFmt w:val="lowerLetter"/>
      <w:start w:val="1"/>
    </w:lvl>
  </w:abstractNum>
  <w:abstractNum w:abstractNumId="353">
    <w:nsid w:val="76896198"/>
    <w:multiLevelType w:val="hybridMultilevel"/>
    <w:lvl w:ilvl="0">
      <w:lvlJc w:val="left"/>
      <w:lvlText w:val="%1."/>
      <w:numFmt w:val="decimal"/>
      <w:start w:val="6"/>
    </w:lvl>
  </w:abstractNum>
  <w:abstractNum w:abstractNumId="354">
    <w:nsid w:val="4365174B"/>
    <w:multiLevelType w:val="hybridMultilevel"/>
    <w:lvl w:ilvl="0">
      <w:lvlJc w:val="left"/>
      <w:lvlText w:val="1"/>
      <w:numFmt w:val="bullet"/>
      <w:start w:val="1"/>
    </w:lvl>
  </w:abstractNum>
  <w:abstractNum w:abstractNumId="355">
    <w:nsid w:val="4A872C35"/>
    <w:multiLevelType w:val="hybridMultilevel"/>
    <w:lvl w:ilvl="0">
      <w:lvlJc w:val="left"/>
      <w:lvlText w:val="2"/>
      <w:numFmt w:val="bullet"/>
      <w:start w:val="1"/>
    </w:lvl>
  </w:abstractNum>
  <w:abstractNum w:abstractNumId="356">
    <w:nsid w:val="5D5CE761"/>
    <w:multiLevelType w:val="hybridMultilevel"/>
    <w:lvl w:ilvl="0">
      <w:lvlJc w:val="left"/>
      <w:lvlText w:val="3"/>
      <w:numFmt w:val="bullet"/>
      <w:start w:val="1"/>
    </w:lvl>
  </w:abstractNum>
  <w:abstractNum w:abstractNumId="357">
    <w:nsid w:val="1CD484D5"/>
    <w:multiLevelType w:val="hybridMultilevel"/>
    <w:lvl w:ilvl="0">
      <w:lvlJc w:val="left"/>
      <w:lvlText w:val="4"/>
      <w:numFmt w:val="bullet"/>
      <w:start w:val="1"/>
    </w:lvl>
  </w:abstractNum>
  <w:abstractNum w:abstractNumId="358">
    <w:nsid w:val="21D06255"/>
    <w:multiLevelType w:val="hybridMultilevel"/>
    <w:lvl w:ilvl="0">
      <w:lvlJc w:val="left"/>
      <w:lvlText w:val="%1."/>
      <w:numFmt w:val="decimal"/>
      <w:start w:val="1"/>
    </w:lvl>
  </w:abstractNum>
  <w:abstractNum w:abstractNumId="359">
    <w:nsid w:val="51194ED1"/>
    <w:multiLevelType w:val="hybridMultilevel"/>
    <w:lvl w:ilvl="0">
      <w:lvlJc w:val="left"/>
      <w:lvlText w:val="["/>
      <w:numFmt w:val="bullet"/>
      <w:start w:val="1"/>
    </w:lvl>
  </w:abstractNum>
  <w:abstractNum w:abstractNumId="360">
    <w:nsid w:val="44E2ED6C"/>
    <w:multiLevelType w:val="hybridMultilevel"/>
    <w:lvl w:ilvl="0">
      <w:lvlJc w:val="left"/>
      <w:lvlText w:val="%1."/>
      <w:numFmt w:val="decimal"/>
      <w:start w:val="2"/>
    </w:lvl>
  </w:abstractNum>
  <w:abstractNum w:abstractNumId="361">
    <w:nsid w:val="2219B33"/>
    <w:multiLevelType w:val="hybridMultilevel"/>
    <w:lvl w:ilvl="0">
      <w:lvlJc w:val="left"/>
      <w:lvlText w:val="%1."/>
      <w:numFmt w:val="decimal"/>
      <w:start w:val="3"/>
    </w:lvl>
    <w:lvl w:ilvl="1">
      <w:lvlJc w:val="left"/>
      <w:lvlText w:val="(%2)"/>
      <w:numFmt w:val="lowerLetter"/>
      <w:start w:val="1"/>
    </w:lvl>
  </w:abstractNum>
  <w:abstractNum w:abstractNumId="362">
    <w:nsid w:val="773BFBDD"/>
    <w:multiLevelType w:val="hybridMultilevel"/>
    <w:lvl w:ilvl="0">
      <w:lvlJc w:val="left"/>
      <w:lvlText w:val="%1"/>
      <w:numFmt w:val="lowerLetter"/>
      <w:start w:val="1"/>
    </w:lvl>
    <w:lvl w:ilvl="1">
      <w:lvlJc w:val="left"/>
      <w:lvlText w:val="(%2)"/>
      <w:numFmt w:val="lowerLetter"/>
      <w:start w:val="3"/>
    </w:lvl>
  </w:abstractNum>
  <w:abstractNum w:abstractNumId="363">
    <w:nsid w:val="2C7C62C2"/>
    <w:multiLevelType w:val="hybridMultilevel"/>
    <w:lvl w:ilvl="0">
      <w:lvlJc w:val="left"/>
      <w:lvlText w:val="(%1)"/>
      <w:numFmt w:val="lowerLetter"/>
      <w:start w:val="4"/>
    </w:lvl>
    <w:lvl w:ilvl="1">
      <w:lvlJc w:val="left"/>
      <w:lvlText w:val="(%2)"/>
      <w:numFmt w:val="lowerLetter"/>
      <w:start w:val="4"/>
    </w:lvl>
  </w:abstractNum>
  <w:abstractNum w:abstractNumId="364">
    <w:nsid w:val="1A54D7BC"/>
    <w:multiLevelType w:val="hybridMultilevel"/>
    <w:lvl w:ilvl="0">
      <w:lvlJc w:val="left"/>
      <w:lvlText w:val="%1."/>
      <w:numFmt w:val="decimal"/>
      <w:start w:val="4"/>
    </w:lvl>
  </w:abstractNum>
  <w:abstractNum w:abstractNumId="365">
    <w:nsid w:val="42E57EF7"/>
    <w:multiLevelType w:val="hybridMultilevel"/>
    <w:lvl w:ilvl="0">
      <w:lvlJc w:val="left"/>
      <w:lvlText w:val="%1."/>
      <w:numFmt w:val="decimal"/>
      <w:start w:val="5"/>
    </w:lvl>
  </w:abstractNum>
  <w:abstractNum w:abstractNumId="366">
    <w:nsid w:val="33537CED"/>
    <w:multiLevelType w:val="hybridMultilevel"/>
    <w:lvl w:ilvl="0">
      <w:lvlJc w:val="left"/>
      <w:lvlText w:val="%1."/>
      <w:numFmt w:val="decimal"/>
      <w:start w:val="6"/>
    </w:lvl>
  </w:abstractNum>
  <w:abstractNum w:abstractNumId="367">
    <w:nsid w:val="27514ADE"/>
    <w:multiLevelType w:val="hybridMultilevel"/>
    <w:lvl w:ilvl="0">
      <w:lvlJc w:val="left"/>
      <w:lvlText w:val="$"/>
      <w:numFmt w:val="bullet"/>
      <w:start w:val="1"/>
    </w:lvl>
  </w:abstractNum>
  <w:abstractNum w:abstractNumId="368">
    <w:nsid w:val="57071613"/>
    <w:multiLevelType w:val="hybridMultilevel"/>
    <w:lvl w:ilvl="0">
      <w:lvlJc w:val="left"/>
      <w:lvlText w:val="1"/>
      <w:numFmt w:val="bullet"/>
      <w:start w:val="1"/>
    </w:lvl>
  </w:abstractNum>
  <w:abstractNum w:abstractNumId="369">
    <w:nsid w:val="5293BFEF"/>
    <w:multiLevelType w:val="hybridMultilevel"/>
    <w:lvl w:ilvl="0">
      <w:lvlJc w:val="left"/>
      <w:lvlText w:val="2"/>
      <w:numFmt w:val="bullet"/>
      <w:start w:val="1"/>
    </w:lvl>
  </w:abstractNum>
  <w:abstractNum w:abstractNumId="370">
    <w:nsid w:val="38BF53E5"/>
    <w:multiLevelType w:val="hybridMultilevel"/>
    <w:lvl w:ilvl="0">
      <w:lvlJc w:val="left"/>
      <w:lvlText w:val="3"/>
      <w:numFmt w:val="bullet"/>
      <w:start w:val="1"/>
    </w:lvl>
  </w:abstractNum>
  <w:abstractNum w:abstractNumId="371">
    <w:nsid w:val="226F5320"/>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2019-12-15T14:17:40Z</dcterms:created>
  <dcterms:modified xsi:type="dcterms:W3CDTF">2019-12-15T14:17:40Z</dcterms:modified>
</cp:coreProperties>
</file>