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Zoon Kathryn C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PROFESSIONAL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115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4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EBS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GAITHERSBURG MD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20879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05/21/2020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2,821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17,582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Consists of restricted stock units granted under the Company's Stock Incentive Plan, as amended and restated.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6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in three equal annual installments beginning on the earlier of: (i) the day prior to the first anniversary of the date of grant, or (ii) the day prior to annual shareholder meeting; assuming continued service with the company.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S. Scott Lieberman,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05/26/2020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4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Attorney-in-fact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685720" TargetMode="External"/><Relationship Id="rId14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2020-05-26T08:17:36Z</dcterms:created>
  <dcterms:modified xsi:type="dcterms:W3CDTF">2020-05-26T08:17:36Z</dcterms:modified>
</cp:coreProperties>
</file>