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Date of Report (Date of earliest event reported): November 04, 2021</w:t>
      </w:r>
    </w:p>
    <w:p>
      <w:pPr>
        <w:spacing w:after="0" w:line="14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1508" w:type="dxa"/>
        <w:tblCellMar>
          <w:top w:w="0" w:type="dxa"/>
          <w:left w:w="0" w:type="dxa"/>
          <w:bottom w:w="0" w:type="dxa"/>
          <w:right w:w="0" w:type="dxa"/>
        </w:tblCellMar>
      </w:tblPr>
      <w:tr>
        <w:trPr>
          <w:trHeight w:val="157"/>
        </w:trPr>
        <w:tc>
          <w:tcPr>
            <w:tcW w:w="2360" w:type="dxa"/>
            <w:vAlign w:val="bottom"/>
          </w:tcPr>
          <w:p>
            <w:pPr>
              <w:jc w:val="center"/>
              <w:ind w:right="1060"/>
              <w:spacing w:after="0"/>
              <w:rPr>
                <w:sz w:val="20"/>
                <w:szCs w:val="20"/>
                <w:color w:val="auto"/>
              </w:rPr>
            </w:pPr>
            <w:r>
              <w:rPr>
                <w:rFonts w:ascii="Arial" w:cs="Arial" w:eastAsia="Arial" w:hAnsi="Arial"/>
                <w:sz w:val="12"/>
                <w:szCs w:val="12"/>
                <w:b w:val="1"/>
                <w:bCs w:val="1"/>
                <w:color w:val="auto"/>
                <w:w w:val="91"/>
              </w:rPr>
              <w:t>Delaware</w:t>
            </w:r>
          </w:p>
        </w:tc>
        <w:tc>
          <w:tcPr>
            <w:tcW w:w="3640" w:type="dxa"/>
            <w:vAlign w:val="bottom"/>
          </w:tcPr>
          <w:p>
            <w:pPr>
              <w:jc w:val="right"/>
              <w:ind w:right="1560"/>
              <w:spacing w:after="0"/>
              <w:rPr>
                <w:sz w:val="20"/>
                <w:szCs w:val="20"/>
                <w:color w:val="auto"/>
              </w:rPr>
            </w:pPr>
            <w:r>
              <w:rPr>
                <w:rFonts w:ascii="Arial" w:cs="Arial" w:eastAsia="Arial" w:hAnsi="Arial"/>
                <w:sz w:val="12"/>
                <w:szCs w:val="12"/>
                <w:b w:val="1"/>
                <w:bCs w:val="1"/>
                <w:color w:val="auto"/>
              </w:rPr>
              <w:t>001-33137</w:t>
            </w:r>
          </w:p>
        </w:tc>
        <w:tc>
          <w:tcPr>
            <w:tcW w:w="2100" w:type="dxa"/>
            <w:vAlign w:val="bottom"/>
          </w:tcPr>
          <w:p>
            <w:pPr>
              <w:jc w:val="center"/>
              <w:ind w:left="1140"/>
              <w:spacing w:after="0"/>
              <w:rPr>
                <w:sz w:val="20"/>
                <w:szCs w:val="20"/>
                <w:color w:val="auto"/>
              </w:rPr>
            </w:pPr>
            <w:r>
              <w:rPr>
                <w:rFonts w:ascii="Arial" w:cs="Arial" w:eastAsia="Arial" w:hAnsi="Arial"/>
                <w:sz w:val="12"/>
                <w:szCs w:val="12"/>
                <w:b w:val="1"/>
                <w:bCs w:val="1"/>
                <w:color w:val="auto"/>
                <w:w w:val="90"/>
              </w:rPr>
              <w:t>14-1902018</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2"/>
              </w:rPr>
              <w:t>(State or other jurisdiction</w:t>
            </w:r>
          </w:p>
        </w:tc>
        <w:tc>
          <w:tcPr>
            <w:tcW w:w="3640" w:type="dxa"/>
            <w:vAlign w:val="bottom"/>
          </w:tcPr>
          <w:p>
            <w:pPr>
              <w:jc w:val="center"/>
              <w:ind w:right="60"/>
              <w:spacing w:after="0"/>
              <w:rPr>
                <w:sz w:val="20"/>
                <w:szCs w:val="20"/>
                <w:color w:val="auto"/>
              </w:rPr>
            </w:pPr>
            <w:r>
              <w:rPr>
                <w:rFonts w:ascii="Arial" w:cs="Arial" w:eastAsia="Arial" w:hAnsi="Arial"/>
                <w:sz w:val="12"/>
                <w:szCs w:val="12"/>
                <w:color w:val="auto"/>
                <w:w w:val="92"/>
              </w:rPr>
              <w:t>(Commission File Number)</w:t>
            </w:r>
          </w:p>
        </w:tc>
        <w:tc>
          <w:tcPr>
            <w:tcW w:w="2100" w:type="dxa"/>
            <w:vAlign w:val="bottom"/>
          </w:tcPr>
          <w:p>
            <w:pPr>
              <w:jc w:val="center"/>
              <w:ind w:left="1120"/>
              <w:spacing w:after="0"/>
              <w:rPr>
                <w:sz w:val="20"/>
                <w:szCs w:val="20"/>
                <w:color w:val="auto"/>
              </w:rPr>
            </w:pPr>
            <w:r>
              <w:rPr>
                <w:rFonts w:ascii="Arial" w:cs="Arial" w:eastAsia="Arial" w:hAnsi="Arial"/>
                <w:sz w:val="12"/>
                <w:szCs w:val="12"/>
                <w:color w:val="auto"/>
                <w:w w:val="92"/>
              </w:rPr>
              <w:t>(IRS Employer</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4"/>
              </w:rPr>
              <w:t>of incorporation)</w:t>
            </w:r>
          </w:p>
        </w:tc>
        <w:tc>
          <w:tcPr>
            <w:tcW w:w="3640" w:type="dxa"/>
            <w:vAlign w:val="bottom"/>
          </w:tcPr>
          <w:p>
            <w:pPr>
              <w:spacing w:after="0"/>
              <w:rPr>
                <w:sz w:val="13"/>
                <w:szCs w:val="13"/>
                <w:color w:val="auto"/>
              </w:rPr>
            </w:pPr>
          </w:p>
        </w:tc>
        <w:tc>
          <w:tcPr>
            <w:tcW w:w="2100" w:type="dxa"/>
            <w:vAlign w:val="bottom"/>
          </w:tcPr>
          <w:p>
            <w:pPr>
              <w:jc w:val="center"/>
              <w:ind w:left="1140"/>
              <w:spacing w:after="0"/>
              <w:rPr>
                <w:sz w:val="20"/>
                <w:szCs w:val="20"/>
                <w:color w:val="auto"/>
              </w:rPr>
            </w:pPr>
            <w:r>
              <w:rPr>
                <w:rFonts w:ascii="Arial" w:cs="Arial" w:eastAsia="Arial" w:hAnsi="Arial"/>
                <w:sz w:val="12"/>
                <w:szCs w:val="12"/>
                <w:color w:val="auto"/>
                <w:w w:val="96"/>
              </w:rPr>
              <w:t>Identification No.)</w:t>
            </w:r>
          </w:p>
        </w:tc>
      </w:tr>
    </w:tbl>
    <w:p>
      <w:pPr>
        <w:spacing w:after="0" w:line="45" w:lineRule="exact"/>
        <w:rPr>
          <w:sz w:val="24"/>
          <w:szCs w:val="24"/>
          <w:color w:val="auto"/>
        </w:rPr>
      </w:pPr>
    </w:p>
    <w:p>
      <w:pPr>
        <w:ind w:left="4648"/>
        <w:spacing w:after="0"/>
        <w:rPr>
          <w:sz w:val="20"/>
          <w:szCs w:val="20"/>
          <w:color w:val="auto"/>
        </w:rPr>
      </w:pPr>
      <w:r>
        <w:rPr>
          <w:rFonts w:ascii="Arial" w:cs="Arial" w:eastAsia="Arial" w:hAnsi="Arial"/>
          <w:sz w:val="14"/>
          <w:szCs w:val="14"/>
          <w:b w:val="1"/>
          <w:bCs w:val="1"/>
          <w:color w:val="auto"/>
        </w:rPr>
        <w:t>400 Professional Drive, Suite 400,</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4"/>
          <w:szCs w:val="14"/>
          <w:b w:val="1"/>
          <w:bCs w:val="1"/>
          <w:color w:val="auto"/>
        </w:rPr>
        <w:t>Gaithersburg, Maryland 20879</w:t>
      </w:r>
    </w:p>
    <w:p>
      <w:pPr>
        <w:spacing w:after="0" w:line="58"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(Address of principal executive offices, including zip code)</w:t>
      </w:r>
    </w:p>
    <w:p>
      <w:pPr>
        <w:spacing w:after="0" w:line="146"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(240) 631-3200</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(Registrant’s telephone number, including area code)</w:t>
      </w:r>
    </w:p>
    <w:p>
      <w:pPr>
        <w:spacing w:after="0" w:line="155"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00" w:hanging="8"/>
        <w:spacing w:after="0" w:line="500" w:lineRule="auto"/>
        <w:tabs>
          <w:tab w:leader="none" w:pos="1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258" w:type="dxa"/>
        <w:tblCellMar>
          <w:top w:w="0" w:type="dxa"/>
          <w:left w:w="0" w:type="dxa"/>
          <w:bottom w:w="0" w:type="dxa"/>
          <w:right w:w="0" w:type="dxa"/>
        </w:tblCellMar>
      </w:tblPr>
      <w:tr>
        <w:trPr>
          <w:trHeight w:val="143"/>
        </w:trPr>
        <w:tc>
          <w:tcPr>
            <w:tcW w:w="44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Title of each class</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Common Stock, Par Value $0.001 per share</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EBS</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bl>
    <w:p>
      <w:pPr>
        <w:spacing w:after="0" w:line="198" w:lineRule="exact"/>
        <w:rPr>
          <w:sz w:val="24"/>
          <w:szCs w:val="24"/>
          <w:color w:val="auto"/>
        </w:rPr>
      </w:pPr>
    </w:p>
    <w:p>
      <w:pPr>
        <w:ind w:left="8"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
        <w:spacing w:after="0" w:line="138" w:lineRule="exact"/>
        <w:tabs>
          <w:tab w:leader="none" w:pos="14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06" w:right="3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4" w:lineRule="exact"/>
        <w:rPr>
          <w:sz w:val="20"/>
          <w:szCs w:val="20"/>
          <w:color w:val="auto"/>
        </w:rPr>
      </w:pPr>
    </w:p>
    <w:p>
      <w:pPr>
        <w:ind w:firstLine="432"/>
        <w:spacing w:after="0" w:line="234" w:lineRule="auto"/>
        <w:rPr>
          <w:sz w:val="20"/>
          <w:szCs w:val="20"/>
          <w:color w:val="auto"/>
        </w:rPr>
      </w:pPr>
      <w:r>
        <w:rPr>
          <w:rFonts w:ascii="Arial" w:cs="Arial" w:eastAsia="Arial" w:hAnsi="Arial"/>
          <w:sz w:val="12"/>
          <w:szCs w:val="12"/>
          <w:color w:val="auto"/>
        </w:rPr>
        <w:t>On November 4, 2021, Emergent BioSolutions Inc. (the “Company”) announced financial and operating results for the period ended September 30, 2021. The Company will also use presentation materials in connection with its third quarter conference call (“Earnings Call Slides”), which will be posted on the Company’s website at www.emergentbiosolutions.com. Copies of the press release and Earnings Call Slides are furnished as Exhibit 99.1 and Exhibit 99.2 to this Current Report on Form 8-K, respectively, and are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disclosure contained in Item 2.02 of this Current Report on Form 8-K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82"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5322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5715"/>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99.1</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99.2</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Earnings press release issued by the Company on November 04, 2021.</w:t>
        </w:r>
      </w:hyperlink>
    </w:p>
    <w:p>
      <w:pPr>
        <w:spacing w:after="0" w:line="15" w:lineRule="exact"/>
        <w:rPr>
          <w:sz w:val="20"/>
          <w:szCs w:val="20"/>
          <w:color w:val="auto"/>
        </w:rPr>
      </w:pPr>
    </w:p>
    <w:p>
      <w:pPr>
        <w:spacing w:after="0"/>
        <w:rPr>
          <w:rFonts w:ascii="Arial" w:cs="Arial" w:eastAsia="Arial" w:hAnsi="Arial"/>
          <w:sz w:val="12"/>
          <w:szCs w:val="12"/>
          <w:u w:val="single" w:color="auto"/>
          <w:color w:val="0000FF"/>
        </w:rPr>
      </w:pPr>
      <w:hyperlink w:anchor="page19">
        <w:r>
          <w:rPr>
            <w:rFonts w:ascii="Arial" w:cs="Arial" w:eastAsia="Arial" w:hAnsi="Arial"/>
            <w:sz w:val="12"/>
            <w:szCs w:val="12"/>
            <w:u w:val="single" w:color="auto"/>
            <w:color w:val="0000FF"/>
          </w:rPr>
          <w:t>Earnings Call Slides, dated November 04, 2021.</w:t>
        </w:r>
      </w:hyperlink>
    </w:p>
    <w:p>
      <w:pPr>
        <w:spacing w:after="0" w:line="15" w:lineRule="exact"/>
        <w:rPr>
          <w:sz w:val="20"/>
          <w:szCs w:val="20"/>
          <w:color w:val="auto"/>
        </w:rPr>
      </w:pPr>
    </w:p>
    <w:p>
      <w:pPr>
        <w:ind w:right="1400"/>
        <w:spacing w:after="0" w:line="256" w:lineRule="auto"/>
        <w:rPr>
          <w:sz w:val="20"/>
          <w:szCs w:val="20"/>
          <w:color w:val="auto"/>
        </w:rPr>
      </w:pPr>
      <w:r>
        <w:rPr>
          <w:rFonts w:ascii="Arial" w:cs="Arial" w:eastAsia="Arial" w:hAnsi="Arial"/>
          <w:sz w:val="11"/>
          <w:szCs w:val="11"/>
          <w:color w:val="auto"/>
        </w:rPr>
        <w:t>Emergent BioSolutions Inc. Current Report on Form 8-K, dated November 04, 2021 formatted in XBRL (Extensible Business Reporting Language): Cover Page. The instance document does not appear in the Interactive Data File because its XBRL tags are embedded within the Inline XBRL document.</w:t>
      </w:r>
    </w:p>
    <w:p>
      <w:pPr>
        <w:spacing w:after="0" w:line="1" w:lineRule="exact"/>
        <w:rPr>
          <w:sz w:val="20"/>
          <w:szCs w:val="20"/>
          <w:color w:val="auto"/>
        </w:rPr>
      </w:pPr>
    </w:p>
    <w:p>
      <w:pPr>
        <w:sectPr>
          <w:pgSz w:w="11900" w:h="16838" w:orient="portrait"/>
          <w:cols w:equalWidth="0" w:num="2">
            <w:col w:w="1220" w:space="720"/>
            <w:col w:w="9360"/>
          </w:cols>
          <w:pgMar w:left="300" w:top="640" w:right="29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SIGNATURE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0" w:lineRule="exact"/>
        <w:rPr>
          <w:sz w:val="20"/>
          <w:szCs w:val="20"/>
          <w:color w:val="auto"/>
        </w:rPr>
      </w:pPr>
    </w:p>
    <w:p>
      <w:pPr>
        <w:ind w:left="5780"/>
        <w:spacing w:after="0"/>
        <w:rPr>
          <w:sz w:val="20"/>
          <w:szCs w:val="20"/>
          <w:color w:val="auto"/>
        </w:rPr>
      </w:pPr>
      <w:r>
        <w:rPr>
          <w:rFonts w:ascii="Arial" w:cs="Arial" w:eastAsia="Arial" w:hAnsi="Arial"/>
          <w:sz w:val="12"/>
          <w:szCs w:val="12"/>
          <w:b w:val="1"/>
          <w:bCs w:val="1"/>
          <w:color w:val="auto"/>
        </w:rPr>
        <w:t>EMERGENT BIOSOLUTIONS INC.</w:t>
      </w:r>
    </w:p>
    <w:p>
      <w:pPr>
        <w:spacing w:after="0" w:line="172" w:lineRule="exact"/>
        <w:rPr>
          <w:sz w:val="20"/>
          <w:szCs w:val="20"/>
          <w:color w:val="auto"/>
        </w:rPr>
      </w:pPr>
    </w:p>
    <w:p>
      <w:pPr>
        <w:ind w:left="500"/>
        <w:spacing w:after="0"/>
        <w:tabs>
          <w:tab w:leader="none" w:pos="5760" w:val="left"/>
          <w:tab w:leader="none" w:pos="6240" w:val="left"/>
        </w:tabs>
        <w:rPr>
          <w:sz w:val="20"/>
          <w:szCs w:val="20"/>
          <w:color w:val="auto"/>
        </w:rPr>
      </w:pPr>
      <w:r>
        <w:rPr>
          <w:rFonts w:ascii="Arial" w:cs="Arial" w:eastAsia="Arial" w:hAnsi="Arial"/>
          <w:sz w:val="12"/>
          <w:szCs w:val="12"/>
          <w:color w:val="auto"/>
        </w:rPr>
        <w:t>Dated: November 04,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9525</wp:posOffset>
            </wp:positionV>
            <wp:extent cx="28860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6075" cy="571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2"/>
          <w:szCs w:val="12"/>
          <w:color w:val="auto"/>
        </w:rPr>
        <w:t>Name: Richard S. Lindahl</w:t>
      </w:r>
    </w:p>
    <w:p>
      <w:pPr>
        <w:ind w:left="6260"/>
        <w:spacing w:after="0" w:line="203" w:lineRule="auto"/>
        <w:rPr>
          <w:sz w:val="20"/>
          <w:szCs w:val="20"/>
          <w:color w:val="auto"/>
        </w:rPr>
      </w:pPr>
      <w:r>
        <w:rPr>
          <w:rFonts w:ascii="Arial" w:cs="Arial" w:eastAsia="Arial" w:hAnsi="Arial"/>
          <w:sz w:val="12"/>
          <w:szCs w:val="12"/>
          <w:color w:val="auto"/>
        </w:rPr>
        <w:t>Title: Executive Vice President, Chief Financial</w:t>
      </w:r>
    </w:p>
    <w:p>
      <w:pPr>
        <w:ind w:left="6680"/>
        <w:spacing w:after="0"/>
        <w:rPr>
          <w:sz w:val="20"/>
          <w:szCs w:val="20"/>
          <w:color w:val="auto"/>
        </w:rPr>
      </w:pPr>
      <w:r>
        <w:rPr>
          <w:rFonts w:ascii="Arial" w:cs="Arial" w:eastAsia="Arial" w:hAnsi="Arial"/>
          <w:sz w:val="12"/>
          <w:szCs w:val="12"/>
          <w:color w:val="auto"/>
        </w:rPr>
        <w:t>Officer and Treasurer</w:t>
      </w:r>
    </w:p>
    <w:p>
      <w:pPr>
        <w:sectPr>
          <w:pgSz w:w="11900" w:h="16838" w:orient="portrait"/>
          <w:cols w:equalWidth="0" w:num="1">
            <w:col w:w="11300"/>
          </w:cols>
          <w:pgMar w:left="300" w:top="640" w:right="2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34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34340"/>
                    </a:xfrm>
                    <a:prstGeom prst="rect">
                      <a:avLst/>
                    </a:prstGeom>
                    <a:noFill/>
                  </pic:spPr>
                </pic:pic>
              </a:graphicData>
            </a:graphic>
          </wp:anchor>
        </w:drawing>
        <w:t>EMERGENT BIOSOLUTIONS REPORTS FINANCIAL RESULTS FOR THIRD QUARTER 2021</w:t>
      </w: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GAITHERSBURG, Md., November 4, 2021</w:t>
      </w:r>
      <w:r>
        <w:rPr>
          <w:rFonts w:ascii="Arial" w:cs="Arial" w:eastAsia="Arial" w:hAnsi="Arial"/>
          <w:sz w:val="12"/>
          <w:szCs w:val="12"/>
          <w:color w:val="auto"/>
        </w:rPr>
        <w:t>—Emergent BioSolutions Inc. (NYSE: EBS) today reported financial results for the third quarter ended September 30, 2021</w:t>
      </w:r>
      <w:r>
        <w:rPr>
          <w:rFonts w:ascii="Arial" w:cs="Arial" w:eastAsia="Arial" w:hAnsi="Arial"/>
          <w:sz w:val="14"/>
          <w:szCs w:val="14"/>
          <w:color w:val="auto"/>
        </w:rPr>
        <w:t>.</w:t>
      </w:r>
    </w:p>
    <w:p>
      <w:pPr>
        <w:spacing w:after="0" w:line="149" w:lineRule="exact"/>
        <w:rPr>
          <w:sz w:val="20"/>
          <w:szCs w:val="20"/>
          <w:color w:val="auto"/>
        </w:rPr>
      </w:pPr>
    </w:p>
    <w:p>
      <w:pPr>
        <w:ind w:right="20"/>
        <w:spacing w:after="0" w:line="229" w:lineRule="auto"/>
        <w:rPr>
          <w:sz w:val="20"/>
          <w:szCs w:val="20"/>
          <w:color w:val="auto"/>
        </w:rPr>
      </w:pPr>
      <w:r>
        <w:rPr>
          <w:rFonts w:ascii="Arial" w:cs="Arial" w:eastAsia="Arial" w:hAnsi="Arial"/>
          <w:sz w:val="12"/>
          <w:szCs w:val="12"/>
          <w:color w:val="auto"/>
        </w:rPr>
        <w:t>"Emergent's core products and service businesses remain strong as evidenced by our accomplishments this quarter,” said Robert G. Kramer, president and CEO of Emergent BioSolutions. "We have secured renewals of multiple medical countermeasure supply contracts, made pipeline advancements, implemented organizational enhancements that better serve our customers, and are pursuing new business prospects. We are confident in our 2024 growth plan and remain focused on our mission - to protect and enhance life."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60" w:type="dxa"/>
            <w:vAlign w:val="bottom"/>
          </w:tcPr>
          <w:p>
            <w:pPr>
              <w:spacing w:after="0"/>
              <w:rPr>
                <w:sz w:val="20"/>
                <w:szCs w:val="20"/>
                <w:color w:val="auto"/>
              </w:rPr>
            </w:pPr>
            <w:r>
              <w:rPr>
                <w:rFonts w:ascii="Arial" w:cs="Arial" w:eastAsia="Arial" w:hAnsi="Arial"/>
                <w:sz w:val="12"/>
                <w:szCs w:val="12"/>
                <w:b w:val="1"/>
                <w:bCs w:val="1"/>
                <w:color w:val="auto"/>
              </w:rPr>
              <w:t>FINANCIAL HIGHLIGHTS (1)</w:t>
            </w: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58"/>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 except per share amounts)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$329.0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$385.2</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(loss) income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($32.7)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$39.5</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(loss) income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($0.61)</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$0.73</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(loss) income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($19.3)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$119.0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(loss) income </w:t>
            </w:r>
            <w:r>
              <w:rPr>
                <w:rFonts w:ascii="Arial" w:cs="Arial" w:eastAsia="Arial" w:hAnsi="Arial"/>
                <w:sz w:val="12"/>
                <w:szCs w:val="12"/>
                <w:i w:val="1"/>
                <w:iCs w:val="1"/>
                <w:color w:val="auto"/>
              </w:rPr>
              <w:t>(2)</w:t>
            </w:r>
            <w:r>
              <w:rPr>
                <w:rFonts w:ascii="Arial" w:cs="Arial" w:eastAsia="Arial" w:hAnsi="Arial"/>
                <w:sz w:val="12"/>
                <w:szCs w:val="12"/>
                <w:color w:val="auto"/>
              </w:rPr>
              <w:t xml:space="preserv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($0.36)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$2.19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($3.3)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$168.1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-713740</wp:posOffset>
            </wp:positionV>
            <wp:extent cx="7183755" cy="1594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755" cy="159448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 except per share amounts)</w:t>
            </w:r>
          </w:p>
        </w:tc>
        <w:tc>
          <w:tcPr>
            <w:tcW w:w="214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YTD 2021</w:t>
            </w:r>
          </w:p>
        </w:tc>
        <w:tc>
          <w:tcPr>
            <w:tcW w:w="214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YTD 2020</w:t>
            </w:r>
          </w:p>
        </w:tc>
        <w:tc>
          <w:tcPr>
            <w:tcW w:w="2160" w:type="dxa"/>
            <w:vAlign w:val="bottom"/>
            <w:shd w:val="clear" w:color="auto" w:fill="0F243E"/>
          </w:tcPr>
          <w:p>
            <w:pPr>
              <w:jc w:val="right"/>
              <w:ind w:right="72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$1,069.5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$972.4</w:t>
            </w:r>
          </w:p>
        </w:tc>
        <w:tc>
          <w:tcPr>
            <w:tcW w:w="2160" w:type="dxa"/>
            <w:vAlign w:val="bottom"/>
            <w:shd w:val="clear" w:color="auto" w:fill="CCCCCC"/>
          </w:tcPr>
          <w:p>
            <w:pPr>
              <w:jc w:val="right"/>
              <w:ind w:right="900"/>
              <w:spacing w:after="0"/>
              <w:rPr>
                <w:sz w:val="20"/>
                <w:szCs w:val="20"/>
                <w:color w:val="auto"/>
              </w:rPr>
            </w:pPr>
            <w:r>
              <w:rPr>
                <w:rFonts w:ascii="Arial" w:cs="Arial" w:eastAsia="Arial" w:hAnsi="Arial"/>
                <w:sz w:val="12"/>
                <w:szCs w:val="12"/>
                <w:color w:val="auto"/>
              </w:rPr>
              <w:t>10%</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income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$41.6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$119.7</w:t>
            </w:r>
          </w:p>
        </w:tc>
        <w:tc>
          <w:tcPr>
            <w:tcW w:w="2160" w:type="dxa"/>
            <w:vAlign w:val="bottom"/>
            <w:shd w:val="clear" w:color="auto" w:fill="CCCCCC"/>
          </w:tcPr>
          <w:p>
            <w:pPr>
              <w:jc w:val="right"/>
              <w:ind w:right="860"/>
              <w:spacing w:after="0"/>
              <w:rPr>
                <w:sz w:val="20"/>
                <w:szCs w:val="20"/>
                <w:color w:val="auto"/>
              </w:rPr>
            </w:pPr>
            <w:r>
              <w:rPr>
                <w:rFonts w:ascii="Arial" w:cs="Arial" w:eastAsia="Arial" w:hAnsi="Arial"/>
                <w:sz w:val="12"/>
                <w:szCs w:val="12"/>
                <w:color w:val="auto"/>
              </w:rPr>
              <w:t>(65)%</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income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$0.77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$2.23</w:t>
            </w:r>
          </w:p>
        </w:tc>
        <w:tc>
          <w:tcPr>
            <w:tcW w:w="2160" w:type="dxa"/>
            <w:vAlign w:val="bottom"/>
            <w:shd w:val="clear" w:color="auto" w:fill="CCCCCC"/>
          </w:tcPr>
          <w:p>
            <w:pPr>
              <w:jc w:val="right"/>
              <w:ind w:right="860"/>
              <w:spacing w:after="0"/>
              <w:rPr>
                <w:sz w:val="20"/>
                <w:szCs w:val="20"/>
                <w:color w:val="auto"/>
              </w:rPr>
            </w:pPr>
            <w:r>
              <w:rPr>
                <w:rFonts w:ascii="Arial" w:cs="Arial" w:eastAsia="Arial" w:hAnsi="Arial"/>
                <w:sz w:val="12"/>
                <w:szCs w:val="12"/>
                <w:color w:val="auto"/>
              </w:rPr>
              <w:t>(65)%</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$82.3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$225.1</w:t>
            </w:r>
          </w:p>
        </w:tc>
        <w:tc>
          <w:tcPr>
            <w:tcW w:w="2160" w:type="dxa"/>
            <w:vAlign w:val="bottom"/>
            <w:shd w:val="clear" w:color="auto" w:fill="CCCCCC"/>
          </w:tcPr>
          <w:p>
            <w:pPr>
              <w:jc w:val="right"/>
              <w:ind w:right="860"/>
              <w:spacing w:after="0"/>
              <w:rPr>
                <w:sz w:val="20"/>
                <w:szCs w:val="20"/>
                <w:color w:val="auto"/>
              </w:rPr>
            </w:pPr>
            <w:r>
              <w:rPr>
                <w:rFonts w:ascii="Arial" w:cs="Arial" w:eastAsia="Arial" w:hAnsi="Arial"/>
                <w:sz w:val="12"/>
                <w:szCs w:val="12"/>
                <w:color w:val="auto"/>
              </w:rPr>
              <w:t>(63)%</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r>
              <w:rPr>
                <w:rFonts w:ascii="Arial" w:cs="Arial" w:eastAsia="Arial" w:hAnsi="Arial"/>
                <w:sz w:val="12"/>
                <w:szCs w:val="12"/>
                <w:color w:val="auto"/>
              </w:rPr>
              <w:t xml:space="preserv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$4.20</w:t>
            </w:r>
          </w:p>
        </w:tc>
        <w:tc>
          <w:tcPr>
            <w:tcW w:w="2160" w:type="dxa"/>
            <w:vAlign w:val="bottom"/>
            <w:shd w:val="clear" w:color="auto" w:fill="CCCCCC"/>
          </w:tcPr>
          <w:p>
            <w:pPr>
              <w:jc w:val="right"/>
              <w:ind w:right="860"/>
              <w:spacing w:after="0"/>
              <w:rPr>
                <w:sz w:val="20"/>
                <w:szCs w:val="20"/>
                <w:color w:val="auto"/>
              </w:rPr>
            </w:pPr>
            <w:r>
              <w:rPr>
                <w:rFonts w:ascii="Arial" w:cs="Arial" w:eastAsia="Arial" w:hAnsi="Arial"/>
                <w:sz w:val="12"/>
                <w:szCs w:val="12"/>
                <w:color w:val="auto"/>
              </w:rPr>
              <w:t>(64)%</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$169.7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$339.5</w:t>
            </w:r>
          </w:p>
        </w:tc>
        <w:tc>
          <w:tcPr>
            <w:tcW w:w="2160" w:type="dxa"/>
            <w:vAlign w:val="bottom"/>
            <w:shd w:val="clear" w:color="auto" w:fill="CCCCCC"/>
          </w:tcPr>
          <w:p>
            <w:pPr>
              <w:jc w:val="right"/>
              <w:ind w:right="860"/>
              <w:spacing w:after="0"/>
              <w:rPr>
                <w:sz w:val="20"/>
                <w:szCs w:val="20"/>
                <w:color w:val="auto"/>
              </w:rPr>
            </w:pPr>
            <w:r>
              <w:rPr>
                <w:rFonts w:ascii="Arial" w:cs="Arial" w:eastAsia="Arial" w:hAnsi="Arial"/>
                <w:sz w:val="12"/>
                <w:szCs w:val="12"/>
                <w:color w:val="auto"/>
              </w:rPr>
              <w:t>(50)%</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Q3 2021 AND OTHER RECENT BUSINESS</w:t>
      </w:r>
    </w:p>
    <w:p>
      <w:pPr>
        <w:spacing w:after="0" w:line="173" w:lineRule="exact"/>
        <w:rPr>
          <w:sz w:val="20"/>
          <w:szCs w:val="20"/>
          <w:color w:val="auto"/>
        </w:rPr>
      </w:pPr>
    </w:p>
    <w:p>
      <w:pPr>
        <w:ind w:left="420" w:right="60" w:hanging="212"/>
        <w:spacing w:after="0" w:line="229" w:lineRule="auto"/>
        <w:tabs>
          <w:tab w:leader="none" w:pos="39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Announced a mutual agreement with the U.S. Department of Health and Human Services (HHS) to terminate the Company's 2012 Center for Innovation in Advanced Development and Manufacturing (CIADM) contract to establish a public-private partnership for pandemic preparedness, along with all associated task orders, including the 2020 task order to reserve capacity and expand manufacturing for third-party COVID-19 vaccine and therapeutic candidates</w:t>
      </w:r>
    </w:p>
    <w:p>
      <w:pPr>
        <w:spacing w:after="0" w:line="181"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Initiated a pivotal Phase 3 safety and immunogenicity study to evaluate CHIKV VLP, the company's single-dose chikungunya virus virus-like particle vaccine candidate</w:t>
      </w:r>
    </w:p>
    <w:p>
      <w:pPr>
        <w:spacing w:after="0" w:line="150"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Secured a multi-year development and manufacturing agreement with Providence Therapeutics, valued at approximately $90 million, for its mRNA COVID-19 vaccine candidate</w:t>
      </w:r>
    </w:p>
    <w:p>
      <w:pPr>
        <w:spacing w:after="0" w:line="60" w:lineRule="exact"/>
        <w:rPr>
          <w:rFonts w:ascii="Arial" w:cs="Arial" w:eastAsia="Arial" w:hAnsi="Arial"/>
          <w:sz w:val="12"/>
          <w:szCs w:val="12"/>
          <w:color w:val="auto"/>
        </w:rPr>
      </w:pPr>
    </w:p>
    <w:p>
      <w:pPr>
        <w:ind w:left="420" w:right="140" w:hanging="212"/>
        <w:spacing w:after="0" w:line="235" w:lineRule="auto"/>
        <w:tabs>
          <w:tab w:leader="none" w:pos="39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Received a contract modification to the 2016 AV7909 (Anthrax Vaccine Adsorbed with Adjuvant) development and procurement contract with the U.S. government, valued at approximately $399 million, to deliver doses of AV7909 to the Strategic National Stockpile (SNS) over 18 months</w:t>
      </w:r>
    </w:p>
    <w:p>
      <w:pPr>
        <w:spacing w:after="0" w:line="53"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Received Orphan Drug designation from the U.S. Food and Drug Administration (FDA) for AV7909</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16</w:t>
      </w:r>
    </w:p>
    <w:p>
      <w:pPr>
        <w:sectPr>
          <w:pgSz w:w="11900" w:h="16838" w:orient="portrait"/>
          <w:cols w:equalWidth="0" w:num="1">
            <w:col w:w="11300"/>
          </w:cols>
          <w:pgMar w:left="300" w:top="1422" w:right="299" w:bottom="1440" w:gutter="0" w:footer="0" w:header="0"/>
        </w:sectPr>
      </w:pPr>
    </w:p>
    <w:bookmarkStart w:id="3" w:name="page4"/>
    <w:bookmarkEnd w:id="3"/>
    <w:p>
      <w:pPr>
        <w:ind w:left="428" w:right="180" w:hanging="212"/>
        <w:spacing w:after="0" w:line="235" w:lineRule="auto"/>
        <w:tabs>
          <w:tab w:leader="none" w:pos="398" w:val="left"/>
        </w:tabs>
        <w:numPr>
          <w:ilvl w:val="0"/>
          <w:numId w:val="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Announced inclusion of the company’s SARS-CoV-2 Immune Globulin Intravenous (Human) (COVID-HIG) plasma-derived therapy in a Phase 3 safety and efficacy study, INSIGHT-012, sponsored by the National Institute of Allergy and Infectious Diseases of the National Institutes of Health, evaluating hyperimmune intravenous immunoglobulin for outpatient COVID-19 treatment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Q3 2021 FINANCIAL PERFORMANCE (1)</w:t>
      </w:r>
    </w:p>
    <w:p>
      <w:pPr>
        <w:spacing w:after="0" w:line="159" w:lineRule="exact"/>
        <w:rPr>
          <w:sz w:val="20"/>
          <w:szCs w:val="20"/>
          <w:color w:val="auto"/>
        </w:rPr>
      </w:pPr>
    </w:p>
    <w:p>
      <w:pPr>
        <w:ind w:left="8" w:right="8900" w:hanging="8"/>
        <w:spacing w:after="0" w:line="421" w:lineRule="auto"/>
        <w:tabs>
          <w:tab w:leader="none" w:pos="155"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Quarter Ended September 30, 2021 (Q3) </w:t>
      </w:r>
      <w:r>
        <w:rPr>
          <w:rFonts w:ascii="Arial" w:cs="Arial" w:eastAsia="Arial" w:hAnsi="Arial"/>
          <w:sz w:val="12"/>
          <w:szCs w:val="12"/>
          <w:b w:val="1"/>
          <w:bCs w:val="1"/>
          <w:u w:val="single" w:color="auto"/>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78040" cy="1440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440180"/>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51"/>
        </w:trPr>
        <w:tc>
          <w:tcPr>
            <w:tcW w:w="4860" w:type="dxa"/>
            <w:vAlign w:val="bottom"/>
            <w:gridSpan w:val="2"/>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Product sales, net (3):</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NARCAN® Nasal Spray</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$133.3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$88.8</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50%</w:t>
            </w: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ACAM2000®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$80.7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Anthrax vaccines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$73.9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(79)%</w:t>
            </w: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Other (4)</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$40.9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$38.5</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6%</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product sales, net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$270.5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$202.2</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34%</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Contract development and manufacturing (CDMO):</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Services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$112.6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$53.1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Leases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($71.0)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$104.0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Total CDMO</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$41.6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$157.1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(74)%</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Contracts and grants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$16.9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$25.9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(35)%</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$329.0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$385.2</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r>
    </w:tbl>
    <w:p>
      <w:pPr>
        <w:spacing w:after="0" w:line="21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Product Sales, net</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NARCAN Nasal Spray</w:t>
      </w:r>
    </w:p>
    <w:p>
      <w:pPr>
        <w:spacing w:after="0" w:line="6" w:lineRule="exact"/>
        <w:rPr>
          <w:sz w:val="20"/>
          <w:szCs w:val="20"/>
          <w:color w:val="auto"/>
        </w:rPr>
      </w:pPr>
    </w:p>
    <w:p>
      <w:pPr>
        <w:ind w:left="8" w:right="420"/>
        <w:spacing w:after="0" w:line="261" w:lineRule="auto"/>
        <w:rPr>
          <w:sz w:val="20"/>
          <w:szCs w:val="20"/>
          <w:color w:val="auto"/>
        </w:rPr>
      </w:pPr>
      <w:r>
        <w:rPr>
          <w:rFonts w:ascii="Arial" w:cs="Arial" w:eastAsia="Arial" w:hAnsi="Arial"/>
          <w:sz w:val="12"/>
          <w:szCs w:val="12"/>
          <w:color w:val="auto"/>
        </w:rPr>
        <w:t>For Q3 2021, revenues from NARCAN® (naloxone HCI) Nasal Spray increased $44.5 million as compared to Q3 2020. The increase is driven by continued growth in unit sales to the U.S. public interest and commercial retail markets as well as customer channels in Canada.</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ACAM2000</w:t>
      </w:r>
    </w:p>
    <w:p>
      <w:pPr>
        <w:spacing w:after="0" w:line="18"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color w:val="auto"/>
        </w:rPr>
        <w:t>For Q3 2021, revenues from ACAM2000® (Smallpox (Vaccinia) Vaccine, Live) increased $ 79.7 million as compared to Q3 2020. The increase is largely driven by the timing of deliveries to the U.S. government (USG), specifically the Strategic National Stockpile (SNS). The revenues recognized in Q3 2021 are a result of a recent option exercise in July 2021 by the USG valued at approximately $182 million. The Company expects to deliver the remaining units under this option exercise during the fourth quarter of 2021.</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Anthrax vaccines</w:t>
      </w:r>
    </w:p>
    <w:p>
      <w:pPr>
        <w:spacing w:after="0" w:line="18"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color w:val="auto"/>
        </w:rPr>
        <w:t>For Q3 2021, revenues from Anthrax vaccines decreased $58.3 million as compared to Q3 2020. The decrease is largely driven by timing of deliveries to the USG, specifically the SNS. The Company received an AV7909 contract modification in September 2021 wherein the Company expects to deliver additional doses of AV7909 over 18 months from the date of execution of the contract modification valued at approximately $399 million.</w:t>
      </w: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2 of 16</w:t>
      </w:r>
    </w:p>
    <w:p>
      <w:pPr>
        <w:sectPr>
          <w:pgSz w:w="11900" w:h="16838" w:orient="portrait"/>
          <w:cols w:equalWidth="0" w:num="1">
            <w:col w:w="11308"/>
          </w:cols>
          <w:pgMar w:left="292" w:top="1426" w:right="299" w:bottom="1440" w:gutter="0" w:footer="0" w:header="0"/>
        </w:sectPr>
      </w:pPr>
    </w:p>
    <w:bookmarkStart w:id="4" w:name="page5"/>
    <w:bookmarkEnd w:id="4"/>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i w:val="1"/>
          <w:iCs w:val="1"/>
          <w:u w:val="single" w:color="auto"/>
          <w:color w:val="auto"/>
        </w:rPr>
        <w:t>Other (4)</w:t>
      </w:r>
    </w:p>
    <w:p>
      <w:pPr>
        <w:spacing w:after="0" w:line="18" w:lineRule="exact"/>
        <w:rPr>
          <w:sz w:val="20"/>
          <w:szCs w:val="20"/>
          <w:color w:val="auto"/>
        </w:rPr>
      </w:pPr>
    </w:p>
    <w:p>
      <w:pPr>
        <w:ind w:right="420"/>
        <w:spacing w:after="0" w:line="261" w:lineRule="auto"/>
        <w:rPr>
          <w:sz w:val="20"/>
          <w:szCs w:val="20"/>
          <w:color w:val="auto"/>
        </w:rPr>
      </w:pPr>
      <w:r>
        <w:rPr>
          <w:rFonts w:ascii="Arial" w:cs="Arial" w:eastAsia="Arial" w:hAnsi="Arial"/>
          <w:sz w:val="12"/>
          <w:szCs w:val="12"/>
          <w:color w:val="auto"/>
        </w:rPr>
        <w:t>For Q3 2021, revenues from other product sales were consistent as compared to Q3 2020. During the quarter, an increase in sales of VIGIV [Vaccinia Immune Globulin Intravenous (Human)] was offset by a decline in sales of BAT® [Botulism Antitoxin Heptavalent (A, B, C, D, E, F, G) - (Equine)], largely driven by timing of deliveries to the USG, specifically the SNS.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CDMO Services</w:t>
      </w:r>
    </w:p>
    <w:p>
      <w:pPr>
        <w:spacing w:after="0" w:line="11" w:lineRule="exact"/>
        <w:rPr>
          <w:sz w:val="20"/>
          <w:szCs w:val="20"/>
          <w:color w:val="auto"/>
        </w:rPr>
      </w:pPr>
    </w:p>
    <w:p>
      <w:pPr>
        <w:ind w:right="440"/>
        <w:spacing w:after="0" w:line="235" w:lineRule="auto"/>
        <w:rPr>
          <w:sz w:val="20"/>
          <w:szCs w:val="20"/>
          <w:color w:val="auto"/>
        </w:rPr>
      </w:pPr>
      <w:r>
        <w:rPr>
          <w:rFonts w:ascii="Arial" w:cs="Arial" w:eastAsia="Arial" w:hAnsi="Arial"/>
          <w:sz w:val="12"/>
          <w:szCs w:val="12"/>
          <w:color w:val="auto"/>
        </w:rPr>
        <w:t>For Q3 2021, revenue from contract development and manufacturing services increased $59.5 million as compared to Q3 2020. This increase is largely due to arrangements with innovator manufacturers to address the COVID-19 pandemic, specifically Johnson &amp; Johnson, as well as out-of-period adjustments (see discussion b</w:t>
      </w:r>
      <w:r>
        <w:rPr>
          <w:rFonts w:ascii="Arial" w:cs="Arial" w:eastAsia="Arial" w:hAnsi="Arial"/>
          <w:sz w:val="12"/>
          <w:szCs w:val="12"/>
          <w:color w:val="2C2C2C"/>
        </w:rPr>
        <w:t>elow entitled "Out-of-Period Adjustments").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CDMO Leases</w:t>
      </w:r>
    </w:p>
    <w:p>
      <w:pPr>
        <w:spacing w:after="0" w:line="2" w:lineRule="exact"/>
        <w:rPr>
          <w:sz w:val="20"/>
          <w:szCs w:val="20"/>
          <w:color w:val="auto"/>
        </w:rPr>
      </w:pPr>
    </w:p>
    <w:p>
      <w:pPr>
        <w:spacing w:after="0" w:line="245" w:lineRule="auto"/>
        <w:rPr>
          <w:sz w:val="20"/>
          <w:szCs w:val="20"/>
          <w:color w:val="auto"/>
        </w:rPr>
      </w:pPr>
      <w:r>
        <w:rPr>
          <w:rFonts w:ascii="Arial" w:cs="Arial" w:eastAsia="Arial" w:hAnsi="Arial"/>
          <w:sz w:val="11"/>
          <w:szCs w:val="11"/>
          <w:color w:val="auto"/>
        </w:rPr>
        <w:t>During Q3 2021, the Company determined that it was necessary to classify the public-private partnership with the Bio</w:t>
      </w:r>
      <w:r>
        <w:rPr>
          <w:rFonts w:ascii="Arial" w:cs="Arial" w:eastAsia="Arial" w:hAnsi="Arial"/>
          <w:sz w:val="11"/>
          <w:szCs w:val="11"/>
          <w:color w:val="2C2C2C"/>
        </w:rPr>
        <w:t>medical Advanced Research and Development Authority (BARDA) as a lease rather than a</w:t>
      </w:r>
      <w:r>
        <w:rPr>
          <w:rFonts w:ascii="Arial" w:cs="Arial" w:eastAsia="Arial" w:hAnsi="Arial"/>
          <w:sz w:val="11"/>
          <w:szCs w:val="11"/>
          <w:color w:val="auto"/>
        </w:rPr>
        <w:t xml:space="preserve"> </w:t>
      </w:r>
      <w:r>
        <w:rPr>
          <w:rFonts w:ascii="Arial" w:cs="Arial" w:eastAsia="Arial" w:hAnsi="Arial"/>
          <w:sz w:val="11"/>
          <w:szCs w:val="11"/>
          <w:color w:val="2C2C2C"/>
        </w:rPr>
        <w:t xml:space="preserve">stand-ready arrangement. This change has been considered as part of the immaterial out-of-period adjustment (see discussion below entitled "Out-of-Period Adjustments"). As such, the Company is now separately disclosing lease revenues on the statement of operations. </w:t>
      </w:r>
      <w:r>
        <w:rPr>
          <w:rFonts w:ascii="Arial" w:cs="Arial" w:eastAsia="Arial" w:hAnsi="Arial"/>
          <w:sz w:val="11"/>
          <w:szCs w:val="11"/>
          <w:color w:val="000000"/>
        </w:rPr>
        <w:t>For Q3 2021, revenue from contract development and manufacturing leases decreased $175.0 million largely due to a reduction in lease revenues</w:t>
      </w:r>
      <w:r>
        <w:rPr>
          <w:rFonts w:ascii="Arial" w:cs="Arial" w:eastAsia="Arial" w:hAnsi="Arial"/>
          <w:sz w:val="11"/>
          <w:szCs w:val="11"/>
          <w:color w:val="2C2C2C"/>
        </w:rPr>
        <w:t xml:space="preserve"> </w:t>
      </w:r>
      <w:r>
        <w:rPr>
          <w:rFonts w:ascii="Arial" w:cs="Arial" w:eastAsia="Arial" w:hAnsi="Arial"/>
          <w:sz w:val="11"/>
          <w:szCs w:val="11"/>
          <w:color w:val="000000"/>
        </w:rPr>
        <w:t xml:space="preserve">associated with the public-private partnership with </w:t>
      </w:r>
      <w:r>
        <w:rPr>
          <w:rFonts w:ascii="Arial" w:cs="Arial" w:eastAsia="Arial" w:hAnsi="Arial"/>
          <w:sz w:val="11"/>
          <w:szCs w:val="11"/>
          <w:color w:val="2C2C2C"/>
        </w:rPr>
        <w:t>BARDA as the Company recognized revenue of</w:t>
      </w:r>
      <w:r>
        <w:rPr>
          <w:rFonts w:ascii="Arial" w:cs="Arial" w:eastAsia="Arial" w:hAnsi="Arial"/>
          <w:sz w:val="11"/>
          <w:szCs w:val="11"/>
          <w:color w:val="000000"/>
        </w:rPr>
        <w:t xml:space="preserve"> $85.9 million in Q3 2020 and recorded a reversal of revenue of $86.0 million during Q3 2021 based on the lack of cash collections under the arrangement in recent months. In November 2021, the Company and BARDA mutually terminated this arrangement ending the public-private partnership with BARDA. As a result of the termination, the Company expects to record CDMO lease revenue in the fourth quarter 2021 to reflect the remaining unrecognized contract value and associated payments of approximately $155.7 million.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C2C2C"/>
        </w:rPr>
        <w:t>Contracts and Grants</w:t>
      </w:r>
    </w:p>
    <w:p>
      <w:pPr>
        <w:spacing w:after="0" w:line="20" w:lineRule="exact"/>
        <w:rPr>
          <w:sz w:val="20"/>
          <w:szCs w:val="20"/>
          <w:color w:val="auto"/>
        </w:rPr>
      </w:pPr>
    </w:p>
    <w:p>
      <w:pPr>
        <w:ind w:right="300"/>
        <w:spacing w:after="0" w:line="261" w:lineRule="auto"/>
        <w:rPr>
          <w:sz w:val="20"/>
          <w:szCs w:val="20"/>
          <w:color w:val="auto"/>
        </w:rPr>
      </w:pPr>
      <w:r>
        <w:rPr>
          <w:rFonts w:ascii="Arial" w:cs="Arial" w:eastAsia="Arial" w:hAnsi="Arial"/>
          <w:sz w:val="12"/>
          <w:szCs w:val="12"/>
          <w:color w:val="auto"/>
        </w:rPr>
        <w:t>For Q3 2021, revenues from contracts and grants decreased $ 9.0 million as compared to Q3 2020. The decrease is primarily due to a decrease in activities associated with the COVID-HIG therapeutic product candidate. As a result of the CIADM base contract termination, the Company expects to record approximately $60.0 million of contracts and grants revenue during the fourth quarter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Operating Expenses</w:t>
            </w:r>
          </w:p>
        </w:tc>
        <w:tc>
          <w:tcPr>
            <w:tcW w:w="37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5"/>
        </w:trPr>
        <w:tc>
          <w:tcPr>
            <w:tcW w:w="486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53"/>
        </w:trPr>
        <w:tc>
          <w:tcPr>
            <w:tcW w:w="4860" w:type="dxa"/>
            <w:vAlign w:val="bottom"/>
            <w:gridSpan w:val="2"/>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Cost of product sales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$103.2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$120.2</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(14)%</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Cost of CDMO</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$114.3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$28.8</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Research and development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$49.6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$84.4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(41)%</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Selling, general and administrative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$82.1</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$75.5</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9%</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Amortization of intangible assets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$14.5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-610870</wp:posOffset>
            </wp:positionV>
            <wp:extent cx="7183755" cy="611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61150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Product Sales</w:t>
      </w:r>
    </w:p>
    <w:p>
      <w:pPr>
        <w:spacing w:after="0" w:line="2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For Q3 2021, cost of product sales decreased $17.0 million as compared to Q3 2020. The decrease in cost is primarily due to significant items in the prior year that did not recur in the current period offset by higher volume of product sales, specifically NARCAN® Nasal Spray and ACAM2000. During Q3 2020, the Company incurred charges of $30.2 million related to the Company's contingent consideration liabilities and $13.8 million related to a write-down of inventory balances related to the Company's travel health vaccines.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CDMO</w:t>
      </w:r>
    </w:p>
    <w:p>
      <w:pPr>
        <w:spacing w:after="0" w:line="11" w:lineRule="exact"/>
        <w:rPr>
          <w:sz w:val="20"/>
          <w:szCs w:val="20"/>
          <w:color w:val="auto"/>
        </w:rPr>
      </w:pPr>
    </w:p>
    <w:p>
      <w:pPr>
        <w:ind w:right="80"/>
        <w:spacing w:after="0" w:line="235" w:lineRule="auto"/>
        <w:rPr>
          <w:sz w:val="20"/>
          <w:szCs w:val="20"/>
          <w:color w:val="auto"/>
        </w:rPr>
      </w:pPr>
      <w:r>
        <w:rPr>
          <w:rFonts w:ascii="Arial" w:cs="Arial" w:eastAsia="Arial" w:hAnsi="Arial"/>
          <w:sz w:val="12"/>
          <w:szCs w:val="12"/>
          <w:color w:val="auto"/>
        </w:rPr>
        <w:t xml:space="preserve">For Q3 2021, cost of CDMO increased $85.5 million as compared to Q3 2020. The increase in cost is primarily due to increases in CDMO services and additional investments in manufacturing and quality systems and capabilities, largely from the Company's arrangements to address the COVID-19 pandemic and out-of-period adjustments (see discussion below </w:t>
      </w:r>
      <w:r>
        <w:rPr>
          <w:rFonts w:ascii="Arial" w:cs="Arial" w:eastAsia="Arial" w:hAnsi="Arial"/>
          <w:sz w:val="12"/>
          <w:szCs w:val="12"/>
          <w:color w:val="2C2C2C"/>
        </w:rPr>
        <w:t>entitled "Out-of-Period Adjustments"</w:t>
      </w:r>
      <w:r>
        <w:rPr>
          <w:rFonts w:ascii="Arial" w:cs="Arial" w:eastAsia="Arial" w:hAnsi="Arial"/>
          <w:sz w:val="12"/>
          <w:szCs w:val="12"/>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 of 16</w:t>
      </w:r>
    </w:p>
    <w:p>
      <w:pPr>
        <w:sectPr>
          <w:pgSz w:w="11900" w:h="16838" w:orient="portrait"/>
          <w:cols w:equalWidth="0" w:num="1">
            <w:col w:w="11300"/>
          </w:cols>
          <w:pgMar w:left="300" w:top="1440" w:right="299" w:bottom="1440" w:gutter="0" w:footer="0" w:header="0"/>
        </w:sectPr>
      </w:pPr>
    </w:p>
    <w:bookmarkStart w:id="5" w:name="page6"/>
    <w:bookmarkEnd w:id="5"/>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20" w:lineRule="exact"/>
        <w:rPr>
          <w:sz w:val="20"/>
          <w:szCs w:val="20"/>
          <w:color w:val="auto"/>
        </w:rPr>
      </w:pPr>
    </w:p>
    <w:p>
      <w:pPr>
        <w:ind w:right="240"/>
        <w:spacing w:after="0" w:line="261" w:lineRule="auto"/>
        <w:rPr>
          <w:sz w:val="20"/>
          <w:szCs w:val="20"/>
          <w:color w:val="auto"/>
        </w:rPr>
      </w:pPr>
      <w:r>
        <w:rPr>
          <w:rFonts w:ascii="Arial" w:cs="Arial" w:eastAsia="Arial" w:hAnsi="Arial"/>
          <w:sz w:val="12"/>
          <w:szCs w:val="12"/>
          <w:color w:val="auto"/>
        </w:rPr>
        <w:t>For Q3 2021, research and development expenses decreased $ 34.8 million as compared to Q3 2020. The decrease is primarily due to a decline in costs associated with the Company's COVID-HIG therapeutic product candidate and a non-recurring charge for an impairment of the Company's in-process research and development (IPR&amp;D) intangible asset of $29.0 million during Q3 2020.</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20" w:lineRule="exact"/>
        <w:rPr>
          <w:sz w:val="20"/>
          <w:szCs w:val="20"/>
          <w:color w:val="auto"/>
        </w:rPr>
      </w:pPr>
    </w:p>
    <w:p>
      <w:pPr>
        <w:ind w:right="420"/>
        <w:spacing w:after="0" w:line="261" w:lineRule="auto"/>
        <w:rPr>
          <w:sz w:val="20"/>
          <w:szCs w:val="20"/>
          <w:color w:val="auto"/>
        </w:rPr>
      </w:pPr>
      <w:r>
        <w:rPr>
          <w:rFonts w:ascii="Arial" w:cs="Arial" w:eastAsia="Arial" w:hAnsi="Arial"/>
          <w:sz w:val="12"/>
          <w:szCs w:val="12"/>
          <w:color w:val="auto"/>
        </w:rPr>
        <w:t>For Q3 2021, selling, general and administrative expenses increased $6.6 million due to organizational growth in headcount and professional services in support of the expansion of the Company's business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Out-of-Period Adjustments</w:t>
      </w:r>
    </w:p>
    <w:p>
      <w:pPr>
        <w:spacing w:after="0" w:line="20" w:lineRule="exact"/>
        <w:rPr>
          <w:sz w:val="20"/>
          <w:szCs w:val="20"/>
          <w:color w:val="auto"/>
        </w:rPr>
      </w:pPr>
    </w:p>
    <w:p>
      <w:pPr>
        <w:ind w:right="220"/>
        <w:spacing w:after="0" w:line="256" w:lineRule="auto"/>
        <w:rPr>
          <w:sz w:val="20"/>
          <w:szCs w:val="20"/>
          <w:color w:val="auto"/>
        </w:rPr>
      </w:pPr>
      <w:r>
        <w:rPr>
          <w:rFonts w:ascii="Arial" w:cs="Arial" w:eastAsia="Arial" w:hAnsi="Arial"/>
          <w:sz w:val="12"/>
          <w:szCs w:val="12"/>
          <w:color w:val="auto"/>
        </w:rPr>
        <w:t>During the three months ended September 30, 2021, the Company made immaterial out-of-period adjustments related to its revenue recognition policy for contract development and manufacturing (CDMO) services and classification of the BARDA public-private partnership as a lease. These adjustments resulted in out-of-period increases of $38.3 million in CDMO service revenue, $36.9 million of costs of product sales and CDMO services for the three months ended September 30, 2021 with a net impact to income before income taxes of $1.4 million.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Additional Financial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Margin and Adjusted Product Margin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8375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51435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Product margin</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$167.3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$82.0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Product margin % (product margin divided by product revenues (2))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21%</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Adjusted product margin</w:t>
            </w:r>
          </w:p>
        </w:tc>
        <w:tc>
          <w:tcPr>
            <w:tcW w:w="21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4"/>
              </w:rPr>
              <w:t>$168.2</w:t>
            </w:r>
          </w:p>
        </w:tc>
        <w:tc>
          <w:tcPr>
            <w:tcW w:w="21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4"/>
              </w:rPr>
              <w:t>$126.0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33%</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Adjusted product margin % (adjusted product margin divided by product revenues (2))</w:t>
            </w:r>
          </w:p>
        </w:tc>
        <w:tc>
          <w:tcPr>
            <w:tcW w:w="21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9"/>
              </w:rPr>
              <w:t>62%</w:t>
            </w:r>
          </w:p>
        </w:tc>
        <w:tc>
          <w:tcPr>
            <w:tcW w:w="21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0"/>
              </w:rPr>
              <w:t>62%</w:t>
            </w:r>
          </w:p>
        </w:tc>
        <w:tc>
          <w:tcPr>
            <w:tcW w:w="21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6"/>
              </w:rPr>
              <w:t>—%</w:t>
            </w:r>
          </w:p>
        </w:tc>
      </w:tr>
    </w:tbl>
    <w:p>
      <w:pPr>
        <w:spacing w:after="0" w:line="62"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For Q3 2021, product margin increased $85.3 million as compared to Q3 2020. Adjusted product margin increased $42.2 million as compared to Q3 2020. The increase in gross margin is primarily due to the $44.0 million of charges related to inventory write-offs of the travel health vaccines and the Company's contingent consideration liabilities which were not recurring in Q3 2021. Adjusted product margin percent is consistent from Q3 2021 as compared to Q3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60" w:type="dxa"/>
            <w:vAlign w:val="bottom"/>
          </w:tcPr>
          <w:p>
            <w:pPr>
              <w:spacing w:after="0"/>
              <w:rPr>
                <w:sz w:val="20"/>
                <w:szCs w:val="20"/>
                <w:color w:val="auto"/>
              </w:rPr>
            </w:pPr>
            <w:r>
              <w:rPr>
                <w:rFonts w:ascii="Arial" w:cs="Arial" w:eastAsia="Arial" w:hAnsi="Arial"/>
                <w:sz w:val="12"/>
                <w:szCs w:val="12"/>
                <w:b w:val="1"/>
                <w:bCs w:val="1"/>
                <w:i w:val="1"/>
                <w:iCs w:val="1"/>
                <w:color w:val="auto"/>
              </w:rPr>
              <w:t>CDMO Margin and Adjusted CDMO Margin (2)</w:t>
            </w: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c>
          <w:tcPr>
            <w:tcW w:w="0" w:type="dxa"/>
            <w:vAlign w:val="bottom"/>
          </w:tcPr>
          <w:p>
            <w:pPr>
              <w:spacing w:after="0"/>
              <w:rPr>
                <w:sz w:val="1"/>
                <w:szCs w:val="1"/>
                <w:color w:val="auto"/>
              </w:rPr>
            </w:pP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margin</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$24.3</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c>
          <w:tcPr>
            <w:tcW w:w="0" w:type="dxa"/>
            <w:vAlign w:val="bottom"/>
          </w:tcPr>
          <w:p>
            <w:pPr>
              <w:spacing w:after="0"/>
              <w:rPr>
                <w:sz w:val="1"/>
                <w:szCs w:val="1"/>
                <w:color w:val="auto"/>
              </w:rPr>
            </w:pP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margin % (CDMO margin divided by CDMO service revenues (2))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4"/>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46%</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(48)%</w:t>
            </w:r>
          </w:p>
        </w:tc>
        <w:tc>
          <w:tcPr>
            <w:tcW w:w="0" w:type="dxa"/>
            <w:vAlign w:val="bottom"/>
          </w:tcPr>
          <w:p>
            <w:pPr>
              <w:spacing w:after="0"/>
              <w:rPr>
                <w:sz w:val="1"/>
                <w:szCs w:val="1"/>
                <w:color w:val="auto"/>
              </w:rPr>
            </w:pP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Adjusted CDMO margin</w:t>
            </w:r>
          </w:p>
        </w:tc>
        <w:tc>
          <w:tcPr>
            <w:tcW w:w="214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$13.3</w:t>
            </w:r>
          </w:p>
        </w:tc>
        <w:tc>
          <w:tcPr>
            <w:tcW w:w="214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$42.4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(69)%</w:t>
            </w:r>
          </w:p>
        </w:tc>
        <w:tc>
          <w:tcPr>
            <w:tcW w:w="0" w:type="dxa"/>
            <w:vAlign w:val="bottom"/>
          </w:tcPr>
          <w:p>
            <w:pPr>
              <w:spacing w:after="0"/>
              <w:rPr>
                <w:sz w:val="1"/>
                <w:szCs w:val="1"/>
                <w:color w:val="auto"/>
              </w:rPr>
            </w:pPr>
          </w:p>
        </w:tc>
      </w:tr>
      <w:tr>
        <w:trPr>
          <w:trHeight w:val="134"/>
        </w:trPr>
        <w:tc>
          <w:tcPr>
            <w:tcW w:w="4860" w:type="dxa"/>
            <w:vAlign w:val="bottom"/>
            <w:shd w:val="clear" w:color="auto" w:fill="CCCCCC"/>
          </w:tcPr>
          <w:p>
            <w:pPr>
              <w:ind w:left="20"/>
              <w:spacing w:after="0" w:line="134" w:lineRule="exact"/>
              <w:rPr>
                <w:sz w:val="20"/>
                <w:szCs w:val="20"/>
                <w:color w:val="auto"/>
              </w:rPr>
            </w:pPr>
            <w:r>
              <w:rPr>
                <w:rFonts w:ascii="Arial" w:cs="Arial" w:eastAsia="Arial" w:hAnsi="Arial"/>
                <w:sz w:val="12"/>
                <w:szCs w:val="12"/>
                <w:color w:val="auto"/>
              </w:rPr>
              <w:t>Adjusted CDMO margin % (adjusted CDMO margin divided by adjusted CDMO revenues</w:t>
            </w:r>
          </w:p>
        </w:tc>
        <w:tc>
          <w:tcPr>
            <w:tcW w:w="214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9"/>
              </w:rPr>
              <w:t>10%</w:t>
            </w:r>
          </w:p>
        </w:tc>
        <w:tc>
          <w:tcPr>
            <w:tcW w:w="214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0"/>
              </w:rPr>
              <w:t>60%</w:t>
            </w:r>
          </w:p>
        </w:tc>
        <w:tc>
          <w:tcPr>
            <w:tcW w:w="2160" w:type="dxa"/>
            <w:vAlign w:val="bottom"/>
            <w:vMerge w:val="restart"/>
            <w:shd w:val="clear" w:color="auto" w:fill="CCCCCC"/>
          </w:tcPr>
          <w:p>
            <w:pPr>
              <w:jc w:val="center"/>
              <w:spacing w:after="0"/>
              <w:rPr>
                <w:sz w:val="20"/>
                <w:szCs w:val="20"/>
                <w:color w:val="auto"/>
              </w:rPr>
            </w:pPr>
            <w:r>
              <w:rPr>
                <w:rFonts w:ascii="Arial" w:cs="Arial" w:eastAsia="Arial" w:hAnsi="Arial"/>
                <w:sz w:val="12"/>
                <w:szCs w:val="12"/>
                <w:color w:val="auto"/>
                <w:w w:val="99"/>
              </w:rPr>
              <w:t>(50)%</w:t>
            </w:r>
          </w:p>
        </w:tc>
        <w:tc>
          <w:tcPr>
            <w:tcW w:w="0" w:type="dxa"/>
            <w:vAlign w:val="bottom"/>
          </w:tcPr>
          <w:p>
            <w:pPr>
              <w:spacing w:after="0"/>
              <w:rPr>
                <w:sz w:val="1"/>
                <w:szCs w:val="1"/>
                <w:color w:val="auto"/>
              </w:rPr>
            </w:pPr>
          </w:p>
        </w:tc>
      </w:tr>
      <w:tr>
        <w:trPr>
          <w:trHeight w:val="82"/>
        </w:trPr>
        <w:tc>
          <w:tcPr>
            <w:tcW w:w="4860" w:type="dxa"/>
            <w:vAlign w:val="bottom"/>
            <w:vMerge w:val="restart"/>
            <w:shd w:val="clear" w:color="auto" w:fill="CCCCCC"/>
          </w:tcPr>
          <w:p>
            <w:pPr>
              <w:ind w:left="20"/>
              <w:spacing w:after="0"/>
              <w:rPr>
                <w:sz w:val="20"/>
                <w:szCs w:val="20"/>
                <w:color w:val="auto"/>
              </w:rPr>
            </w:pPr>
            <w:r>
              <w:rPr>
                <w:rFonts w:ascii="Arial" w:cs="Arial" w:eastAsia="Arial" w:hAnsi="Arial"/>
                <w:sz w:val="12"/>
                <w:szCs w:val="12"/>
                <w:color w:val="auto"/>
              </w:rPr>
              <w:t>(2))</w:t>
            </w:r>
          </w:p>
        </w:tc>
        <w:tc>
          <w:tcPr>
            <w:tcW w:w="2140" w:type="dxa"/>
            <w:vAlign w:val="bottom"/>
            <w:vMerge w:val="continue"/>
            <w:shd w:val="clear" w:color="auto" w:fill="CCCCCC"/>
          </w:tcPr>
          <w:p>
            <w:pPr>
              <w:spacing w:after="0"/>
              <w:rPr>
                <w:sz w:val="7"/>
                <w:szCs w:val="7"/>
                <w:color w:val="auto"/>
              </w:rPr>
            </w:pPr>
          </w:p>
        </w:tc>
        <w:tc>
          <w:tcPr>
            <w:tcW w:w="2140" w:type="dxa"/>
            <w:vAlign w:val="bottom"/>
            <w:vMerge w:val="continue"/>
            <w:shd w:val="clear" w:color="auto" w:fill="CCCCCC"/>
          </w:tcPr>
          <w:p>
            <w:pPr>
              <w:spacing w:after="0"/>
              <w:rPr>
                <w:sz w:val="7"/>
                <w:szCs w:val="7"/>
                <w:color w:val="auto"/>
              </w:rPr>
            </w:pPr>
          </w:p>
        </w:tc>
        <w:tc>
          <w:tcPr>
            <w:tcW w:w="216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860" w:type="dxa"/>
            <w:vAlign w:val="bottom"/>
            <w:vMerge w:val="continue"/>
            <w:shd w:val="clear" w:color="auto" w:fill="CCCCCC"/>
          </w:tcPr>
          <w:p>
            <w:pPr>
              <w:spacing w:after="0"/>
              <w:rPr>
                <w:sz w:val="5"/>
                <w:szCs w:val="5"/>
                <w:color w:val="auto"/>
              </w:rPr>
            </w:pPr>
          </w:p>
        </w:tc>
        <w:tc>
          <w:tcPr>
            <w:tcW w:w="2140" w:type="dxa"/>
            <w:vAlign w:val="bottom"/>
            <w:shd w:val="clear" w:color="auto" w:fill="CCCCCC"/>
          </w:tcPr>
          <w:p>
            <w:pPr>
              <w:spacing w:after="0"/>
              <w:rPr>
                <w:sz w:val="5"/>
                <w:szCs w:val="5"/>
                <w:color w:val="auto"/>
              </w:rPr>
            </w:pPr>
          </w:p>
        </w:tc>
        <w:tc>
          <w:tcPr>
            <w:tcW w:w="2140" w:type="dxa"/>
            <w:vAlign w:val="bottom"/>
            <w:shd w:val="clear" w:color="auto" w:fill="CCCCCC"/>
          </w:tcPr>
          <w:p>
            <w:pPr>
              <w:spacing w:after="0"/>
              <w:rPr>
                <w:sz w:val="5"/>
                <w:szCs w:val="5"/>
                <w:color w:val="auto"/>
              </w:rPr>
            </w:pPr>
          </w:p>
        </w:tc>
        <w:tc>
          <w:tcPr>
            <w:tcW w:w="2160" w:type="dxa"/>
            <w:vAlign w:val="bottom"/>
            <w:shd w:val="clear" w:color="auto" w:fill="CCCCCC"/>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-582295</wp:posOffset>
            </wp:positionV>
            <wp:extent cx="7183755" cy="588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755" cy="588645"/>
                    </a:xfrm>
                    <a:prstGeom prst="rect">
                      <a:avLst/>
                    </a:prstGeom>
                    <a:noFill/>
                  </pic:spPr>
                </pic:pic>
              </a:graphicData>
            </a:graphic>
          </wp:anchor>
        </w:drawing>
      </w:r>
    </w:p>
    <w:p>
      <w:pPr>
        <w:spacing w:after="0" w:line="33"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 xml:space="preserve">For Q3 2021, CDMO margin decreased $26.0 million as compared to Q3 2020. Adjusted CDMO margin decreased $29.1 million as compared to Q3 2020. The decline in CDMO margin and adjusted CDMO margin is primarily due to an increase in CDMO service activities, increase in costs due to out-of-period adjustments (see discussion </w:t>
      </w:r>
      <w:r>
        <w:rPr>
          <w:rFonts w:ascii="Arial" w:cs="Arial" w:eastAsia="Arial" w:hAnsi="Arial"/>
          <w:sz w:val="12"/>
          <w:szCs w:val="12"/>
          <w:color w:val="2C2C2C"/>
        </w:rPr>
        <w:t>entitled "Out-of-Period Adjustments"</w:t>
      </w:r>
      <w:r>
        <w:rPr>
          <w:rFonts w:ascii="Arial" w:cs="Arial" w:eastAsia="Arial" w:hAnsi="Arial"/>
          <w:sz w:val="12"/>
          <w:szCs w:val="12"/>
          <w:color w:val="auto"/>
        </w:rPr>
        <w:t>) and additional costs to support remediation efforts for our COVID-19 manufacturing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 of 16</w:t>
      </w:r>
    </w:p>
    <w:p>
      <w:pPr>
        <w:sectPr>
          <w:pgSz w:w="11900" w:h="16838" w:orient="portrait"/>
          <w:cols w:equalWidth="0" w:num="1">
            <w:col w:w="11300"/>
          </w:cols>
          <w:pgMar w:left="300" w:top="1440"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8"/>
        </w:trPr>
        <w:tc>
          <w:tcPr>
            <w:tcW w:w="9140" w:type="dxa"/>
            <w:vAlign w:val="bottom"/>
          </w:tcPr>
          <w:p>
            <w:pPr>
              <w:spacing w:after="0"/>
              <w:rPr>
                <w:sz w:val="20"/>
                <w:szCs w:val="20"/>
                <w:color w:val="auto"/>
              </w:rPr>
            </w:pPr>
            <w:r>
              <w:rPr>
                <w:rFonts w:ascii="Arial" w:cs="Arial" w:eastAsia="Arial" w:hAnsi="Arial"/>
                <w:sz w:val="12"/>
                <w:szCs w:val="12"/>
                <w:b w:val="1"/>
                <w:bCs w:val="1"/>
                <w:i w:val="1"/>
                <w:iCs w:val="1"/>
                <w:color w:val="auto"/>
              </w:rPr>
              <w:t>CDMO Metrics</w:t>
            </w:r>
          </w:p>
        </w:tc>
        <w:tc>
          <w:tcPr>
            <w:tcW w:w="2160" w:type="dxa"/>
            <w:vAlign w:val="bottom"/>
          </w:tcPr>
          <w:p>
            <w:pPr>
              <w:spacing w:after="0"/>
              <w:rPr>
                <w:sz w:val="14"/>
                <w:szCs w:val="14"/>
                <w:color w:val="auto"/>
              </w:rPr>
            </w:pPr>
          </w:p>
        </w:tc>
      </w:tr>
      <w:tr>
        <w:trPr>
          <w:trHeight w:val="162"/>
        </w:trPr>
        <w:tc>
          <w:tcPr>
            <w:tcW w:w="914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CDMO Backlog Rollforward</w:t>
            </w:r>
          </w:p>
        </w:tc>
        <w:tc>
          <w:tcPr>
            <w:tcW w:w="2160" w:type="dxa"/>
            <w:vAlign w:val="bottom"/>
            <w:shd w:val="clear" w:color="auto" w:fill="0F243E"/>
          </w:tcPr>
          <w:p>
            <w:pPr>
              <w:ind w:left="700"/>
              <w:spacing w:after="0"/>
              <w:rPr>
                <w:sz w:val="20"/>
                <w:szCs w:val="20"/>
                <w:color w:val="auto"/>
              </w:rPr>
            </w:pPr>
            <w:r>
              <w:rPr>
                <w:rFonts w:ascii="Arial" w:cs="Arial" w:eastAsia="Arial" w:hAnsi="Arial"/>
                <w:sz w:val="12"/>
                <w:szCs w:val="12"/>
                <w:b w:val="1"/>
                <w:bCs w:val="1"/>
                <w:color w:val="FFFFFF"/>
              </w:rPr>
              <w:t>($ in millions)</w:t>
            </w:r>
          </w:p>
        </w:tc>
      </w:tr>
      <w:tr>
        <w:trPr>
          <w:trHeight w:val="162"/>
        </w:trPr>
        <w:tc>
          <w:tcPr>
            <w:tcW w:w="9140" w:type="dxa"/>
            <w:vAlign w:val="bottom"/>
            <w:shd w:val="clear" w:color="auto" w:fill="CCCCCC"/>
          </w:tcPr>
          <w:p>
            <w:pPr>
              <w:ind w:left="20"/>
              <w:spacing w:after="0"/>
              <w:rPr>
                <w:sz w:val="20"/>
                <w:szCs w:val="20"/>
                <w:color w:val="auto"/>
              </w:rPr>
            </w:pPr>
            <w:r>
              <w:rPr>
                <w:rFonts w:ascii="Arial" w:cs="Arial" w:eastAsia="Arial" w:hAnsi="Arial"/>
                <w:sz w:val="12"/>
                <w:szCs w:val="12"/>
                <w:color w:val="auto"/>
              </w:rPr>
              <w:t>Beginning backlog (6/30/2021) (5)</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$1,097.0</w:t>
            </w:r>
          </w:p>
        </w:tc>
      </w:tr>
      <w:tr>
        <w:trPr>
          <w:trHeight w:val="162"/>
        </w:trPr>
        <w:tc>
          <w:tcPr>
            <w:tcW w:w="9140" w:type="dxa"/>
            <w:vAlign w:val="bottom"/>
            <w:shd w:val="clear" w:color="auto" w:fill="CCCCCC"/>
          </w:tcPr>
          <w:p>
            <w:pPr>
              <w:spacing w:after="0"/>
              <w:rPr>
                <w:sz w:val="20"/>
                <w:szCs w:val="20"/>
                <w:color w:val="auto"/>
              </w:rPr>
            </w:pPr>
            <w:r>
              <w:rPr>
                <w:rFonts w:ascii="Arial" w:cs="Arial" w:eastAsia="Arial" w:hAnsi="Arial"/>
                <w:sz w:val="12"/>
                <w:szCs w:val="12"/>
                <w:color w:val="auto"/>
              </w:rPr>
              <w:t>Contract development and manufacturing (revenue recognized in Q3 2021):</w:t>
            </w:r>
          </w:p>
        </w:tc>
        <w:tc>
          <w:tcPr>
            <w:tcW w:w="2160" w:type="dxa"/>
            <w:vAlign w:val="bottom"/>
            <w:shd w:val="clear" w:color="auto" w:fill="CCCCCC"/>
          </w:tcPr>
          <w:p>
            <w:pPr>
              <w:spacing w:after="0"/>
              <w:rPr>
                <w:sz w:val="14"/>
                <w:szCs w:val="14"/>
                <w:color w:val="auto"/>
              </w:rPr>
            </w:pPr>
          </w:p>
        </w:tc>
      </w:tr>
      <w:tr>
        <w:trPr>
          <w:trHeight w:val="162"/>
        </w:trPr>
        <w:tc>
          <w:tcPr>
            <w:tcW w:w="9140" w:type="dxa"/>
            <w:vAlign w:val="bottom"/>
            <w:shd w:val="clear" w:color="auto" w:fill="CCCCCC"/>
          </w:tcPr>
          <w:p>
            <w:pPr>
              <w:ind w:left="120"/>
              <w:spacing w:after="0"/>
              <w:rPr>
                <w:sz w:val="20"/>
                <w:szCs w:val="20"/>
                <w:color w:val="auto"/>
              </w:rPr>
            </w:pPr>
            <w:r>
              <w:rPr>
                <w:rFonts w:ascii="Arial" w:cs="Arial" w:eastAsia="Arial" w:hAnsi="Arial"/>
                <w:sz w:val="12"/>
                <w:szCs w:val="12"/>
                <w:color w:val="auto"/>
              </w:rPr>
              <w:t>CDMO services</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($112.6)</w:t>
            </w:r>
          </w:p>
        </w:tc>
      </w:tr>
      <w:tr>
        <w:trPr>
          <w:trHeight w:val="162"/>
        </w:trPr>
        <w:tc>
          <w:tcPr>
            <w:tcW w:w="914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2"/>
                <w:szCs w:val="12"/>
                <w:color w:val="auto"/>
              </w:rPr>
              <w:t>CDMO leases</w:t>
            </w:r>
          </w:p>
        </w:tc>
        <w:tc>
          <w:tcPr>
            <w:tcW w:w="21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$71.0</w:t>
            </w:r>
          </w:p>
        </w:tc>
      </w:tr>
      <w:tr>
        <w:trPr>
          <w:trHeight w:val="142"/>
        </w:trPr>
        <w:tc>
          <w:tcPr>
            <w:tcW w:w="914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revenues recognized in Q3 2021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($41.6)</w:t>
            </w:r>
          </w:p>
        </w:tc>
      </w:tr>
      <w:tr>
        <w:trPr>
          <w:trHeight w:val="162"/>
        </w:trPr>
        <w:tc>
          <w:tcPr>
            <w:tcW w:w="914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New Business - Initial value of contracts secured (6)</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$117.7</w:t>
            </w:r>
          </w:p>
        </w:tc>
      </w:tr>
      <w:tr>
        <w:trPr>
          <w:trHeight w:val="162"/>
        </w:trPr>
        <w:tc>
          <w:tcPr>
            <w:tcW w:w="9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2"/>
                <w:szCs w:val="12"/>
                <w:color w:val="auto"/>
              </w:rPr>
              <w:t>Impact of CIADM termination and other modifications</w:t>
            </w:r>
          </w:p>
        </w:tc>
        <w:tc>
          <w:tcPr>
            <w:tcW w:w="21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8"/>
              </w:rPr>
              <w:t>($171.1)</w:t>
            </w:r>
          </w:p>
        </w:tc>
      </w:tr>
      <w:tr>
        <w:trPr>
          <w:trHeight w:val="142"/>
        </w:trPr>
        <w:tc>
          <w:tcPr>
            <w:tcW w:w="9140" w:type="dxa"/>
            <w:vAlign w:val="bottom"/>
            <w:shd w:val="clear" w:color="auto" w:fill="CCCCCC"/>
          </w:tcPr>
          <w:p>
            <w:pPr>
              <w:ind w:left="20"/>
              <w:spacing w:after="0"/>
              <w:rPr>
                <w:sz w:val="20"/>
                <w:szCs w:val="20"/>
                <w:color w:val="auto"/>
              </w:rPr>
            </w:pPr>
            <w:r>
              <w:rPr>
                <w:rFonts w:ascii="Arial" w:cs="Arial" w:eastAsia="Arial" w:hAnsi="Arial"/>
                <w:sz w:val="12"/>
                <w:szCs w:val="12"/>
                <w:color w:val="auto"/>
              </w:rPr>
              <w:t>Ending backlog (9/30/2021) (5)</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$1,002.0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-919480</wp:posOffset>
            </wp:positionV>
            <wp:extent cx="7183755" cy="128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755" cy="128587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ind w:left="680"/>
              <w:spacing w:after="0"/>
              <w:rPr>
                <w:sz w:val="20"/>
                <w:szCs w:val="20"/>
                <w:color w:val="auto"/>
              </w:rPr>
            </w:pPr>
            <w:r>
              <w:rPr>
                <w:rFonts w:ascii="Arial" w:cs="Arial" w:eastAsia="Arial" w:hAnsi="Arial"/>
                <w:sz w:val="12"/>
                <w:szCs w:val="12"/>
                <w:b w:val="1"/>
                <w:bCs w:val="1"/>
                <w:color w:val="FFFFFF"/>
              </w:rPr>
              <w:t>As of Q3 2021</w:t>
            </w:r>
          </w:p>
        </w:tc>
        <w:tc>
          <w:tcPr>
            <w:tcW w:w="2140" w:type="dxa"/>
            <w:vAlign w:val="bottom"/>
            <w:shd w:val="clear" w:color="auto" w:fill="0F243E"/>
          </w:tcPr>
          <w:p>
            <w:pPr>
              <w:ind w:left="680"/>
              <w:spacing w:after="0"/>
              <w:rPr>
                <w:sz w:val="20"/>
                <w:szCs w:val="20"/>
                <w:color w:val="auto"/>
              </w:rPr>
            </w:pPr>
            <w:r>
              <w:rPr>
                <w:rFonts w:ascii="Arial" w:cs="Arial" w:eastAsia="Arial" w:hAnsi="Arial"/>
                <w:sz w:val="12"/>
                <w:szCs w:val="12"/>
                <w:b w:val="1"/>
                <w:bCs w:val="1"/>
                <w:color w:val="FFFFFF"/>
              </w:rPr>
              <w:t>As of Q2 2021</w:t>
            </w:r>
          </w:p>
        </w:tc>
        <w:tc>
          <w:tcPr>
            <w:tcW w:w="20" w:type="dxa"/>
            <w:vAlign w:val="bottom"/>
            <w:shd w:val="clear" w:color="auto" w:fill="0F243E"/>
          </w:tcPr>
          <w:p>
            <w:pPr>
              <w:spacing w:after="0"/>
              <w:rPr>
                <w:sz w:val="13"/>
                <w:szCs w:val="13"/>
                <w:color w:val="auto"/>
              </w:rPr>
            </w:pPr>
          </w:p>
        </w:tc>
        <w:tc>
          <w:tcPr>
            <w:tcW w:w="2140" w:type="dxa"/>
            <w:vAlign w:val="bottom"/>
            <w:shd w:val="clear" w:color="auto" w:fill="0F243E"/>
          </w:tcPr>
          <w:p>
            <w:pPr>
              <w:ind w:left="78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backlog (5)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$1,002.0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$1,097.0</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rPr>
              <w:t>(9)%</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opportunity funnel (7)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$283.7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$672.0</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(58)%</w:t>
            </w:r>
          </w:p>
        </w:tc>
      </w:tr>
      <w:tr>
        <w:trPr>
          <w:trHeight w:val="378"/>
        </w:trPr>
        <w:tc>
          <w:tcPr>
            <w:tcW w:w="4860" w:type="dxa"/>
            <w:vAlign w:val="bottom"/>
          </w:tcPr>
          <w:p>
            <w:pPr>
              <w:spacing w:after="0"/>
              <w:rPr>
                <w:sz w:val="20"/>
                <w:szCs w:val="20"/>
                <w:color w:val="auto"/>
              </w:rPr>
            </w:pPr>
            <w:r>
              <w:rPr>
                <w:rFonts w:ascii="Arial" w:cs="Arial" w:eastAsia="Arial" w:hAnsi="Arial"/>
                <w:sz w:val="12"/>
                <w:szCs w:val="12"/>
                <w:b w:val="1"/>
                <w:bCs w:val="1"/>
                <w:i w:val="1"/>
                <w:iCs w:val="1"/>
                <w:color w:val="auto"/>
              </w:rPr>
              <w:t>Capital Expenditures</w:t>
            </w: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2"/>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Q3 2020</w:t>
            </w:r>
          </w:p>
        </w:tc>
        <w:tc>
          <w:tcPr>
            <w:tcW w:w="20" w:type="dxa"/>
            <w:vAlign w:val="bottom"/>
            <w:shd w:val="clear" w:color="auto" w:fill="0F243E"/>
          </w:tcPr>
          <w:p>
            <w:pPr>
              <w:spacing w:after="0"/>
              <w:rPr>
                <w:sz w:val="14"/>
                <w:szCs w:val="14"/>
                <w:color w:val="auto"/>
              </w:rPr>
            </w:pPr>
          </w:p>
        </w:tc>
        <w:tc>
          <w:tcPr>
            <w:tcW w:w="2140" w:type="dxa"/>
            <w:vAlign w:val="bottom"/>
            <w:shd w:val="clear" w:color="auto" w:fill="0F243E"/>
          </w:tcPr>
          <w:p>
            <w:pPr>
              <w:ind w:left="78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capital expenditures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$55.2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$45.7</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21%</w:t>
            </w:r>
          </w:p>
        </w:tc>
      </w:tr>
      <w:tr>
        <w:trPr>
          <w:trHeight w:val="162"/>
        </w:trPr>
        <w:tc>
          <w:tcPr>
            <w:tcW w:w="4860" w:type="dxa"/>
            <w:vAlign w:val="bottom"/>
            <w:tcBorders>
              <w:bottom w:val="single" w:sz="8" w:color="CCCCCC"/>
            </w:tcBorders>
            <w:shd w:val="clear" w:color="auto" w:fill="CCCCCC"/>
          </w:tcPr>
          <w:p>
            <w:pPr>
              <w:ind w:left="200"/>
              <w:spacing w:after="0"/>
              <w:rPr>
                <w:sz w:val="20"/>
                <w:szCs w:val="20"/>
                <w:color w:val="auto"/>
              </w:rPr>
            </w:pPr>
            <w:r>
              <w:rPr>
                <w:rFonts w:ascii="Arial" w:cs="Arial" w:eastAsia="Arial" w:hAnsi="Arial"/>
                <w:sz w:val="12"/>
                <w:szCs w:val="12"/>
                <w:color w:val="auto"/>
              </w:rPr>
              <w:t>- Capital expenditures reimbursed</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rPr>
              <w:t>$5.7</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$25.1</w:t>
            </w:r>
          </w:p>
        </w:tc>
        <w:tc>
          <w:tcPr>
            <w:tcW w:w="20" w:type="dxa"/>
            <w:vAlign w:val="bottom"/>
            <w:tcBorders>
              <w:bottom w:val="single" w:sz="8" w:color="auto"/>
            </w:tcBorders>
            <w:shd w:val="clear" w:color="auto" w:fill="CCCCCC"/>
          </w:tcPr>
          <w:p>
            <w:pPr>
              <w:spacing w:after="0"/>
              <w:rPr>
                <w:sz w:val="14"/>
                <w:szCs w:val="14"/>
                <w:color w:val="auto"/>
              </w:rPr>
            </w:pP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2"/>
                <w:szCs w:val="12"/>
                <w:color w:val="auto"/>
                <w:w w:val="99"/>
              </w:rPr>
              <w:t>(77)%</w:t>
            </w:r>
          </w:p>
        </w:tc>
      </w:tr>
      <w:tr>
        <w:trPr>
          <w:trHeight w:val="14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capital expenditures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$49.5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$20.6</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capital expenditures as a % of 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12%</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rPr>
              <w:t>5%</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capital expenditures as a % of 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1"/>
              </w:rPr>
              <w:t>5%</w:t>
            </w:r>
          </w:p>
        </w:tc>
        <w:tc>
          <w:tcPr>
            <w:tcW w:w="2160" w:type="dxa"/>
            <w:vAlign w:val="bottom"/>
            <w:gridSpan w:val="2"/>
            <w:shd w:val="clear" w:color="auto" w:fill="CCCCCC"/>
          </w:tcPr>
          <w:p>
            <w:pPr>
              <w:jc w:val="center"/>
              <w:spacing w:after="0"/>
              <w:rPr>
                <w:sz w:val="20"/>
                <w:szCs w:val="20"/>
                <w:color w:val="auto"/>
              </w:rPr>
            </w:pPr>
            <w:r>
              <w:rPr>
                <w:rFonts w:ascii="Arial" w:cs="Arial" w:eastAsia="Arial" w:hAnsi="Arial"/>
                <w:sz w:val="12"/>
                <w:szCs w:val="12"/>
                <w:color w:val="auto"/>
                <w:w w:val="99"/>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-610870</wp:posOffset>
            </wp:positionV>
            <wp:extent cx="7183755" cy="611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611505"/>
                    </a:xfrm>
                    <a:prstGeom prst="rect">
                      <a:avLst/>
                    </a:prstGeom>
                    <a:noFill/>
                  </pic:spPr>
                </pic:pic>
              </a:graphicData>
            </a:graphic>
          </wp:anchor>
        </w:drawing>
      </w:r>
    </w:p>
    <w:p>
      <w:pPr>
        <w:spacing w:after="0" w:line="204" w:lineRule="exact"/>
        <w:rPr>
          <w:sz w:val="20"/>
          <w:szCs w:val="20"/>
          <w:color w:val="auto"/>
        </w:rPr>
      </w:pPr>
    </w:p>
    <w:p>
      <w:pPr>
        <w:ind w:right="340"/>
        <w:spacing w:after="0" w:line="261" w:lineRule="auto"/>
        <w:rPr>
          <w:sz w:val="20"/>
          <w:szCs w:val="20"/>
          <w:color w:val="auto"/>
        </w:rPr>
      </w:pPr>
      <w:r>
        <w:rPr>
          <w:rFonts w:ascii="Arial" w:cs="Arial" w:eastAsia="Arial" w:hAnsi="Arial"/>
          <w:sz w:val="12"/>
          <w:szCs w:val="12"/>
          <w:color w:val="auto"/>
        </w:rPr>
        <w:t>For Q3 2021, capital expenditures increased largely due to the Company's continued investments associated with increased capacity and capabilities at the Company's Rockville facility. The increase in gross capital expenditures was offset by reimbursements of $5.7 million related to arrangements funded by the USG.</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2021 FINANCIAL FORECAST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For full year 2021, the Company's updated forecast includes the following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83755" cy="994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99441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80" w:type="dxa"/>
            <w:vAlign w:val="bottom"/>
            <w:gridSpan w:val="2"/>
            <w:vMerge w:val="restart"/>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000" w:type="dxa"/>
            <w:vAlign w:val="bottom"/>
            <w:shd w:val="clear" w:color="auto" w:fill="0F243E"/>
          </w:tcPr>
          <w:p>
            <w:pPr>
              <w:spacing w:after="0"/>
              <w:rPr>
                <w:sz w:val="12"/>
                <w:szCs w:val="12"/>
                <w:color w:val="auto"/>
              </w:rPr>
            </w:pPr>
          </w:p>
        </w:tc>
        <w:tc>
          <w:tcPr>
            <w:tcW w:w="2840" w:type="dxa"/>
            <w:vAlign w:val="bottom"/>
            <w:gridSpan w:val="2"/>
            <w:vMerge w:val="restart"/>
            <w:shd w:val="clear" w:color="auto" w:fill="0F243E"/>
          </w:tcPr>
          <w:p>
            <w:pPr>
              <w:ind w:left="760"/>
              <w:spacing w:after="0"/>
              <w:rPr>
                <w:sz w:val="20"/>
                <w:szCs w:val="20"/>
                <w:color w:val="auto"/>
              </w:rPr>
            </w:pPr>
            <w:r>
              <w:rPr>
                <w:rFonts w:ascii="Arial" w:cs="Arial" w:eastAsia="Arial" w:hAnsi="Arial"/>
                <w:sz w:val="12"/>
                <w:szCs w:val="12"/>
                <w:b w:val="1"/>
                <w:bCs w:val="1"/>
                <w:color w:val="FFFFFF"/>
              </w:rPr>
              <w:t>Updated 2021 Forecast</w:t>
            </w:r>
          </w:p>
        </w:tc>
        <w:tc>
          <w:tcPr>
            <w:tcW w:w="2880" w:type="dxa"/>
            <w:vAlign w:val="bottom"/>
            <w:gridSpan w:val="2"/>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Previous 2021 Forecast</w:t>
            </w:r>
          </w:p>
        </w:tc>
        <w:tc>
          <w:tcPr>
            <w:tcW w:w="0" w:type="dxa"/>
            <w:vAlign w:val="bottom"/>
          </w:tcPr>
          <w:p>
            <w:pPr>
              <w:spacing w:after="0"/>
              <w:rPr>
                <w:sz w:val="1"/>
                <w:szCs w:val="1"/>
                <w:color w:val="auto"/>
              </w:rPr>
            </w:pPr>
          </w:p>
        </w:tc>
      </w:tr>
      <w:tr>
        <w:trPr>
          <w:trHeight w:val="90"/>
        </w:trPr>
        <w:tc>
          <w:tcPr>
            <w:tcW w:w="3580" w:type="dxa"/>
            <w:vAlign w:val="bottom"/>
            <w:gridSpan w:val="2"/>
            <w:vMerge w:val="continue"/>
            <w:shd w:val="clear" w:color="auto" w:fill="0F243E"/>
          </w:tcPr>
          <w:p>
            <w:pPr>
              <w:spacing w:after="0"/>
              <w:rPr>
                <w:sz w:val="7"/>
                <w:szCs w:val="7"/>
                <w:color w:val="auto"/>
              </w:rPr>
            </w:pPr>
          </w:p>
        </w:tc>
        <w:tc>
          <w:tcPr>
            <w:tcW w:w="2000" w:type="dxa"/>
            <w:vAlign w:val="bottom"/>
            <w:shd w:val="clear" w:color="auto" w:fill="0F243E"/>
          </w:tcPr>
          <w:p>
            <w:pPr>
              <w:spacing w:after="0"/>
              <w:rPr>
                <w:sz w:val="7"/>
                <w:szCs w:val="7"/>
                <w:color w:val="auto"/>
              </w:rPr>
            </w:pPr>
          </w:p>
        </w:tc>
        <w:tc>
          <w:tcPr>
            <w:tcW w:w="2840" w:type="dxa"/>
            <w:vAlign w:val="bottom"/>
            <w:gridSpan w:val="2"/>
            <w:vMerge w:val="continue"/>
            <w:shd w:val="clear" w:color="auto" w:fill="0F243E"/>
          </w:tcPr>
          <w:p>
            <w:pPr>
              <w:spacing w:after="0"/>
              <w:rPr>
                <w:sz w:val="7"/>
                <w:szCs w:val="7"/>
                <w:color w:val="auto"/>
              </w:rPr>
            </w:pPr>
          </w:p>
        </w:tc>
        <w:tc>
          <w:tcPr>
            <w:tcW w:w="2880" w:type="dxa"/>
            <w:vAlign w:val="bottom"/>
            <w:gridSpan w:val="2"/>
            <w:vMerge w:val="restart"/>
            <w:shd w:val="clear" w:color="auto" w:fill="0F243E"/>
          </w:tcPr>
          <w:p>
            <w:pPr>
              <w:jc w:val="center"/>
              <w:spacing w:after="0"/>
              <w:rPr>
                <w:sz w:val="20"/>
                <w:szCs w:val="20"/>
                <w:color w:val="auto"/>
              </w:rPr>
            </w:pPr>
            <w:r>
              <w:rPr>
                <w:rFonts w:ascii="Arial" w:cs="Arial" w:eastAsia="Arial" w:hAnsi="Arial"/>
                <w:sz w:val="12"/>
                <w:szCs w:val="12"/>
                <w:b w:val="1"/>
                <w:bCs w:val="1"/>
                <w:color w:val="FFFFFF"/>
              </w:rPr>
              <w:t>(As of July 29, 2021)</w:t>
            </w:r>
          </w:p>
        </w:tc>
        <w:tc>
          <w:tcPr>
            <w:tcW w:w="0" w:type="dxa"/>
            <w:vAlign w:val="bottom"/>
          </w:tcPr>
          <w:p>
            <w:pPr>
              <w:spacing w:after="0"/>
              <w:rPr>
                <w:sz w:val="1"/>
                <w:szCs w:val="1"/>
                <w:color w:val="auto"/>
              </w:rPr>
            </w:pPr>
          </w:p>
        </w:tc>
      </w:tr>
      <w:tr>
        <w:trPr>
          <w:trHeight w:val="63"/>
        </w:trPr>
        <w:tc>
          <w:tcPr>
            <w:tcW w:w="340" w:type="dxa"/>
            <w:vAlign w:val="bottom"/>
            <w:shd w:val="clear" w:color="auto" w:fill="0F243E"/>
          </w:tcPr>
          <w:p>
            <w:pPr>
              <w:spacing w:after="0"/>
              <w:rPr>
                <w:sz w:val="5"/>
                <w:szCs w:val="5"/>
                <w:color w:val="auto"/>
              </w:rPr>
            </w:pPr>
          </w:p>
        </w:tc>
        <w:tc>
          <w:tcPr>
            <w:tcW w:w="3240" w:type="dxa"/>
            <w:vAlign w:val="bottom"/>
            <w:shd w:val="clear" w:color="auto" w:fill="0F243E"/>
          </w:tcPr>
          <w:p>
            <w:pPr>
              <w:spacing w:after="0"/>
              <w:rPr>
                <w:sz w:val="5"/>
                <w:szCs w:val="5"/>
                <w:color w:val="auto"/>
              </w:rPr>
            </w:pPr>
          </w:p>
        </w:tc>
        <w:tc>
          <w:tcPr>
            <w:tcW w:w="2000" w:type="dxa"/>
            <w:vAlign w:val="bottom"/>
            <w:shd w:val="clear" w:color="auto" w:fill="0F243E"/>
          </w:tcPr>
          <w:p>
            <w:pPr>
              <w:spacing w:after="0"/>
              <w:rPr>
                <w:sz w:val="5"/>
                <w:szCs w:val="5"/>
                <w:color w:val="auto"/>
              </w:rPr>
            </w:pPr>
          </w:p>
        </w:tc>
        <w:tc>
          <w:tcPr>
            <w:tcW w:w="1380" w:type="dxa"/>
            <w:vAlign w:val="bottom"/>
            <w:shd w:val="clear" w:color="auto" w:fill="0F243E"/>
          </w:tcPr>
          <w:p>
            <w:pPr>
              <w:spacing w:after="0"/>
              <w:rPr>
                <w:sz w:val="5"/>
                <w:szCs w:val="5"/>
                <w:color w:val="auto"/>
              </w:rPr>
            </w:pPr>
          </w:p>
        </w:tc>
        <w:tc>
          <w:tcPr>
            <w:tcW w:w="1460" w:type="dxa"/>
            <w:vAlign w:val="bottom"/>
            <w:shd w:val="clear" w:color="auto" w:fill="0F243E"/>
          </w:tcPr>
          <w:p>
            <w:pPr>
              <w:spacing w:after="0"/>
              <w:rPr>
                <w:sz w:val="5"/>
                <w:szCs w:val="5"/>
                <w:color w:val="auto"/>
              </w:rPr>
            </w:pPr>
          </w:p>
        </w:tc>
        <w:tc>
          <w:tcPr>
            <w:tcW w:w="2880" w:type="dxa"/>
            <w:vAlign w:val="bottom"/>
            <w:gridSpan w:val="2"/>
            <w:vMerge w:val="continue"/>
            <w:shd w:val="clear" w:color="auto" w:fill="0F243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000" w:type="dxa"/>
            <w:vAlign w:val="bottom"/>
            <w:shd w:val="clear" w:color="auto" w:fill="CCCCCC"/>
          </w:tcPr>
          <w:p>
            <w:pPr>
              <w:spacing w:after="0"/>
              <w:rPr>
                <w:sz w:val="14"/>
                <w:szCs w:val="14"/>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$1,700</w:t>
            </w:r>
          </w:p>
        </w:tc>
        <w:tc>
          <w:tcPr>
            <w:tcW w:w="14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$1,800</w:t>
            </w:r>
          </w:p>
        </w:tc>
        <w:tc>
          <w:tcPr>
            <w:tcW w:w="1400" w:type="dxa"/>
            <w:vAlign w:val="bottom"/>
            <w:shd w:val="clear" w:color="auto" w:fill="CCCCCC"/>
          </w:tcPr>
          <w:p>
            <w:pPr>
              <w:jc w:val="right"/>
              <w:spacing w:after="0"/>
              <w:rPr>
                <w:sz w:val="20"/>
                <w:szCs w:val="20"/>
                <w:color w:val="auto"/>
              </w:rPr>
            </w:pPr>
            <w:r>
              <w:rPr>
                <w:rFonts w:ascii="Arial" w:cs="Arial" w:eastAsia="Arial" w:hAnsi="Arial"/>
                <w:sz w:val="12"/>
                <w:szCs w:val="12"/>
                <w:color w:val="auto"/>
              </w:rPr>
              <w:t>$1,700</w:t>
            </w:r>
          </w:p>
        </w:tc>
        <w:tc>
          <w:tcPr>
            <w:tcW w:w="14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$1,900</w:t>
            </w:r>
          </w:p>
        </w:tc>
        <w:tc>
          <w:tcPr>
            <w:tcW w:w="0" w:type="dxa"/>
            <w:vAlign w:val="bottom"/>
          </w:tcPr>
          <w:p>
            <w:pPr>
              <w:spacing w:after="0"/>
              <w:rPr>
                <w:sz w:val="1"/>
                <w:szCs w:val="1"/>
                <w:color w:val="auto"/>
              </w:rPr>
            </w:pP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3240" w:type="dxa"/>
            <w:vAlign w:val="bottom"/>
            <w:shd w:val="clear" w:color="auto" w:fill="CCCCCC"/>
          </w:tcPr>
          <w:p>
            <w:pPr>
              <w:ind w:left="80"/>
              <w:spacing w:after="0"/>
              <w:rPr>
                <w:sz w:val="20"/>
                <w:szCs w:val="20"/>
                <w:color w:val="auto"/>
              </w:rPr>
            </w:pPr>
            <w:r>
              <w:rPr>
                <w:rFonts w:ascii="Arial" w:cs="Arial" w:eastAsia="Arial" w:hAnsi="Arial"/>
                <w:sz w:val="12"/>
                <w:szCs w:val="12"/>
                <w:color w:val="auto"/>
              </w:rPr>
              <w:t>NARCAN® Nasal Spray</w:t>
            </w:r>
          </w:p>
        </w:tc>
        <w:tc>
          <w:tcPr>
            <w:tcW w:w="2000" w:type="dxa"/>
            <w:vAlign w:val="bottom"/>
            <w:shd w:val="clear" w:color="auto" w:fill="CCCCCC"/>
          </w:tcPr>
          <w:p>
            <w:pPr>
              <w:spacing w:after="0"/>
              <w:rPr>
                <w:sz w:val="14"/>
                <w:szCs w:val="14"/>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$400</w:t>
            </w:r>
          </w:p>
        </w:tc>
        <w:tc>
          <w:tcPr>
            <w:tcW w:w="14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$420</w:t>
            </w:r>
          </w:p>
        </w:tc>
        <w:tc>
          <w:tcPr>
            <w:tcW w:w="1400" w:type="dxa"/>
            <w:vAlign w:val="bottom"/>
            <w:shd w:val="clear" w:color="auto" w:fill="CCCCCC"/>
          </w:tcPr>
          <w:p>
            <w:pPr>
              <w:jc w:val="right"/>
              <w:spacing w:after="0"/>
              <w:rPr>
                <w:sz w:val="20"/>
                <w:szCs w:val="20"/>
                <w:color w:val="auto"/>
              </w:rPr>
            </w:pPr>
            <w:r>
              <w:rPr>
                <w:rFonts w:ascii="Arial" w:cs="Arial" w:eastAsia="Arial" w:hAnsi="Arial"/>
                <w:sz w:val="12"/>
                <w:szCs w:val="12"/>
                <w:color w:val="auto"/>
              </w:rPr>
              <w:t>$305</w:t>
            </w:r>
          </w:p>
        </w:tc>
        <w:tc>
          <w:tcPr>
            <w:tcW w:w="14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$325</w:t>
            </w:r>
          </w:p>
        </w:tc>
        <w:tc>
          <w:tcPr>
            <w:tcW w:w="0" w:type="dxa"/>
            <w:vAlign w:val="bottom"/>
          </w:tcPr>
          <w:p>
            <w:pPr>
              <w:spacing w:after="0"/>
              <w:rPr>
                <w:sz w:val="1"/>
                <w:szCs w:val="1"/>
                <w:color w:val="auto"/>
              </w:rPr>
            </w:pP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3240" w:type="dxa"/>
            <w:vAlign w:val="bottom"/>
            <w:shd w:val="clear" w:color="auto" w:fill="CCCCCC"/>
          </w:tcPr>
          <w:p>
            <w:pPr>
              <w:ind w:left="80"/>
              <w:spacing w:after="0"/>
              <w:rPr>
                <w:sz w:val="20"/>
                <w:szCs w:val="20"/>
                <w:color w:val="auto"/>
              </w:rPr>
            </w:pPr>
            <w:r>
              <w:rPr>
                <w:rFonts w:ascii="Arial" w:cs="Arial" w:eastAsia="Arial" w:hAnsi="Arial"/>
                <w:sz w:val="12"/>
                <w:szCs w:val="12"/>
                <w:color w:val="auto"/>
              </w:rPr>
              <w:t>Anthrax vaccines</w:t>
            </w:r>
          </w:p>
        </w:tc>
        <w:tc>
          <w:tcPr>
            <w:tcW w:w="2000" w:type="dxa"/>
            <w:vAlign w:val="bottom"/>
            <w:shd w:val="clear" w:color="auto" w:fill="CCCCCC"/>
          </w:tcPr>
          <w:p>
            <w:pPr>
              <w:spacing w:after="0"/>
              <w:rPr>
                <w:sz w:val="14"/>
                <w:szCs w:val="14"/>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$250</w:t>
            </w:r>
          </w:p>
        </w:tc>
        <w:tc>
          <w:tcPr>
            <w:tcW w:w="14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$260</w:t>
            </w:r>
          </w:p>
        </w:tc>
        <w:tc>
          <w:tcPr>
            <w:tcW w:w="1400" w:type="dxa"/>
            <w:vAlign w:val="bottom"/>
            <w:shd w:val="clear" w:color="auto" w:fill="CCCCCC"/>
          </w:tcPr>
          <w:p>
            <w:pPr>
              <w:jc w:val="right"/>
              <w:spacing w:after="0"/>
              <w:rPr>
                <w:sz w:val="20"/>
                <w:szCs w:val="20"/>
                <w:color w:val="auto"/>
              </w:rPr>
            </w:pPr>
            <w:r>
              <w:rPr>
                <w:rFonts w:ascii="Arial" w:cs="Arial" w:eastAsia="Arial" w:hAnsi="Arial"/>
                <w:sz w:val="12"/>
                <w:szCs w:val="12"/>
                <w:color w:val="auto"/>
              </w:rPr>
              <w:t>$280</w:t>
            </w:r>
          </w:p>
        </w:tc>
        <w:tc>
          <w:tcPr>
            <w:tcW w:w="14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$310</w:t>
            </w:r>
          </w:p>
        </w:tc>
        <w:tc>
          <w:tcPr>
            <w:tcW w:w="0" w:type="dxa"/>
            <w:vAlign w:val="bottom"/>
          </w:tcPr>
          <w:p>
            <w:pPr>
              <w:spacing w:after="0"/>
              <w:rPr>
                <w:sz w:val="1"/>
                <w:szCs w:val="1"/>
                <w:color w:val="auto"/>
              </w:rPr>
            </w:pP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3240" w:type="dxa"/>
            <w:vAlign w:val="bottom"/>
            <w:shd w:val="clear" w:color="auto" w:fill="CCCCCC"/>
          </w:tcPr>
          <w:p>
            <w:pPr>
              <w:ind w:left="80"/>
              <w:spacing w:after="0"/>
              <w:rPr>
                <w:sz w:val="20"/>
                <w:szCs w:val="20"/>
                <w:color w:val="auto"/>
              </w:rPr>
            </w:pPr>
            <w:r>
              <w:rPr>
                <w:rFonts w:ascii="Arial" w:cs="Arial" w:eastAsia="Arial" w:hAnsi="Arial"/>
                <w:sz w:val="12"/>
                <w:szCs w:val="12"/>
                <w:color w:val="auto"/>
              </w:rPr>
              <w:t>ACAM2000®</w:t>
            </w:r>
          </w:p>
        </w:tc>
        <w:tc>
          <w:tcPr>
            <w:tcW w:w="2000" w:type="dxa"/>
            <w:vAlign w:val="bottom"/>
            <w:shd w:val="clear" w:color="auto" w:fill="CCCCCC"/>
          </w:tcPr>
          <w:p>
            <w:pPr>
              <w:spacing w:after="0"/>
              <w:rPr>
                <w:sz w:val="14"/>
                <w:szCs w:val="14"/>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$200</w:t>
            </w:r>
          </w:p>
        </w:tc>
        <w:tc>
          <w:tcPr>
            <w:tcW w:w="14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$220</w:t>
            </w:r>
          </w:p>
        </w:tc>
        <w:tc>
          <w:tcPr>
            <w:tcW w:w="1400" w:type="dxa"/>
            <w:vAlign w:val="bottom"/>
            <w:shd w:val="clear" w:color="auto" w:fill="CCCCCC"/>
          </w:tcPr>
          <w:p>
            <w:pPr>
              <w:jc w:val="right"/>
              <w:spacing w:after="0"/>
              <w:rPr>
                <w:sz w:val="20"/>
                <w:szCs w:val="20"/>
                <w:color w:val="auto"/>
              </w:rPr>
            </w:pPr>
            <w:r>
              <w:rPr>
                <w:rFonts w:ascii="Arial" w:cs="Arial" w:eastAsia="Arial" w:hAnsi="Arial"/>
                <w:sz w:val="12"/>
                <w:szCs w:val="12"/>
                <w:color w:val="auto"/>
              </w:rPr>
              <w:t>$185</w:t>
            </w:r>
          </w:p>
        </w:tc>
        <w:tc>
          <w:tcPr>
            <w:tcW w:w="14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$205</w:t>
            </w:r>
          </w:p>
        </w:tc>
        <w:tc>
          <w:tcPr>
            <w:tcW w:w="0" w:type="dxa"/>
            <w:vAlign w:val="bottom"/>
          </w:tcPr>
          <w:p>
            <w:pPr>
              <w:spacing w:after="0"/>
              <w:rPr>
                <w:sz w:val="1"/>
                <w:szCs w:val="1"/>
                <w:color w:val="auto"/>
              </w:rPr>
            </w:pP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3240" w:type="dxa"/>
            <w:vAlign w:val="bottom"/>
            <w:shd w:val="clear" w:color="auto" w:fill="CCCCCC"/>
          </w:tcPr>
          <w:p>
            <w:pPr>
              <w:ind w:left="80"/>
              <w:spacing w:after="0"/>
              <w:rPr>
                <w:sz w:val="20"/>
                <w:szCs w:val="20"/>
                <w:color w:val="auto"/>
              </w:rPr>
            </w:pPr>
            <w:r>
              <w:rPr>
                <w:rFonts w:ascii="Arial" w:cs="Arial" w:eastAsia="Arial" w:hAnsi="Arial"/>
                <w:sz w:val="12"/>
                <w:szCs w:val="12"/>
                <w:color w:val="auto"/>
              </w:rPr>
              <w:t>CDMO</w:t>
            </w:r>
          </w:p>
        </w:tc>
        <w:tc>
          <w:tcPr>
            <w:tcW w:w="2000" w:type="dxa"/>
            <w:vAlign w:val="bottom"/>
            <w:shd w:val="clear" w:color="auto" w:fill="CCCCCC"/>
          </w:tcPr>
          <w:p>
            <w:pPr>
              <w:spacing w:after="0"/>
              <w:rPr>
                <w:sz w:val="14"/>
                <w:szCs w:val="14"/>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$600</w:t>
            </w:r>
          </w:p>
        </w:tc>
        <w:tc>
          <w:tcPr>
            <w:tcW w:w="14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$650</w:t>
            </w:r>
          </w:p>
        </w:tc>
        <w:tc>
          <w:tcPr>
            <w:tcW w:w="1400" w:type="dxa"/>
            <w:vAlign w:val="bottom"/>
            <w:shd w:val="clear" w:color="auto" w:fill="CCCCCC"/>
          </w:tcPr>
          <w:p>
            <w:pPr>
              <w:jc w:val="right"/>
              <w:spacing w:after="0"/>
              <w:rPr>
                <w:sz w:val="20"/>
                <w:szCs w:val="20"/>
                <w:color w:val="auto"/>
              </w:rPr>
            </w:pPr>
            <w:r>
              <w:rPr>
                <w:rFonts w:ascii="Arial" w:cs="Arial" w:eastAsia="Arial" w:hAnsi="Arial"/>
                <w:sz w:val="12"/>
                <w:szCs w:val="12"/>
                <w:color w:val="auto"/>
              </w:rPr>
              <w:t>$765</w:t>
            </w:r>
          </w:p>
        </w:tc>
        <w:tc>
          <w:tcPr>
            <w:tcW w:w="14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$875</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Adjusted EBITDA (2)</w:t>
            </w:r>
          </w:p>
        </w:tc>
        <w:tc>
          <w:tcPr>
            <w:tcW w:w="2000" w:type="dxa"/>
            <w:vAlign w:val="bottom"/>
            <w:shd w:val="clear" w:color="auto" w:fill="CCCCCC"/>
          </w:tcPr>
          <w:p>
            <w:pPr>
              <w:spacing w:after="0"/>
              <w:rPr>
                <w:sz w:val="14"/>
                <w:szCs w:val="14"/>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$500</w:t>
            </w:r>
          </w:p>
        </w:tc>
        <w:tc>
          <w:tcPr>
            <w:tcW w:w="14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$550</w:t>
            </w:r>
          </w:p>
        </w:tc>
        <w:tc>
          <w:tcPr>
            <w:tcW w:w="1400" w:type="dxa"/>
            <w:vAlign w:val="bottom"/>
            <w:shd w:val="clear" w:color="auto" w:fill="CCCCCC"/>
          </w:tcPr>
          <w:p>
            <w:pPr>
              <w:jc w:val="right"/>
              <w:spacing w:after="0"/>
              <w:rPr>
                <w:sz w:val="20"/>
                <w:szCs w:val="20"/>
                <w:color w:val="auto"/>
              </w:rPr>
            </w:pPr>
            <w:r>
              <w:rPr>
                <w:rFonts w:ascii="Arial" w:cs="Arial" w:eastAsia="Arial" w:hAnsi="Arial"/>
                <w:sz w:val="12"/>
                <w:szCs w:val="12"/>
                <w:color w:val="auto"/>
              </w:rPr>
              <w:t>$620</w:t>
            </w:r>
          </w:p>
        </w:tc>
        <w:tc>
          <w:tcPr>
            <w:tcW w:w="14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$720</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Adjusted net income (2)</w:t>
            </w:r>
          </w:p>
        </w:tc>
        <w:tc>
          <w:tcPr>
            <w:tcW w:w="2000" w:type="dxa"/>
            <w:vAlign w:val="bottom"/>
            <w:shd w:val="clear" w:color="auto" w:fill="CCCCCC"/>
          </w:tcPr>
          <w:p>
            <w:pPr>
              <w:spacing w:after="0"/>
              <w:rPr>
                <w:sz w:val="14"/>
                <w:szCs w:val="14"/>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$315</w:t>
            </w:r>
          </w:p>
        </w:tc>
        <w:tc>
          <w:tcPr>
            <w:tcW w:w="14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$350</w:t>
            </w:r>
          </w:p>
        </w:tc>
        <w:tc>
          <w:tcPr>
            <w:tcW w:w="1400" w:type="dxa"/>
            <w:vAlign w:val="bottom"/>
            <w:shd w:val="clear" w:color="auto" w:fill="CCCCCC"/>
          </w:tcPr>
          <w:p>
            <w:pPr>
              <w:jc w:val="right"/>
              <w:spacing w:after="0"/>
              <w:rPr>
                <w:sz w:val="20"/>
                <w:szCs w:val="20"/>
                <w:color w:val="auto"/>
              </w:rPr>
            </w:pPr>
            <w:r>
              <w:rPr>
                <w:rFonts w:ascii="Arial" w:cs="Arial" w:eastAsia="Arial" w:hAnsi="Arial"/>
                <w:sz w:val="12"/>
                <w:szCs w:val="12"/>
                <w:color w:val="auto"/>
              </w:rPr>
              <w:t>$395</w:t>
            </w:r>
          </w:p>
        </w:tc>
        <w:tc>
          <w:tcPr>
            <w:tcW w:w="14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$470</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Gross margin (2)</w:t>
            </w:r>
          </w:p>
        </w:tc>
        <w:tc>
          <w:tcPr>
            <w:tcW w:w="2000" w:type="dxa"/>
            <w:vAlign w:val="bottom"/>
            <w:shd w:val="clear" w:color="auto" w:fill="CCCCCC"/>
          </w:tcPr>
          <w:p>
            <w:pPr>
              <w:spacing w:after="0"/>
              <w:rPr>
                <w:sz w:val="14"/>
                <w:szCs w:val="14"/>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54%</w:t>
            </w:r>
          </w:p>
        </w:tc>
        <w:tc>
          <w:tcPr>
            <w:tcW w:w="14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- 56%</w:t>
            </w:r>
          </w:p>
        </w:tc>
        <w:tc>
          <w:tcPr>
            <w:tcW w:w="1400" w:type="dxa"/>
            <w:vAlign w:val="bottom"/>
            <w:shd w:val="clear" w:color="auto" w:fill="CCCCCC"/>
          </w:tcPr>
          <w:p>
            <w:pPr>
              <w:jc w:val="right"/>
              <w:spacing w:after="0"/>
              <w:rPr>
                <w:sz w:val="20"/>
                <w:szCs w:val="20"/>
                <w:color w:val="auto"/>
              </w:rPr>
            </w:pPr>
            <w:r>
              <w:rPr>
                <w:rFonts w:ascii="Arial" w:cs="Arial" w:eastAsia="Arial" w:hAnsi="Arial"/>
                <w:sz w:val="12"/>
                <w:szCs w:val="12"/>
                <w:color w:val="auto"/>
              </w:rPr>
              <w:t>61%</w:t>
            </w:r>
          </w:p>
        </w:tc>
        <w:tc>
          <w:tcPr>
            <w:tcW w:w="14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- 63%</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80" w:type="dxa"/>
            <w:vAlign w:val="bottom"/>
            <w:gridSpan w:val="2"/>
          </w:tcPr>
          <w:p>
            <w:pPr>
              <w:jc w:val="right"/>
              <w:ind w:right="1100"/>
              <w:spacing w:after="0"/>
              <w:rPr>
                <w:sz w:val="20"/>
                <w:szCs w:val="20"/>
                <w:color w:val="auto"/>
              </w:rPr>
            </w:pPr>
            <w:r>
              <w:rPr>
                <w:rFonts w:ascii="Arial" w:cs="Arial" w:eastAsia="Arial" w:hAnsi="Arial"/>
                <w:sz w:val="11"/>
                <w:szCs w:val="11"/>
                <w:color w:val="auto"/>
              </w:rPr>
              <w:t>5 of 16</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421" w:right="299" w:bottom="1440" w:gutter="0" w:footer="0" w:header="0"/>
        </w:sectPr>
      </w:pPr>
    </w:p>
    <w:bookmarkStart w:id="7" w:name="page8"/>
    <w:bookmarkEnd w:id="7"/>
    <w:p>
      <w:pPr>
        <w:ind w:left="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The Company's financial forecast for 2021 includes the following additional considerations: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Revised Considerations</w:t>
      </w:r>
    </w:p>
    <w:p>
      <w:pPr>
        <w:spacing w:after="0" w:line="177" w:lineRule="exact"/>
        <w:rPr>
          <w:sz w:val="20"/>
          <w:szCs w:val="20"/>
          <w:color w:val="auto"/>
        </w:rPr>
      </w:pPr>
    </w:p>
    <w:p>
      <w:pPr>
        <w:ind w:left="248" w:hanging="194"/>
        <w:spacing w:after="0"/>
        <w:tabs>
          <w:tab w:leader="none" w:pos="248" w:val="left"/>
        </w:tabs>
        <w:numPr>
          <w:ilvl w:val="0"/>
          <w:numId w:val="5"/>
        </w:numPr>
        <w:rPr>
          <w:rFonts w:ascii="Arial" w:cs="Arial" w:eastAsia="Arial" w:hAnsi="Arial"/>
          <w:sz w:val="12"/>
          <w:szCs w:val="12"/>
          <w:color w:val="auto"/>
        </w:rPr>
      </w:pPr>
      <w:r>
        <w:rPr>
          <w:rFonts w:ascii="Arial" w:cs="Arial" w:eastAsia="Arial" w:hAnsi="Arial"/>
          <w:sz w:val="12"/>
          <w:szCs w:val="12"/>
          <w:color w:val="auto"/>
        </w:rPr>
        <w:t>Gross margin reflects the impact of the Q3 2021 performance as well as expectations for the remainder of the year.</w:t>
      </w:r>
    </w:p>
    <w:p>
      <w:pPr>
        <w:ind w:left="268" w:hanging="214"/>
        <w:spacing w:after="0" w:line="235" w:lineRule="auto"/>
        <w:tabs>
          <w:tab w:leader="none" w:pos="238" w:val="left"/>
        </w:tabs>
        <w:numPr>
          <w:ilvl w:val="0"/>
          <w:numId w:val="5"/>
        </w:numPr>
        <w:rPr>
          <w:rFonts w:ascii="Arial" w:cs="Arial" w:eastAsia="Arial" w:hAnsi="Arial"/>
          <w:sz w:val="12"/>
          <w:szCs w:val="12"/>
          <w:color w:val="auto"/>
        </w:rPr>
      </w:pPr>
      <w:r>
        <w:rPr>
          <w:rFonts w:ascii="Arial" w:cs="Arial" w:eastAsia="Arial" w:hAnsi="Arial"/>
          <w:sz w:val="12"/>
          <w:szCs w:val="12"/>
          <w:color w:val="auto"/>
        </w:rPr>
        <w:t>CDMO services revenue reflects the impact of the mutual agreement with HHS to end the Company's involvement in the CIADM program and to close out remaining obligations under the CIADM base contract and related task orders. This agreement reduces the total contract value to be realized under the 2020 task order to $470.9 million from $650.8 million.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Unchanged Considerations</w:t>
      </w:r>
    </w:p>
    <w:p>
      <w:pPr>
        <w:spacing w:after="0" w:line="171" w:lineRule="exact"/>
        <w:rPr>
          <w:sz w:val="20"/>
          <w:szCs w:val="20"/>
          <w:color w:val="auto"/>
        </w:rPr>
      </w:pPr>
    </w:p>
    <w:p>
      <w:pPr>
        <w:ind w:left="268" w:right="20" w:hanging="214"/>
        <w:spacing w:after="0" w:line="219" w:lineRule="auto"/>
        <w:tabs>
          <w:tab w:leader="none" w:pos="238" w:val="left"/>
        </w:tabs>
        <w:numPr>
          <w:ilvl w:val="0"/>
          <w:numId w:val="6"/>
        </w:numPr>
        <w:rPr>
          <w:rFonts w:ascii="Arial" w:cs="Arial" w:eastAsia="Arial" w:hAnsi="Arial"/>
          <w:sz w:val="12"/>
          <w:szCs w:val="12"/>
          <w:color w:val="auto"/>
        </w:rPr>
      </w:pPr>
      <w:r>
        <w:rPr>
          <w:rFonts w:ascii="Arial" w:cs="Arial" w:eastAsia="Arial" w:hAnsi="Arial"/>
          <w:sz w:val="12"/>
          <w:szCs w:val="12"/>
          <w:color w:val="auto"/>
        </w:rPr>
        <w:t>Narcan® Nasal Spray revenues assume the naloxone market remains competitive and incorporates the impact of at least one new branded entrant into the market (one branded competitor entered the market during the third quarter of 2021), as well as no generic entrant into the market prior to the anticipated appellate decision related to the pending patent litigation, which is expected by the end of 2021.</w:t>
      </w:r>
    </w:p>
    <w:p>
      <w:pPr>
        <w:ind w:left="248" w:hanging="194"/>
        <w:spacing w:after="0" w:line="219" w:lineRule="auto"/>
        <w:tabs>
          <w:tab w:leader="none" w:pos="248" w:val="left"/>
        </w:tabs>
        <w:numPr>
          <w:ilvl w:val="0"/>
          <w:numId w:val="6"/>
        </w:numPr>
        <w:rPr>
          <w:rFonts w:ascii="Arial" w:cs="Arial" w:eastAsia="Arial" w:hAnsi="Arial"/>
          <w:sz w:val="12"/>
          <w:szCs w:val="12"/>
          <w:color w:val="auto"/>
        </w:rPr>
      </w:pPr>
      <w:r>
        <w:rPr>
          <w:rFonts w:ascii="Arial" w:cs="Arial" w:eastAsia="Arial" w:hAnsi="Arial"/>
          <w:sz w:val="12"/>
          <w:szCs w:val="12"/>
          <w:color w:val="auto"/>
        </w:rPr>
        <w:t>Anthrax vaccines revenue is expected to continue to primarily reflect procurement of AV7909 under the terms of the Company’s existing contract with BARDA at a more normalized annual level.</w:t>
      </w:r>
    </w:p>
    <w:p>
      <w:pPr>
        <w:ind w:left="248" w:hanging="194"/>
        <w:spacing w:after="0" w:line="219" w:lineRule="auto"/>
        <w:tabs>
          <w:tab w:leader="none" w:pos="248" w:val="left"/>
        </w:tabs>
        <w:numPr>
          <w:ilvl w:val="0"/>
          <w:numId w:val="6"/>
        </w:numPr>
        <w:rPr>
          <w:rFonts w:ascii="Arial" w:cs="Arial" w:eastAsia="Arial" w:hAnsi="Arial"/>
          <w:sz w:val="12"/>
          <w:szCs w:val="12"/>
          <w:color w:val="auto"/>
        </w:rPr>
      </w:pPr>
      <w:r>
        <w:rPr>
          <w:rFonts w:ascii="Arial" w:cs="Arial" w:eastAsia="Arial" w:hAnsi="Arial"/>
          <w:sz w:val="12"/>
          <w:szCs w:val="12"/>
          <w:color w:val="auto"/>
        </w:rPr>
        <w:t>ACAM2000®vaccine revenues incorporate the expected full delivery of product under the $182 million option exercise received in July 2021 as well as other international sales.</w:t>
      </w:r>
    </w:p>
    <w:p>
      <w:pPr>
        <w:ind w:left="268" w:right="140" w:hanging="214"/>
        <w:spacing w:after="0" w:line="219" w:lineRule="auto"/>
        <w:tabs>
          <w:tab w:leader="none" w:pos="238" w:val="left"/>
        </w:tabs>
        <w:numPr>
          <w:ilvl w:val="0"/>
          <w:numId w:val="6"/>
        </w:numPr>
        <w:rPr>
          <w:rFonts w:ascii="Arial" w:cs="Arial" w:eastAsia="Arial" w:hAnsi="Arial"/>
          <w:sz w:val="12"/>
          <w:szCs w:val="12"/>
          <w:color w:val="auto"/>
        </w:rPr>
      </w:pPr>
      <w:r>
        <w:rPr>
          <w:rFonts w:ascii="Arial" w:cs="Arial" w:eastAsia="Arial" w:hAnsi="Arial"/>
          <w:sz w:val="12"/>
          <w:szCs w:val="12"/>
          <w:color w:val="auto"/>
        </w:rPr>
        <w:t>CDMO services revenue reflects the continued manufacturing of Johnson &amp; Johnson's COVID-19 vaccine bulk drug substance. On July 29th, the Company announced that it was informed by the FDA that it can resume production at its Bayview manufacturing facility.</w:t>
      </w:r>
    </w:p>
    <w:p>
      <w:pPr>
        <w:ind w:left="248" w:hanging="194"/>
        <w:spacing w:after="0" w:line="219" w:lineRule="auto"/>
        <w:tabs>
          <w:tab w:leader="none" w:pos="248" w:val="left"/>
        </w:tabs>
        <w:numPr>
          <w:ilvl w:val="0"/>
          <w:numId w:val="6"/>
        </w:numPr>
        <w:rPr>
          <w:rFonts w:ascii="Arial" w:cs="Arial" w:eastAsia="Arial" w:hAnsi="Arial"/>
          <w:sz w:val="12"/>
          <w:szCs w:val="12"/>
          <w:color w:val="auto"/>
        </w:rPr>
      </w:pPr>
      <w:r>
        <w:rPr>
          <w:rFonts w:ascii="Arial" w:cs="Arial" w:eastAsia="Arial" w:hAnsi="Arial"/>
          <w:sz w:val="12"/>
          <w:szCs w:val="12"/>
          <w:color w:val="auto"/>
        </w:rPr>
        <w:t>Total revenues, specifically other product sales, are expected to be impacted due to the Company's assumption that a new raxibacumab contract will be awarded later than previously planned.</w:t>
      </w:r>
    </w:p>
    <w:p>
      <w:pPr>
        <w:ind w:left="268" w:right="160" w:hanging="214"/>
        <w:spacing w:after="0" w:line="219" w:lineRule="auto"/>
        <w:tabs>
          <w:tab w:leader="none" w:pos="238" w:val="left"/>
        </w:tabs>
        <w:numPr>
          <w:ilvl w:val="0"/>
          <w:numId w:val="6"/>
        </w:numPr>
        <w:rPr>
          <w:rFonts w:ascii="Arial" w:cs="Arial" w:eastAsia="Arial" w:hAnsi="Arial"/>
          <w:sz w:val="12"/>
          <w:szCs w:val="12"/>
          <w:color w:val="auto"/>
        </w:rPr>
      </w:pPr>
      <w:r>
        <w:rPr>
          <w:rFonts w:ascii="Arial" w:cs="Arial" w:eastAsia="Arial" w:hAnsi="Arial"/>
          <w:sz w:val="12"/>
          <w:szCs w:val="12"/>
          <w:color w:val="auto"/>
        </w:rPr>
        <w:t>R&amp;D expenses are expected to reflect continued pipeline progress across the portfolio, including the assumption of at least one Phase 3 launch and one Biologics License Application (BLA)/Emergency Use Authorization (EUA) filing.</w:t>
      </w:r>
    </w:p>
    <w:p>
      <w:pPr>
        <w:ind w:left="268" w:right="280" w:hanging="214"/>
        <w:spacing w:after="0" w:line="235" w:lineRule="auto"/>
        <w:tabs>
          <w:tab w:leader="none" w:pos="238" w:val="left"/>
        </w:tabs>
        <w:numPr>
          <w:ilvl w:val="0"/>
          <w:numId w:val="6"/>
        </w:numPr>
        <w:rPr>
          <w:rFonts w:ascii="Arial" w:cs="Arial" w:eastAsia="Arial" w:hAnsi="Arial"/>
          <w:sz w:val="12"/>
          <w:szCs w:val="12"/>
          <w:color w:val="auto"/>
        </w:rPr>
      </w:pPr>
      <w:r>
        <w:rPr>
          <w:rFonts w:ascii="Arial" w:cs="Arial" w:eastAsia="Arial" w:hAnsi="Arial"/>
          <w:sz w:val="12"/>
          <w:szCs w:val="12"/>
          <w:color w:val="auto"/>
        </w:rPr>
        <w:t>Capital expenditures, net of reimbursement, are expected to be in a range of 8% to 9% of total revenues, reflecting ongoing investments in capacity and capability expansions in support of the Company's CDMO services business and product portfolio.</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FOOTNOTES</w:t>
      </w:r>
    </w:p>
    <w:p>
      <w:pPr>
        <w:spacing w:after="0" w:line="170" w:lineRule="exact"/>
        <w:rPr>
          <w:sz w:val="20"/>
          <w:szCs w:val="20"/>
          <w:color w:val="auto"/>
        </w:rPr>
      </w:pPr>
    </w:p>
    <w:p>
      <w:pPr>
        <w:ind w:left="188" w:hanging="188"/>
        <w:spacing w:after="0"/>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All financial information incorporated within this release is unaudited.</w:t>
      </w:r>
    </w:p>
    <w:p>
      <w:pPr>
        <w:spacing w:after="0" w:line="18" w:lineRule="exact"/>
        <w:rPr>
          <w:rFonts w:ascii="Arial" w:cs="Arial" w:eastAsia="Arial" w:hAnsi="Arial"/>
          <w:sz w:val="12"/>
          <w:szCs w:val="12"/>
          <w:i w:val="1"/>
          <w:iCs w:val="1"/>
          <w:color w:val="auto"/>
        </w:rPr>
      </w:pPr>
    </w:p>
    <w:p>
      <w:pPr>
        <w:ind w:left="8" w:right="320" w:hanging="8"/>
        <w:spacing w:after="0" w:line="250"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See "Reconciliation of Net Income to Adjusted Net Income," "Reconciliation of Net Income to Adjusted EBITDA," "Reconciliation of Product Margin and Adjusted Product Margin," "Reconciliation of CDMO Margin and Adjusted CDMO Margin"and "Reconciliation of Net Research and Development Expenses" for a definition of terms and the reconciliation tables.</w:t>
      </w:r>
    </w:p>
    <w:p>
      <w:pPr>
        <w:ind w:left="188" w:hanging="188"/>
        <w:spacing w:after="0"/>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Product sales, net are reported net of variable consideration including returns, rebates, wholesaler fees and prompt pay discounts.</w:t>
      </w:r>
    </w:p>
    <w:p>
      <w:pPr>
        <w:spacing w:after="0" w:line="6" w:lineRule="exact"/>
        <w:rPr>
          <w:rFonts w:ascii="Arial" w:cs="Arial" w:eastAsia="Arial" w:hAnsi="Arial"/>
          <w:sz w:val="12"/>
          <w:szCs w:val="12"/>
          <w:i w:val="1"/>
          <w:iCs w:val="1"/>
          <w:color w:val="auto"/>
        </w:rPr>
      </w:pPr>
    </w:p>
    <w:p>
      <w:pPr>
        <w:ind w:left="188" w:hanging="188"/>
        <w:spacing w:after="0"/>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Other can include a combination of sales of any of the following products: BAT, VIGIV, Anthrasil, raxibacumab, RSDL, Trobigard, Vivotif, and Vaxchora.</w:t>
      </w:r>
    </w:p>
    <w:p>
      <w:pPr>
        <w:spacing w:after="0" w:line="6" w:lineRule="exact"/>
        <w:rPr>
          <w:rFonts w:ascii="Arial" w:cs="Arial" w:eastAsia="Arial" w:hAnsi="Arial"/>
          <w:sz w:val="12"/>
          <w:szCs w:val="12"/>
          <w:i w:val="1"/>
          <w:iCs w:val="1"/>
          <w:color w:val="auto"/>
        </w:rPr>
      </w:pPr>
    </w:p>
    <w:p>
      <w:pPr>
        <w:ind w:left="188" w:hanging="188"/>
        <w:spacing w:after="0" w:line="234"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CDMO backlog is defined as estimated remaining contract value as of the indicated period pursuant to signed contracts, the majority of which is expected to be recognized over the next 24 months.</w:t>
      </w:r>
    </w:p>
    <w:p>
      <w:pPr>
        <w:ind w:left="188" w:hanging="188"/>
        <w:spacing w:after="0" w:line="234"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CDMO new business is defined as initial value of contracts secured as well as incremental value of existing contracts modified within the indicated period and is incorporated into Backlog.</w:t>
      </w:r>
    </w:p>
    <w:p>
      <w:pPr>
        <w:ind w:left="8" w:hanging="8"/>
        <w:spacing w:after="0" w:line="256" w:lineRule="auto"/>
        <w:tabs>
          <w:tab w:leader="none" w:pos="188"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CDMO opportunity funnel is defined as proposal values from new work with new customers, new work with existing customers and extensions/expansions of existing contracts with existing customers that, if converted to new business, the majority of which is expected to be realized over the next 24 months. This excludes any value associated with an extension of the commercial supply agreement (CSA) with Johnson &amp; Johnson.</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CONFERENCE CALL, PRESENTATION SUPPLEMENT AND WEBCAST INFORMATION</w:t>
      </w:r>
    </w:p>
    <w:p>
      <w:pPr>
        <w:spacing w:after="0" w:line="93" w:lineRule="exact"/>
        <w:rPr>
          <w:sz w:val="20"/>
          <w:szCs w:val="20"/>
          <w:color w:val="auto"/>
        </w:rPr>
      </w:pPr>
    </w:p>
    <w:p>
      <w:pPr>
        <w:ind w:left="8" w:right="140"/>
        <w:spacing w:after="0" w:line="261" w:lineRule="auto"/>
        <w:rPr>
          <w:sz w:val="20"/>
          <w:szCs w:val="20"/>
          <w:color w:val="auto"/>
        </w:rPr>
      </w:pPr>
      <w:r>
        <w:rPr>
          <w:rFonts w:ascii="Arial" w:cs="Arial" w:eastAsia="Arial" w:hAnsi="Arial"/>
          <w:sz w:val="12"/>
          <w:szCs w:val="12"/>
          <w:color w:val="auto"/>
        </w:rPr>
        <w:t>Company management will host a conference call at 5:00 pm (Eastern Time) today, November 4, 2021, to discuss these financial results. The conference call and presentation supplement can be accessed from the Company's website or through the following:</w:t>
      </w:r>
    </w:p>
    <w:p>
      <w:pPr>
        <w:spacing w:after="0" w:line="200" w:lineRule="exact"/>
        <w:rPr>
          <w:sz w:val="20"/>
          <w:szCs w:val="20"/>
          <w:color w:val="auto"/>
        </w:rPr>
      </w:pPr>
    </w:p>
    <w:p>
      <w:pPr>
        <w:spacing w:after="0" w:line="204" w:lineRule="exact"/>
        <w:rPr>
          <w:sz w:val="20"/>
          <w:szCs w:val="20"/>
          <w:color w:val="auto"/>
        </w:rPr>
      </w:pPr>
    </w:p>
    <w:p>
      <w:pPr>
        <w:jc w:val="center"/>
        <w:ind w:right="-27"/>
        <w:spacing w:after="0"/>
        <w:rPr>
          <w:sz w:val="20"/>
          <w:szCs w:val="20"/>
          <w:color w:val="auto"/>
        </w:rPr>
      </w:pPr>
      <w:r>
        <w:rPr>
          <w:rFonts w:ascii="Arial" w:cs="Arial" w:eastAsia="Arial" w:hAnsi="Arial"/>
          <w:sz w:val="11"/>
          <w:szCs w:val="11"/>
          <w:color w:val="auto"/>
        </w:rPr>
        <w:t>6 of 16</w:t>
      </w:r>
    </w:p>
    <w:p>
      <w:pPr>
        <w:sectPr>
          <w:pgSz w:w="11900" w:h="16838" w:orient="portrait"/>
          <w:cols w:equalWidth="0" w:num="1">
            <w:col w:w="11268"/>
          </w:cols>
          <w:pgMar w:left="292" w:top="1435" w:right="3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u w:val="single" w:color="auto"/>
          <w:color w:val="auto"/>
        </w:rPr>
        <w:t>Live Teleconference Information:</w:t>
      </w:r>
    </w:p>
    <w:p>
      <w:pPr>
        <w:spacing w:after="0" w:line="219" w:lineRule="auto"/>
        <w:rPr>
          <w:sz w:val="20"/>
          <w:szCs w:val="20"/>
          <w:color w:val="auto"/>
        </w:rPr>
      </w:pPr>
      <w:r>
        <w:rPr>
          <w:rFonts w:ascii="Arial" w:cs="Arial" w:eastAsia="Arial" w:hAnsi="Arial"/>
          <w:sz w:val="12"/>
          <w:szCs w:val="12"/>
          <w:color w:val="auto"/>
        </w:rPr>
        <w:t>Dial in: [US] (855) 766-6521; [International] (262) 912-6157</w:t>
      </w:r>
    </w:p>
    <w:p>
      <w:pPr>
        <w:spacing w:after="0"/>
        <w:rPr>
          <w:sz w:val="20"/>
          <w:szCs w:val="20"/>
          <w:color w:val="auto"/>
        </w:rPr>
      </w:pPr>
      <w:r>
        <w:rPr>
          <w:rFonts w:ascii="Arial" w:cs="Arial" w:eastAsia="Arial" w:hAnsi="Arial"/>
          <w:sz w:val="12"/>
          <w:szCs w:val="12"/>
          <w:color w:val="auto"/>
        </w:rPr>
        <w:t>Conference ID: 2937668</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Live Webcast Information:</w:t>
      </w:r>
    </w:p>
    <w:p>
      <w:pPr>
        <w:spacing w:after="0"/>
        <w:rPr>
          <w:sz w:val="20"/>
          <w:szCs w:val="20"/>
          <w:color w:val="auto"/>
        </w:rPr>
      </w:pPr>
      <w:r>
        <w:rPr>
          <w:rFonts w:ascii="Arial" w:cs="Arial" w:eastAsia="Arial" w:hAnsi="Arial"/>
          <w:sz w:val="12"/>
          <w:szCs w:val="12"/>
          <w:color w:val="auto"/>
        </w:rPr>
        <w:t>Visit https://edge.media-server.com/mmc/p/nitqgk48 for the webcast.</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A replay of the call can be accessed from the Emergent website.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EMERGENT BIOSOLUTIONS INC.</w:t>
      </w:r>
    </w:p>
    <w:p>
      <w:pPr>
        <w:spacing w:after="0" w:line="93" w:lineRule="exact"/>
        <w:rPr>
          <w:sz w:val="20"/>
          <w:szCs w:val="20"/>
          <w:color w:val="auto"/>
        </w:rPr>
      </w:pPr>
    </w:p>
    <w:p>
      <w:pPr>
        <w:ind w:right="140"/>
        <w:spacing w:after="0" w:line="238" w:lineRule="auto"/>
        <w:rPr>
          <w:sz w:val="20"/>
          <w:szCs w:val="20"/>
          <w:color w:val="auto"/>
        </w:rPr>
      </w:pPr>
      <w:r>
        <w:rPr>
          <w:rFonts w:ascii="Arial" w:cs="Arial" w:eastAsia="Arial" w:hAnsi="Arial"/>
          <w:sz w:val="12"/>
          <w:szCs w:val="12"/>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 to deliver peace of mind to our patients and customers so they can focus on what’s most important in their lives. In working together, we envision protecting or enhancing 1 billion lives by 2030. For more information, visit our website and follow us on LinkedIn, Twitter, and Instagram.</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NON-GAAP MEASURES</w:t>
      </w:r>
    </w:p>
    <w:p>
      <w:pPr>
        <w:spacing w:after="0" w:line="78" w:lineRule="exact"/>
        <w:rPr>
          <w:sz w:val="20"/>
          <w:szCs w:val="20"/>
          <w:color w:val="auto"/>
        </w:rPr>
      </w:pPr>
    </w:p>
    <w:p>
      <w:pPr>
        <w:ind w:right="280"/>
        <w:spacing w:after="0" w:line="286" w:lineRule="auto"/>
        <w:rPr>
          <w:sz w:val="20"/>
          <w:szCs w:val="20"/>
          <w:color w:val="auto"/>
        </w:rPr>
      </w:pPr>
      <w:r>
        <w:rPr>
          <w:rFonts w:ascii="Arial" w:cs="Arial" w:eastAsia="Arial" w:hAnsi="Arial"/>
          <w:sz w:val="11"/>
          <w:szCs w:val="11"/>
          <w:color w:val="auto"/>
        </w:rPr>
        <w:t>This press release contains financial measures (</w:t>
      </w:r>
      <w:r>
        <w:rPr>
          <w:rFonts w:ascii="Arial" w:cs="Arial" w:eastAsia="Arial" w:hAnsi="Arial"/>
          <w:sz w:val="11"/>
          <w:szCs w:val="11"/>
          <w:b w:val="1"/>
          <w:bCs w:val="1"/>
          <w:color w:val="auto"/>
        </w:rPr>
        <w:t>Adjusted Net Income, Adjusted EBITDA (Earnings Before Interest, Taxes, Depreciation and Amortization), Adjusted Gross Margin, Adjusted Product</w:t>
      </w:r>
      <w:r>
        <w:rPr>
          <w:rFonts w:ascii="Arial" w:cs="Arial" w:eastAsia="Arial" w:hAnsi="Arial"/>
          <w:sz w:val="11"/>
          <w:szCs w:val="11"/>
          <w:color w:val="auto"/>
        </w:rPr>
        <w:t xml:space="preserve"> </w:t>
      </w:r>
      <w:r>
        <w:rPr>
          <w:rFonts w:ascii="Arial" w:cs="Arial" w:eastAsia="Arial" w:hAnsi="Arial"/>
          <w:sz w:val="11"/>
          <w:szCs w:val="11"/>
          <w:b w:val="1"/>
          <w:bCs w:val="1"/>
          <w:color w:val="auto"/>
        </w:rPr>
        <w:t>Gross Margin, Adjusted CDMO Gross Margin, Adjusted Revenues and Net Research and Development Expenses</w:t>
      </w:r>
      <w:r>
        <w:rPr>
          <w:rFonts w:ascii="Arial" w:cs="Arial" w:eastAsia="Arial" w:hAnsi="Arial"/>
          <w:sz w:val="11"/>
          <w:szCs w:val="11"/>
          <w:color w:val="auto"/>
        </w:rPr>
        <w:t>) that are considered “non-GAAP” financial measures under applicable Securities and</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color w:val="auto"/>
        </w:rPr>
        <w:t>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For its non-GAAP measures, the Company adjusts for specified items that can be highly variable or difficult to predict, or reflect the non-cash impact of charges or accounting changes. As needed, such adjustments are tax effected utilizing the federal statutory tax rate for the U.S., except for changes in the fair value of contingent consideration as the vast majority is non-deductible for tax purposes.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 For more information on these non-GAAP financial measures, please see the tables captioned "Reconciliation of Net Income to Adjusted Net Income," "Reconciliation of Net Income to Adjusted EBITDA," "Reconciliation of Product Margin and Adjusted Product Margin," "Reconciliation of CDMO Margin and Adjusted CDMO Margin," "Reconciliation of Gross Margin and Adjusted Gross Margin" and "Reconciliation of Net Research and Development Expenses" included at the end of this release.</w:t>
      </w:r>
    </w:p>
    <w:p>
      <w:pPr>
        <w:spacing w:after="0" w:line="159" w:lineRule="exact"/>
        <w:rPr>
          <w:sz w:val="20"/>
          <w:szCs w:val="20"/>
          <w:color w:val="auto"/>
        </w:rPr>
      </w:pPr>
    </w:p>
    <w:p>
      <w:pPr>
        <w:ind w:right="280"/>
        <w:spacing w:after="0" w:line="256" w:lineRule="auto"/>
        <w:rPr>
          <w:sz w:val="20"/>
          <w:szCs w:val="20"/>
          <w:color w:val="auto"/>
        </w:rPr>
      </w:pPr>
      <w:r>
        <w:rPr>
          <w:rFonts w:ascii="Arial" w:cs="Arial" w:eastAsia="Arial" w:hAnsi="Arial"/>
          <w:sz w:val="12"/>
          <w:szCs w:val="12"/>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w:t>
      </w:r>
    </w:p>
    <w:p>
      <w:pPr>
        <w:spacing w:after="0" w:line="84" w:lineRule="exact"/>
        <w:rPr>
          <w:sz w:val="20"/>
          <w:szCs w:val="20"/>
          <w:color w:val="auto"/>
        </w:rPr>
      </w:pPr>
    </w:p>
    <w:p>
      <w:pPr>
        <w:spacing w:after="0" w:line="224" w:lineRule="auto"/>
        <w:rPr>
          <w:sz w:val="20"/>
          <w:szCs w:val="20"/>
          <w:color w:val="auto"/>
        </w:rPr>
      </w:pPr>
      <w:r>
        <w:rPr>
          <w:rFonts w:ascii="Arial" w:cs="Arial" w:eastAsia="Arial" w:hAnsi="Arial"/>
          <w:sz w:val="12"/>
          <w:szCs w:val="12"/>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statements regarding the strength of our 2024 growth plan; annual expectations underlying gross margin; the timing of deliveries of AV7909; the full delivery in 2021 of vaccines procured under the July 2021 ACAM2000® option exercise; the strength of the naloxone market and the number of generic and new branded naloxone entrants expected to enter into the market this year; new business prospects; enhanced customer service; capacity expansion in our pipeline portfolio; our CDMO backlog and opportunity funnel; total contract value; the timing and level of future revenues; the continued manufacturing of bulk drug substance for Johnson &amp; Johnson’s COVID-19 vaccine; the expectation of at least one new Phase 3 launch and one BLA/EUA by year end and the level of capital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7 of 16</w:t>
      </w:r>
    </w:p>
    <w:p>
      <w:pPr>
        <w:sectPr>
          <w:pgSz w:w="11900" w:h="16838" w:orient="portrait"/>
          <w:cols w:equalWidth="0" w:num="1">
            <w:col w:w="11260"/>
          </w:cols>
          <w:pgMar w:left="300" w:top="1440" w:right="339" w:bottom="1440" w:gutter="0" w:footer="0" w:header="0"/>
        </w:sectPr>
      </w:pPr>
    </w:p>
    <w:bookmarkStart w:id="9" w:name="page10"/>
    <w:bookmarkEnd w:id="9"/>
    <w:p>
      <w:pPr>
        <w:ind w:right="80"/>
        <w:spacing w:after="0" w:line="22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expenditures;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product sales, government development or procurement contracts or awards, government appropriations, manufacturing capabilities, and the timing of certain clinical trials and regulatory approvals are forward-looking statements. These forward-looking statements are based on our current intentions, beliefs and expectations regarding future events. We cannot guarantee that any forward-looking statement will be accurate.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reader should realize that if underlying assumptions prove inaccurate or unknown risks or uncertainties</w:t>
      </w:r>
    </w:p>
    <w:p>
      <w:pPr>
        <w:spacing w:after="0" w:line="220" w:lineRule="auto"/>
        <w:rPr>
          <w:sz w:val="20"/>
          <w:szCs w:val="20"/>
          <w:color w:val="auto"/>
        </w:rPr>
      </w:pPr>
      <w:r>
        <w:rPr>
          <w:rFonts w:ascii="Arial" w:cs="Arial" w:eastAsia="Arial" w:hAnsi="Arial"/>
          <w:sz w:val="12"/>
          <w:szCs w:val="12"/>
          <w:color w:val="auto"/>
        </w:rPr>
        <w:t>materialize, actual results could differ materially from our expectations. Readers are, therefore, cautioned not to place undue reliance on any forward-looking statement. Any forward-looking statements speak only as of the date of this press release, and, except as required by law, we do not undertake to update any forward-looking statement to reflect new information, events or circumstances. There are a number of important factors that could cause our actual results to differ materially from those indicated by such forward-looking statements, including the availability of U.S. government funding for procurement of AV7909 and/or BioThrax or ACAM2000 and our other U.S. government procurement and development contracts; the timing of our submission of an application for and our ability to secure licensure of AV7909 from the FDA within the anticipated timeframe, if at all; our ability to perform under our contracts with the U.S. government, including the timing of and specifications relating to deliveries; whether we will realize the full benefit of our investments in additional manufacturing and quality control systems; our ability to meet our commitments to continued quality and manufacturing compliance at our manufacturing facilities and the potential impact on our ability to continue production of bulk drug substance for Johnson &amp; Johnson’s COVID-19 vaccine; our ability to provide CDMO services for the development and/or manufacture of product candidates of our customers at required levels and on required timelines; our ability and the ability of our contractors and suppliers to maintain compliance with current good manufacturing practices and other regulatory obligations; our ability to obtain and maintain regulatory approvals for our product candidates and the timing of any such approvals; changes to U.S. government priorities for the SNS; our ability to negotiate additional U.S. government procurement or follow-on contracts for our public health threat products that have expired or will be expiring; the negotiation of further commitments or contracts related to the collaboration and deployment of capacity toward future commercial manufacturing under our CDMO contracts; our ability to develop a safe and effective treatment for COVID-19 and obtain EUA or approval of such treatment from the FDA; our ability to comply with the operating and financial covenants required by our senior secured credit facilities and our 3.875% Senior Unsecured Notes due 2028; the procurement of products by U.S. government entities under regulatory exemptions prior to approval by the FDA and corresponding procurement by government entities outside of the United States under regulatory exemptions prior to approval by the corresponding regulatory authorities in the applicable country; the full impact of COVID-19 disease on our markets, operations and employees as well as those of our customers and suppliers; the impact on our revenues from and duration of declines in sales of our vaccine products that target travelers due to the reduction of international travel caused by the COVID-19 pandemic; our ability to identify and acquire companies, businesses, products or product candidates that satisfy our selection criteria; the success of our commercialization, marketing and manufacturing capabilities and strategy; and the accuracy of our estimates regarding future revenues, expenses, capital requirements and needs for additional financing. The foregoing sets forth many, but not all, of the factors that could cause actual results to differ from our expectations in any forward-looking statement. The reader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280"/>
          </w:cols>
          <w:pgMar w:left="300" w:top="1426" w:right="31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203" w:lineRule="auto"/>
        <w:rPr>
          <w:sz w:val="20"/>
          <w:szCs w:val="20"/>
          <w:color w:val="auto"/>
        </w:rPr>
      </w:pPr>
      <w:r>
        <w:rPr>
          <w:rFonts w:ascii="Arial" w:cs="Arial" w:eastAsia="Arial" w:hAnsi="Arial"/>
          <w:sz w:val="12"/>
          <w:szCs w:val="12"/>
          <w:color w:val="auto"/>
        </w:rPr>
        <w:t>Robert Burrows</w:t>
      </w:r>
    </w:p>
    <w:p>
      <w:pPr>
        <w:spacing w:after="0" w:line="222" w:lineRule="auto"/>
        <w:rPr>
          <w:sz w:val="20"/>
          <w:szCs w:val="20"/>
          <w:color w:val="auto"/>
        </w:rPr>
      </w:pPr>
      <w:r>
        <w:rPr>
          <w:rFonts w:ascii="Arial" w:cs="Arial" w:eastAsia="Arial" w:hAnsi="Arial"/>
          <w:sz w:val="11"/>
          <w:szCs w:val="11"/>
          <w:color w:val="auto"/>
        </w:rPr>
        <w:t>Vice President, Investor Relations</w:t>
      </w:r>
    </w:p>
    <w:p>
      <w:pPr>
        <w:spacing w:after="0" w:line="203" w:lineRule="auto"/>
        <w:rPr>
          <w:sz w:val="20"/>
          <w:szCs w:val="20"/>
          <w:color w:val="auto"/>
        </w:rPr>
      </w:pPr>
      <w:r>
        <w:rPr>
          <w:rFonts w:ascii="Arial" w:cs="Arial" w:eastAsia="Arial" w:hAnsi="Arial"/>
          <w:sz w:val="12"/>
          <w:szCs w:val="12"/>
          <w:color w:val="auto"/>
        </w:rPr>
        <w:t>burrowsr@ebsi.com</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(240) 413-1917</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203" w:lineRule="auto"/>
        <w:rPr>
          <w:sz w:val="20"/>
          <w:szCs w:val="20"/>
          <w:color w:val="auto"/>
        </w:rPr>
      </w:pPr>
      <w:r>
        <w:rPr>
          <w:rFonts w:ascii="Arial" w:cs="Arial" w:eastAsia="Arial" w:hAnsi="Arial"/>
          <w:sz w:val="12"/>
          <w:szCs w:val="12"/>
          <w:color w:val="auto"/>
        </w:rPr>
        <w:t>Matt Hartwig</w:t>
      </w:r>
    </w:p>
    <w:p>
      <w:pPr>
        <w:spacing w:after="0" w:line="222" w:lineRule="auto"/>
        <w:rPr>
          <w:sz w:val="20"/>
          <w:szCs w:val="20"/>
          <w:color w:val="auto"/>
        </w:rPr>
      </w:pPr>
      <w:r>
        <w:rPr>
          <w:rFonts w:ascii="Arial" w:cs="Arial" w:eastAsia="Arial" w:hAnsi="Arial"/>
          <w:sz w:val="11"/>
          <w:szCs w:val="11"/>
          <w:color w:val="auto"/>
        </w:rPr>
        <w:t>Senior Director, Media Relations</w:t>
      </w:r>
    </w:p>
    <w:p>
      <w:pPr>
        <w:spacing w:after="0" w:line="203" w:lineRule="auto"/>
        <w:rPr>
          <w:sz w:val="20"/>
          <w:szCs w:val="20"/>
          <w:color w:val="auto"/>
        </w:rPr>
      </w:pPr>
      <w:r>
        <w:rPr>
          <w:rFonts w:ascii="Arial" w:cs="Arial" w:eastAsia="Arial" w:hAnsi="Arial"/>
          <w:sz w:val="12"/>
          <w:szCs w:val="12"/>
          <w:color w:val="auto"/>
        </w:rPr>
        <w:t>hartwigm@ebsi.com</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(240) 760-0551</w:t>
      </w:r>
    </w:p>
    <w:p>
      <w:pPr>
        <w:spacing w:after="0" w:line="200" w:lineRule="exact"/>
        <w:rPr>
          <w:sz w:val="20"/>
          <w:szCs w:val="20"/>
          <w:color w:val="auto"/>
        </w:rPr>
      </w:pPr>
    </w:p>
    <w:p>
      <w:pPr>
        <w:sectPr>
          <w:pgSz w:w="11900" w:h="16838" w:orient="portrait"/>
          <w:cols w:equalWidth="0" w:num="2">
            <w:col w:w="4940" w:space="720"/>
            <w:col w:w="5620"/>
          </w:cols>
          <w:pgMar w:left="300" w:top="1426" w:right="31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 of 16</w:t>
      </w:r>
    </w:p>
    <w:p>
      <w:pPr>
        <w:sectPr>
          <w:pgSz w:w="11900" w:h="16838" w:orient="portrait"/>
          <w:cols w:equalWidth="0" w:num="1">
            <w:col w:w="11280"/>
          </w:cols>
          <w:pgMar w:left="300" w:top="1426" w:right="31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10"/>
          <w:szCs w:val="10"/>
          <w:b w:val="1"/>
          <w:bCs w:val="1"/>
          <w:color w:val="auto"/>
        </w:rPr>
        <w:t>Emergent BioSolutions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Condensed Consolidated Balance Sheets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(unaudited, in millions,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640" w:type="dxa"/>
            <w:vAlign w:val="bottom"/>
          </w:tcPr>
          <w:p>
            <w:pPr>
              <w:jc w:val="right"/>
              <w:ind w:right="92"/>
              <w:spacing w:after="0"/>
              <w:rPr>
                <w:sz w:val="20"/>
                <w:szCs w:val="20"/>
                <w:color w:val="auto"/>
              </w:rPr>
            </w:pPr>
            <w:r>
              <w:rPr>
                <w:rFonts w:ascii="Arial" w:cs="Arial" w:eastAsia="Arial" w:hAnsi="Arial"/>
                <w:sz w:val="10"/>
                <w:szCs w:val="10"/>
                <w:color w:val="auto"/>
              </w:rPr>
              <w:t>September 30, 2021</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ind w:right="612"/>
              <w:spacing w:after="0"/>
              <w:rPr>
                <w:sz w:val="20"/>
                <w:szCs w:val="20"/>
                <w:color w:val="auto"/>
              </w:rPr>
            </w:pPr>
            <w:r>
              <w:rPr>
                <w:rFonts w:ascii="Arial" w:cs="Arial" w:eastAsia="Arial" w:hAnsi="Arial"/>
                <w:sz w:val="10"/>
                <w:szCs w:val="10"/>
                <w:color w:val="auto"/>
              </w:rPr>
              <w:t>December 31, 2020</w:t>
            </w: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ASSETS</w:t>
            </w:r>
          </w:p>
        </w:tc>
        <w:tc>
          <w:tcPr>
            <w:tcW w:w="1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Current assets:</w:t>
            </w:r>
          </w:p>
        </w:tc>
        <w:tc>
          <w:tcPr>
            <w:tcW w:w="1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Cash and cash equivalents</w:t>
            </w:r>
          </w:p>
        </w:tc>
        <w:tc>
          <w:tcPr>
            <w:tcW w:w="1640" w:type="dxa"/>
            <w:vAlign w:val="bottom"/>
          </w:tcPr>
          <w:p>
            <w:pPr>
              <w:jc w:val="right"/>
              <w:ind w:right="153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403.8</w:t>
            </w:r>
          </w:p>
        </w:tc>
        <w:tc>
          <w:tcPr>
            <w:tcW w:w="80" w:type="dxa"/>
            <w:vAlign w:val="bottom"/>
          </w:tcPr>
          <w:p>
            <w:pPr>
              <w:spacing w:after="0"/>
              <w:rPr>
                <w:sz w:val="10"/>
                <w:szCs w:val="10"/>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spacing w:after="0"/>
              <w:rPr>
                <w:sz w:val="20"/>
                <w:szCs w:val="20"/>
                <w:color w:val="auto"/>
              </w:rPr>
            </w:pPr>
            <w:r>
              <w:rPr>
                <w:rFonts w:ascii="Arial" w:cs="Arial" w:eastAsia="Arial" w:hAnsi="Arial"/>
                <w:sz w:val="10"/>
                <w:szCs w:val="10"/>
                <w:color w:val="auto"/>
              </w:rPr>
              <w:t>621.3</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Restricted cash</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0.2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Accounts receivable, net</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254.6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230.9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Inventories, net</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364.6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307.0</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Prepaid expenses and other current assets</w:t>
            </w:r>
          </w:p>
        </w:tc>
        <w:tc>
          <w:tcPr>
            <w:tcW w:w="16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88.3</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36.5</w:t>
            </w:r>
          </w:p>
        </w:tc>
      </w:tr>
      <w:tr>
        <w:trPr>
          <w:trHeight w:val="116"/>
        </w:trPr>
        <w:tc>
          <w:tcPr>
            <w:tcW w:w="6680" w:type="dxa"/>
            <w:vAlign w:val="bottom"/>
          </w:tcPr>
          <w:p>
            <w:pPr>
              <w:ind w:left="140"/>
              <w:spacing w:after="0"/>
              <w:rPr>
                <w:sz w:val="20"/>
                <w:szCs w:val="20"/>
                <w:color w:val="auto"/>
              </w:rPr>
            </w:pPr>
            <w:r>
              <w:rPr>
                <w:rFonts w:ascii="Arial" w:cs="Arial" w:eastAsia="Arial" w:hAnsi="Arial"/>
                <w:sz w:val="10"/>
                <w:szCs w:val="10"/>
                <w:color w:val="auto"/>
              </w:rPr>
              <w:t>Total current assets</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1,111.5</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1,195.9</w:t>
            </w:r>
          </w:p>
        </w:tc>
      </w:tr>
      <w:tr>
        <w:trPr>
          <w:trHeight w:val="270"/>
        </w:trPr>
        <w:tc>
          <w:tcPr>
            <w:tcW w:w="6680" w:type="dxa"/>
            <w:vAlign w:val="bottom"/>
          </w:tcPr>
          <w:p>
            <w:pPr>
              <w:ind w:left="80"/>
              <w:spacing w:after="0"/>
              <w:rPr>
                <w:sz w:val="20"/>
                <w:szCs w:val="20"/>
                <w:color w:val="auto"/>
              </w:rPr>
            </w:pPr>
            <w:r>
              <w:rPr>
                <w:rFonts w:ascii="Arial" w:cs="Arial" w:eastAsia="Arial" w:hAnsi="Arial"/>
                <w:sz w:val="10"/>
                <w:szCs w:val="10"/>
                <w:color w:val="auto"/>
              </w:rPr>
              <w:t>Property, plant and equipment, net</w:t>
            </w:r>
          </w:p>
        </w:tc>
        <w:tc>
          <w:tcPr>
            <w:tcW w:w="1640" w:type="dxa"/>
            <w:vAlign w:val="bottom"/>
          </w:tcPr>
          <w:p>
            <w:pPr>
              <w:spacing w:after="0"/>
              <w:rPr>
                <w:sz w:val="23"/>
                <w:szCs w:val="23"/>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768.7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644.1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Intangible assets, net</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618.6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663.1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Goodwill</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266.5</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266.7</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assets</w:t>
            </w:r>
          </w:p>
        </w:tc>
        <w:tc>
          <w:tcPr>
            <w:tcW w:w="16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102.2</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113.4</w:t>
            </w:r>
          </w:p>
        </w:tc>
      </w:tr>
      <w:tr>
        <w:trPr>
          <w:trHeight w:val="115"/>
        </w:trPr>
        <w:tc>
          <w:tcPr>
            <w:tcW w:w="6680" w:type="dxa"/>
            <w:vAlign w:val="bottom"/>
          </w:tcPr>
          <w:p>
            <w:pPr>
              <w:ind w:left="140"/>
              <w:spacing w:after="0"/>
              <w:rPr>
                <w:sz w:val="20"/>
                <w:szCs w:val="20"/>
                <w:color w:val="auto"/>
              </w:rPr>
            </w:pPr>
            <w:r>
              <w:rPr>
                <w:rFonts w:ascii="Arial" w:cs="Arial" w:eastAsia="Arial" w:hAnsi="Arial"/>
                <w:sz w:val="10"/>
                <w:szCs w:val="10"/>
                <w:color w:val="auto"/>
              </w:rPr>
              <w:t>Total assets</w:t>
            </w:r>
          </w:p>
        </w:tc>
        <w:tc>
          <w:tcPr>
            <w:tcW w:w="1640" w:type="dxa"/>
            <w:vAlign w:val="bottom"/>
            <w:tcBorders>
              <w:bottom w:val="single" w:sz="8" w:color="auto"/>
            </w:tcBorders>
          </w:tcPr>
          <w:p>
            <w:pPr>
              <w:jc w:val="right"/>
              <w:ind w:right="153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2,867.5</w:t>
            </w:r>
          </w:p>
        </w:tc>
        <w:tc>
          <w:tcPr>
            <w:tcW w:w="80" w:type="dxa"/>
            <w:vAlign w:val="bottom"/>
          </w:tcPr>
          <w:p>
            <w:pPr>
              <w:spacing w:after="0"/>
              <w:rPr>
                <w:sz w:val="10"/>
                <w:szCs w:val="10"/>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2,883.2</w:t>
            </w:r>
          </w:p>
        </w:tc>
      </w:tr>
      <w:tr>
        <w:trPr>
          <w:trHeight w:val="251"/>
        </w:trPr>
        <w:tc>
          <w:tcPr>
            <w:tcW w:w="6680" w:type="dxa"/>
            <w:vAlign w:val="bottom"/>
          </w:tcPr>
          <w:p>
            <w:pPr>
              <w:spacing w:after="0"/>
              <w:rPr>
                <w:sz w:val="20"/>
                <w:szCs w:val="20"/>
                <w:color w:val="auto"/>
              </w:rPr>
            </w:pPr>
            <w:r>
              <w:rPr>
                <w:rFonts w:ascii="Arial" w:cs="Arial" w:eastAsia="Arial" w:hAnsi="Arial"/>
                <w:sz w:val="10"/>
                <w:szCs w:val="10"/>
                <w:color w:val="auto"/>
              </w:rPr>
              <w:t>LIABILITIES AND STOCKHOLDERS' EQUITY</w:t>
            </w:r>
          </w:p>
        </w:tc>
        <w:tc>
          <w:tcPr>
            <w:tcW w:w="1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Current liabilities:</w:t>
            </w:r>
          </w:p>
        </w:tc>
        <w:tc>
          <w:tcPr>
            <w:tcW w:w="1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Accounts payable</w:t>
            </w:r>
          </w:p>
        </w:tc>
        <w:tc>
          <w:tcPr>
            <w:tcW w:w="1640" w:type="dxa"/>
            <w:vAlign w:val="bottom"/>
          </w:tcPr>
          <w:p>
            <w:pPr>
              <w:jc w:val="right"/>
              <w:ind w:right="153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135.2</w:t>
            </w:r>
          </w:p>
        </w:tc>
        <w:tc>
          <w:tcPr>
            <w:tcW w:w="80" w:type="dxa"/>
            <w:vAlign w:val="bottom"/>
          </w:tcPr>
          <w:p>
            <w:pPr>
              <w:spacing w:after="0"/>
              <w:rPr>
                <w:sz w:val="10"/>
                <w:szCs w:val="10"/>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spacing w:after="0"/>
              <w:rPr>
                <w:sz w:val="20"/>
                <w:szCs w:val="20"/>
                <w:color w:val="auto"/>
              </w:rPr>
            </w:pPr>
            <w:r>
              <w:rPr>
                <w:rFonts w:ascii="Arial" w:cs="Arial" w:eastAsia="Arial" w:hAnsi="Arial"/>
                <w:sz w:val="10"/>
                <w:szCs w:val="10"/>
                <w:color w:val="auto"/>
              </w:rPr>
              <w:t>136.1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Accrued expenses</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42.9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46.9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Accrued compensation</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73.4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84.6</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Debt, current portion</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31.6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33.8</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current liabilities</w:t>
            </w:r>
          </w:p>
        </w:tc>
        <w:tc>
          <w:tcPr>
            <w:tcW w:w="16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82.3</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83.1</w:t>
            </w:r>
          </w:p>
        </w:tc>
      </w:tr>
      <w:tr>
        <w:trPr>
          <w:trHeight w:val="116"/>
        </w:trPr>
        <w:tc>
          <w:tcPr>
            <w:tcW w:w="6680" w:type="dxa"/>
            <w:vAlign w:val="bottom"/>
          </w:tcPr>
          <w:p>
            <w:pPr>
              <w:ind w:left="140"/>
              <w:spacing w:after="0"/>
              <w:rPr>
                <w:sz w:val="20"/>
                <w:szCs w:val="20"/>
                <w:color w:val="auto"/>
              </w:rPr>
            </w:pPr>
            <w:r>
              <w:rPr>
                <w:rFonts w:ascii="Arial" w:cs="Arial" w:eastAsia="Arial" w:hAnsi="Arial"/>
                <w:sz w:val="10"/>
                <w:szCs w:val="10"/>
                <w:color w:val="auto"/>
              </w:rPr>
              <w:t>Total current liabilities</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365.4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384.5</w:t>
            </w:r>
          </w:p>
        </w:tc>
      </w:tr>
      <w:tr>
        <w:trPr>
          <w:trHeight w:val="270"/>
        </w:trPr>
        <w:tc>
          <w:tcPr>
            <w:tcW w:w="6680" w:type="dxa"/>
            <w:vAlign w:val="bottom"/>
          </w:tcPr>
          <w:p>
            <w:pPr>
              <w:ind w:left="80"/>
              <w:spacing w:after="0"/>
              <w:rPr>
                <w:sz w:val="20"/>
                <w:szCs w:val="20"/>
                <w:color w:val="auto"/>
              </w:rPr>
            </w:pPr>
            <w:r>
              <w:rPr>
                <w:rFonts w:ascii="Arial" w:cs="Arial" w:eastAsia="Arial" w:hAnsi="Arial"/>
                <w:sz w:val="10"/>
                <w:szCs w:val="10"/>
                <w:color w:val="auto"/>
              </w:rPr>
              <w:t>Contingent consideration, net of current portion</w:t>
            </w:r>
          </w:p>
        </w:tc>
        <w:tc>
          <w:tcPr>
            <w:tcW w:w="1640" w:type="dxa"/>
            <w:vAlign w:val="bottom"/>
          </w:tcPr>
          <w:p>
            <w:pPr>
              <w:spacing w:after="0"/>
              <w:rPr>
                <w:sz w:val="23"/>
                <w:szCs w:val="23"/>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5.1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34.2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Debt, net of current portion</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817.3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841.0</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Deferred tax liability</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53.0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53.2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Contract liabilities, net of current portion</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45.3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55.5</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liabilities</w:t>
            </w:r>
          </w:p>
        </w:tc>
        <w:tc>
          <w:tcPr>
            <w:tcW w:w="16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58.7</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w:t>
            </w:r>
          </w:p>
        </w:tc>
      </w:tr>
      <w:tr>
        <w:trPr>
          <w:trHeight w:val="115"/>
        </w:trPr>
        <w:tc>
          <w:tcPr>
            <w:tcW w:w="6680" w:type="dxa"/>
            <w:vAlign w:val="bottom"/>
          </w:tcPr>
          <w:p>
            <w:pPr>
              <w:ind w:left="140"/>
              <w:spacing w:after="0"/>
              <w:rPr>
                <w:sz w:val="20"/>
                <w:szCs w:val="20"/>
                <w:color w:val="auto"/>
              </w:rPr>
            </w:pPr>
            <w:r>
              <w:rPr>
                <w:rFonts w:ascii="Arial" w:cs="Arial" w:eastAsia="Arial" w:hAnsi="Arial"/>
                <w:sz w:val="10"/>
                <w:szCs w:val="10"/>
                <w:color w:val="auto"/>
              </w:rPr>
              <w:t>Total liabilities</w:t>
            </w:r>
          </w:p>
        </w:tc>
        <w:tc>
          <w:tcPr>
            <w:tcW w:w="1640" w:type="dxa"/>
            <w:vAlign w:val="bottom"/>
            <w:tcBorders>
              <w:bottom w:val="single" w:sz="8" w:color="auto"/>
            </w:tcBorders>
          </w:tcPr>
          <w:p>
            <w:pPr>
              <w:jc w:val="right"/>
              <w:ind w:right="153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1,344.8</w:t>
            </w:r>
          </w:p>
        </w:tc>
        <w:tc>
          <w:tcPr>
            <w:tcW w:w="80" w:type="dxa"/>
            <w:vAlign w:val="bottom"/>
          </w:tcPr>
          <w:p>
            <w:pPr>
              <w:spacing w:after="0"/>
              <w:rPr>
                <w:sz w:val="10"/>
                <w:szCs w:val="10"/>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1,436.2</w:t>
            </w:r>
          </w:p>
        </w:tc>
      </w:tr>
      <w:tr>
        <w:trPr>
          <w:trHeight w:val="278"/>
        </w:trPr>
        <w:tc>
          <w:tcPr>
            <w:tcW w:w="6680" w:type="dxa"/>
            <w:vAlign w:val="bottom"/>
          </w:tcPr>
          <w:p>
            <w:pPr>
              <w:spacing w:after="0"/>
              <w:rPr>
                <w:sz w:val="20"/>
                <w:szCs w:val="20"/>
                <w:color w:val="auto"/>
              </w:rPr>
            </w:pPr>
            <w:r>
              <w:rPr>
                <w:rFonts w:ascii="Arial" w:cs="Arial" w:eastAsia="Arial" w:hAnsi="Arial"/>
                <w:sz w:val="10"/>
                <w:szCs w:val="10"/>
                <w:color w:val="auto"/>
              </w:rPr>
              <w:t>Stockholders' equity:</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Preferred stock, $0.001 par value; 15.0 shares authorized, no shares issued or outstanding</w:t>
            </w:r>
          </w:p>
        </w:tc>
        <w:tc>
          <w:tcPr>
            <w:tcW w:w="164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Common stock, $0.001 par value; 200.0 shares authorized, 54.9 and 54.2 shares issued; 53.7 and 53.0 shares outstanding, respectively</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0.1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Additional paid-in capital</w:t>
            </w:r>
          </w:p>
        </w:tc>
        <w:tc>
          <w:tcPr>
            <w:tcW w:w="164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816.8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784.9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Treasury stock, at cost, 1.2 common shares</w:t>
            </w:r>
          </w:p>
        </w:tc>
        <w:tc>
          <w:tcPr>
            <w:tcW w:w="16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(39.6)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(39.6)</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Accumulated other comprehensive loss, net</w:t>
            </w:r>
          </w:p>
        </w:tc>
        <w:tc>
          <w:tcPr>
            <w:tcW w:w="16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(23.1)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(25.3)</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6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768.5</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726.9</w:t>
            </w:r>
          </w:p>
        </w:tc>
      </w:tr>
      <w:tr>
        <w:trPr>
          <w:trHeight w:val="115"/>
        </w:trPr>
        <w:tc>
          <w:tcPr>
            <w:tcW w:w="668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6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1,522.7</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1,447.0</w:t>
            </w:r>
          </w:p>
        </w:tc>
      </w:tr>
      <w:tr>
        <w:trPr>
          <w:trHeight w:val="115"/>
        </w:trPr>
        <w:tc>
          <w:tcPr>
            <w:tcW w:w="6680" w:type="dxa"/>
            <w:vAlign w:val="bottom"/>
          </w:tcPr>
          <w:p>
            <w:pPr>
              <w:ind w:left="220"/>
              <w:spacing w:after="0"/>
              <w:rPr>
                <w:sz w:val="20"/>
                <w:szCs w:val="20"/>
                <w:color w:val="auto"/>
              </w:rPr>
            </w:pPr>
            <w:r>
              <w:rPr>
                <w:rFonts w:ascii="Arial" w:cs="Arial" w:eastAsia="Arial" w:hAnsi="Arial"/>
                <w:sz w:val="10"/>
                <w:szCs w:val="10"/>
                <w:color w:val="auto"/>
              </w:rPr>
              <w:t>Total liabilities and stockholders' equity</w:t>
            </w:r>
          </w:p>
        </w:tc>
        <w:tc>
          <w:tcPr>
            <w:tcW w:w="1640" w:type="dxa"/>
            <w:vAlign w:val="bottom"/>
            <w:tcBorders>
              <w:bottom w:val="single" w:sz="8" w:color="auto"/>
            </w:tcBorders>
          </w:tcPr>
          <w:p>
            <w:pPr>
              <w:jc w:val="right"/>
              <w:ind w:right="153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2,867.5</w:t>
            </w:r>
          </w:p>
        </w:tc>
        <w:tc>
          <w:tcPr>
            <w:tcW w:w="80" w:type="dxa"/>
            <w:vAlign w:val="bottom"/>
          </w:tcPr>
          <w:p>
            <w:pPr>
              <w:spacing w:after="0"/>
              <w:rPr>
                <w:sz w:val="10"/>
                <w:szCs w:val="10"/>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2,883.2</w:t>
            </w:r>
          </w:p>
        </w:tc>
      </w:tr>
      <w:tr>
        <w:trPr>
          <w:trHeight w:val="20"/>
        </w:trPr>
        <w:tc>
          <w:tcPr>
            <w:tcW w:w="6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9 of 16</w:t>
      </w:r>
    </w:p>
    <w:p>
      <w:pPr>
        <w:sectPr>
          <w:pgSz w:w="11900" w:h="16838" w:orient="portrait"/>
          <w:cols w:equalWidth="0" w:num="1">
            <w:col w:w="11100"/>
          </w:cols>
          <w:pgMar w:left="400" w:top="671" w:right="399" w:bottom="1440" w:gutter="0" w:footer="0" w:header="0"/>
        </w:sectPr>
      </w:pPr>
    </w:p>
    <w:bookmarkStart w:id="11" w:name="page12"/>
    <w:bookmarkEnd w:id="11"/>
    <w:p>
      <w:pPr>
        <w:jc w:val="center"/>
        <w:spacing w:after="0"/>
        <w:rPr>
          <w:sz w:val="20"/>
          <w:szCs w:val="20"/>
          <w:color w:val="auto"/>
        </w:rPr>
      </w:pPr>
      <w:r>
        <w:rPr>
          <w:rFonts w:ascii="Arial" w:cs="Arial" w:eastAsia="Arial" w:hAnsi="Arial"/>
          <w:sz w:val="10"/>
          <w:szCs w:val="10"/>
          <w:b w:val="1"/>
          <w:bCs w:val="1"/>
          <w:color w:val="auto"/>
        </w:rPr>
        <w:t>Emergent BioSolutions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(unaudited,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60" w:type="dxa"/>
            <w:vAlign w:val="bottom"/>
            <w:gridSpan w:val="2"/>
          </w:tcPr>
          <w:p>
            <w:pPr>
              <w:jc w:val="right"/>
              <w:spacing w:after="0"/>
              <w:rPr>
                <w:sz w:val="20"/>
                <w:szCs w:val="20"/>
                <w:color w:val="auto"/>
              </w:rPr>
            </w:pPr>
            <w:r>
              <w:rPr>
                <w:rFonts w:ascii="Arial" w:cs="Arial" w:eastAsia="Arial" w:hAnsi="Arial"/>
                <w:sz w:val="10"/>
                <w:szCs w:val="10"/>
                <w:b w:val="1"/>
                <w:bCs w:val="1"/>
                <w:color w:val="auto"/>
                <w:w w:val="95"/>
              </w:rPr>
              <w:t>Three Months Ended September 30,</w:t>
            </w: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40" w:type="dxa"/>
            <w:vAlign w:val="bottom"/>
            <w:gridSpan w:val="2"/>
          </w:tcPr>
          <w:p>
            <w:pPr>
              <w:jc w:val="center"/>
              <w:ind w:left="932"/>
              <w:spacing w:after="0"/>
              <w:rPr>
                <w:sz w:val="20"/>
                <w:szCs w:val="20"/>
                <w:color w:val="auto"/>
              </w:rPr>
            </w:pPr>
            <w:r>
              <w:rPr>
                <w:rFonts w:ascii="Arial" w:cs="Arial" w:eastAsia="Arial" w:hAnsi="Arial"/>
                <w:sz w:val="10"/>
                <w:szCs w:val="10"/>
                <w:b w:val="1"/>
                <w:bCs w:val="1"/>
                <w:color w:val="auto"/>
                <w:w w:val="96"/>
              </w:rPr>
              <w:t>Nine Months Ended September 30,</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40" w:type="dxa"/>
            <w:vAlign w:val="bottom"/>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8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Pr>
          <w:p>
            <w:pPr>
              <w:spacing w:after="0"/>
              <w:rPr>
                <w:sz w:val="10"/>
                <w:szCs w:val="10"/>
                <w:color w:val="auto"/>
              </w:rPr>
            </w:pPr>
          </w:p>
        </w:tc>
        <w:tc>
          <w:tcPr>
            <w:tcW w:w="17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rPr>
              <w:t>2021</w:t>
            </w:r>
          </w:p>
        </w:tc>
        <w:tc>
          <w:tcPr>
            <w:tcW w:w="9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251"/>
        </w:trPr>
        <w:tc>
          <w:tcPr>
            <w:tcW w:w="3640" w:type="dxa"/>
            <w:vAlign w:val="bottom"/>
          </w:tcPr>
          <w:p>
            <w:pPr>
              <w:spacing w:after="0"/>
              <w:rPr>
                <w:sz w:val="20"/>
                <w:szCs w:val="20"/>
                <w:color w:val="auto"/>
              </w:rPr>
            </w:pPr>
            <w:r>
              <w:rPr>
                <w:rFonts w:ascii="Arial" w:cs="Arial" w:eastAsia="Arial" w:hAnsi="Arial"/>
                <w:sz w:val="10"/>
                <w:szCs w:val="10"/>
                <w:color w:val="auto"/>
              </w:rPr>
              <w:t>Revenues:</w:t>
            </w: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Product sales, net</w:t>
            </w:r>
          </w:p>
        </w:tc>
        <w:tc>
          <w:tcPr>
            <w:tcW w:w="1080" w:type="dxa"/>
            <w:vAlign w:val="bottom"/>
          </w:tcPr>
          <w:p>
            <w:pPr>
              <w:jc w:val="right"/>
              <w:ind w:right="89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270.5</w:t>
            </w:r>
          </w:p>
        </w:tc>
        <w:tc>
          <w:tcPr>
            <w:tcW w:w="800" w:type="dxa"/>
            <w:vAlign w:val="bottom"/>
          </w:tcPr>
          <w:p>
            <w:pPr>
              <w:jc w:val="right"/>
              <w:ind w:right="65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202.2</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740" w:type="dxa"/>
            <w:vAlign w:val="bottom"/>
          </w:tcPr>
          <w:p>
            <w:pPr>
              <w:jc w:val="right"/>
              <w:spacing w:after="0"/>
              <w:rPr>
                <w:sz w:val="20"/>
                <w:szCs w:val="20"/>
                <w:color w:val="auto"/>
              </w:rPr>
            </w:pPr>
            <w:r>
              <w:rPr>
                <w:rFonts w:ascii="Arial" w:cs="Arial" w:eastAsia="Arial" w:hAnsi="Arial"/>
                <w:sz w:val="10"/>
                <w:szCs w:val="10"/>
                <w:color w:val="auto"/>
              </w:rPr>
              <w:t>589.6</w:t>
            </w:r>
          </w:p>
        </w:tc>
        <w:tc>
          <w:tcPr>
            <w:tcW w:w="900" w:type="dxa"/>
            <w:vAlign w:val="bottom"/>
          </w:tcPr>
          <w:p>
            <w:pPr>
              <w:jc w:val="center"/>
              <w:ind w:right="712"/>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648.9</w:t>
            </w: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Contract development and manufacturing:</w:t>
            </w: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Services</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112.6</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53.1</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283.7</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102.7</w:t>
            </w:r>
          </w:p>
        </w:tc>
        <w:tc>
          <w:tcPr>
            <w:tcW w:w="0" w:type="dxa"/>
            <w:vAlign w:val="bottom"/>
          </w:tcPr>
          <w:p>
            <w:pPr>
              <w:spacing w:after="0"/>
              <w:rPr>
                <w:sz w:val="1"/>
                <w:szCs w:val="1"/>
                <w:color w:val="auto"/>
              </w:rPr>
            </w:pPr>
          </w:p>
        </w:tc>
      </w:tr>
      <w:tr>
        <w:trPr>
          <w:trHeight w:val="125"/>
        </w:trPr>
        <w:tc>
          <w:tcPr>
            <w:tcW w:w="3640" w:type="dxa"/>
            <w:vAlign w:val="bottom"/>
          </w:tcPr>
          <w:p>
            <w:pPr>
              <w:ind w:left="80"/>
              <w:spacing w:after="0"/>
              <w:rPr>
                <w:sz w:val="20"/>
                <w:szCs w:val="20"/>
                <w:color w:val="auto"/>
              </w:rPr>
            </w:pPr>
            <w:r>
              <w:rPr>
                <w:rFonts w:ascii="Arial" w:cs="Arial" w:eastAsia="Arial" w:hAnsi="Arial"/>
                <w:sz w:val="10"/>
                <w:szCs w:val="10"/>
                <w:color w:val="auto"/>
              </w:rPr>
              <w:t>Leases</w:t>
            </w:r>
          </w:p>
        </w:tc>
        <w:tc>
          <w:tcPr>
            <w:tcW w:w="10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(71.0)</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104.0</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132.6</w:t>
            </w:r>
          </w:p>
        </w:tc>
        <w:tc>
          <w:tcPr>
            <w:tcW w:w="9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148.7</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20"/>
                <w:szCs w:val="20"/>
                <w:color w:val="auto"/>
              </w:rPr>
            </w:pPr>
            <w:r>
              <w:rPr>
                <w:rFonts w:ascii="Arial" w:cs="Arial" w:eastAsia="Arial" w:hAnsi="Arial"/>
                <w:sz w:val="10"/>
                <w:szCs w:val="10"/>
                <w:color w:val="auto"/>
              </w:rPr>
              <w:t>Total contract development and manufacturing</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41.6</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157.1</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416.3</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251.4</w:t>
            </w:r>
          </w:p>
        </w:tc>
        <w:tc>
          <w:tcPr>
            <w:tcW w:w="0" w:type="dxa"/>
            <w:vAlign w:val="bottom"/>
          </w:tcPr>
          <w:p>
            <w:pPr>
              <w:spacing w:after="0"/>
              <w:rPr>
                <w:sz w:val="1"/>
                <w:szCs w:val="1"/>
                <w:color w:val="auto"/>
              </w:rPr>
            </w:pPr>
          </w:p>
        </w:tc>
      </w:tr>
      <w:tr>
        <w:trPr>
          <w:trHeight w:val="125"/>
        </w:trPr>
        <w:tc>
          <w:tcPr>
            <w:tcW w:w="3640" w:type="dxa"/>
            <w:vAlign w:val="bottom"/>
          </w:tcPr>
          <w:p>
            <w:pPr>
              <w:spacing w:after="0"/>
              <w:rPr>
                <w:sz w:val="20"/>
                <w:szCs w:val="20"/>
                <w:color w:val="auto"/>
              </w:rPr>
            </w:pPr>
            <w:r>
              <w:rPr>
                <w:rFonts w:ascii="Arial" w:cs="Arial" w:eastAsia="Arial" w:hAnsi="Arial"/>
                <w:sz w:val="10"/>
                <w:szCs w:val="10"/>
                <w:color w:val="auto"/>
              </w:rPr>
              <w:t>Contracts and grants</w:t>
            </w:r>
          </w:p>
        </w:tc>
        <w:tc>
          <w:tcPr>
            <w:tcW w:w="10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25.9</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63.6</w:t>
            </w:r>
          </w:p>
        </w:tc>
        <w:tc>
          <w:tcPr>
            <w:tcW w:w="9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72.1</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20"/>
                <w:szCs w:val="20"/>
                <w:color w:val="auto"/>
              </w:rPr>
            </w:pPr>
            <w:r>
              <w:rPr>
                <w:rFonts w:ascii="Arial" w:cs="Arial" w:eastAsia="Arial" w:hAnsi="Arial"/>
                <w:sz w:val="10"/>
                <w:szCs w:val="10"/>
                <w:color w:val="auto"/>
              </w:rPr>
              <w:t>Total revenues</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329.0</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385.2</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1,069.5</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972.4</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Operating expenses:</w:t>
            </w: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Cost of product sales</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103.2</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120.2</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237.0</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287.6</w:t>
            </w: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Cost of contract development and manufacturing</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114.3</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28.8</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307.6</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68.1</w:t>
            </w: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Research and development</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49.6</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84.4</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151.0</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175.0</w:t>
            </w: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Selling, general and administrative</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82.1</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75.5</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254.2</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221.2</w:t>
            </w:r>
          </w:p>
        </w:tc>
        <w:tc>
          <w:tcPr>
            <w:tcW w:w="0" w:type="dxa"/>
            <w:vAlign w:val="bottom"/>
          </w:tcPr>
          <w:p>
            <w:pPr>
              <w:spacing w:after="0"/>
              <w:rPr>
                <w:sz w:val="1"/>
                <w:szCs w:val="1"/>
                <w:color w:val="auto"/>
              </w:rPr>
            </w:pPr>
          </w:p>
        </w:tc>
      </w:tr>
      <w:tr>
        <w:trPr>
          <w:trHeight w:val="125"/>
        </w:trPr>
        <w:tc>
          <w:tcPr>
            <w:tcW w:w="3640" w:type="dxa"/>
            <w:vAlign w:val="bottom"/>
          </w:tcPr>
          <w:p>
            <w:pPr>
              <w:spacing w:after="0"/>
              <w:rPr>
                <w:sz w:val="20"/>
                <w:szCs w:val="20"/>
                <w:color w:val="auto"/>
              </w:rPr>
            </w:pPr>
            <w:r>
              <w:rPr>
                <w:rFonts w:ascii="Arial" w:cs="Arial" w:eastAsia="Arial" w:hAnsi="Arial"/>
                <w:sz w:val="10"/>
                <w:szCs w:val="10"/>
                <w:color w:val="auto"/>
              </w:rPr>
              <w:t>Amortization of intangible assets</w:t>
            </w:r>
          </w:p>
        </w:tc>
        <w:tc>
          <w:tcPr>
            <w:tcW w:w="10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44.5</w:t>
            </w:r>
          </w:p>
        </w:tc>
        <w:tc>
          <w:tcPr>
            <w:tcW w:w="9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44.8</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20"/>
                <w:szCs w:val="20"/>
                <w:color w:val="auto"/>
              </w:rPr>
            </w:pPr>
            <w:r>
              <w:rPr>
                <w:rFonts w:ascii="Arial" w:cs="Arial" w:eastAsia="Arial" w:hAnsi="Arial"/>
                <w:sz w:val="10"/>
                <w:szCs w:val="10"/>
                <w:color w:val="auto"/>
              </w:rPr>
              <w:t>Total operating expenses</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363.7</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323.9</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994.3</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796.7</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Income (loss) from operations</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(34.7)</w:t>
            </w:r>
          </w:p>
        </w:tc>
        <w:tc>
          <w:tcPr>
            <w:tcW w:w="8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61.3</w:t>
            </w: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75.2</w:t>
            </w:r>
          </w:p>
        </w:tc>
        <w:tc>
          <w:tcPr>
            <w:tcW w:w="9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175.7</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Other income (expense):</w:t>
            </w: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Interest expense</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(8.4)</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(7.6)</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(25.5)</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(22.6)</w:t>
            </w:r>
          </w:p>
        </w:tc>
        <w:tc>
          <w:tcPr>
            <w:tcW w:w="0" w:type="dxa"/>
            <w:vAlign w:val="bottom"/>
          </w:tcPr>
          <w:p>
            <w:pPr>
              <w:spacing w:after="0"/>
              <w:rPr>
                <w:sz w:val="1"/>
                <w:szCs w:val="1"/>
                <w:color w:val="auto"/>
              </w:rPr>
            </w:pPr>
          </w:p>
        </w:tc>
      </w:tr>
      <w:tr>
        <w:trPr>
          <w:trHeight w:val="125"/>
        </w:trPr>
        <w:tc>
          <w:tcPr>
            <w:tcW w:w="3640" w:type="dxa"/>
            <w:vAlign w:val="bottom"/>
          </w:tcPr>
          <w:p>
            <w:pPr>
              <w:spacing w:after="0"/>
              <w:rPr>
                <w:sz w:val="20"/>
                <w:szCs w:val="20"/>
                <w:color w:val="auto"/>
              </w:rPr>
            </w:pPr>
            <w:r>
              <w:rPr>
                <w:rFonts w:ascii="Arial" w:cs="Arial" w:eastAsia="Arial" w:hAnsi="Arial"/>
                <w:sz w:val="10"/>
                <w:szCs w:val="10"/>
                <w:color w:val="auto"/>
              </w:rPr>
              <w:t>Other, net</w:t>
            </w:r>
          </w:p>
        </w:tc>
        <w:tc>
          <w:tcPr>
            <w:tcW w:w="10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9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20"/>
                <w:szCs w:val="20"/>
                <w:color w:val="auto"/>
              </w:rPr>
            </w:pPr>
            <w:r>
              <w:rPr>
                <w:rFonts w:ascii="Arial" w:cs="Arial" w:eastAsia="Arial" w:hAnsi="Arial"/>
                <w:sz w:val="10"/>
                <w:szCs w:val="10"/>
                <w:color w:val="auto"/>
              </w:rPr>
              <w:t>Total other income (expense), net</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(10.8)</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(6.3)</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(28.3)</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(21.3)</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Income (loss) before income taxes</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(45.5)</w:t>
            </w:r>
          </w:p>
        </w:tc>
        <w:tc>
          <w:tcPr>
            <w:tcW w:w="8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55.0</w:t>
            </w: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46.9</w:t>
            </w:r>
          </w:p>
        </w:tc>
        <w:tc>
          <w:tcPr>
            <w:tcW w:w="9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154.4</w:t>
            </w:r>
          </w:p>
        </w:tc>
        <w:tc>
          <w:tcPr>
            <w:tcW w:w="0" w:type="dxa"/>
            <w:vAlign w:val="bottom"/>
          </w:tcPr>
          <w:p>
            <w:pPr>
              <w:spacing w:after="0"/>
              <w:rPr>
                <w:sz w:val="1"/>
                <w:szCs w:val="1"/>
                <w:color w:val="auto"/>
              </w:rPr>
            </w:pPr>
          </w:p>
        </w:tc>
      </w:tr>
      <w:tr>
        <w:trPr>
          <w:trHeight w:val="125"/>
        </w:trPr>
        <w:tc>
          <w:tcPr>
            <w:tcW w:w="3640" w:type="dxa"/>
            <w:vAlign w:val="bottom"/>
          </w:tcPr>
          <w:p>
            <w:pPr>
              <w:spacing w:after="0"/>
              <w:rPr>
                <w:sz w:val="20"/>
                <w:szCs w:val="20"/>
                <w:color w:val="auto"/>
              </w:rPr>
            </w:pPr>
            <w:r>
              <w:rPr>
                <w:rFonts w:ascii="Arial" w:cs="Arial" w:eastAsia="Arial" w:hAnsi="Arial"/>
                <w:sz w:val="10"/>
                <w:szCs w:val="10"/>
                <w:color w:val="auto"/>
              </w:rPr>
              <w:t>Income taxes</w:t>
            </w:r>
          </w:p>
        </w:tc>
        <w:tc>
          <w:tcPr>
            <w:tcW w:w="10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9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(34.7)</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20"/>
                <w:szCs w:val="20"/>
                <w:color w:val="auto"/>
              </w:rPr>
            </w:pPr>
            <w:r>
              <w:rPr>
                <w:rFonts w:ascii="Arial" w:cs="Arial" w:eastAsia="Arial" w:hAnsi="Arial"/>
                <w:sz w:val="10"/>
                <w:szCs w:val="10"/>
                <w:color w:val="auto"/>
              </w:rPr>
              <w:t>Net income (loss)</w:t>
            </w:r>
          </w:p>
        </w:tc>
        <w:tc>
          <w:tcPr>
            <w:tcW w:w="1080" w:type="dxa"/>
            <w:vAlign w:val="bottom"/>
            <w:tcBorders>
              <w:bottom w:val="single" w:sz="8" w:color="auto"/>
            </w:tcBorders>
          </w:tcPr>
          <w:p>
            <w:pPr>
              <w:jc w:val="right"/>
              <w:ind w:right="8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(32.7)</w:t>
            </w:r>
          </w:p>
        </w:tc>
        <w:tc>
          <w:tcPr>
            <w:tcW w:w="80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39.5</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41.6</w:t>
            </w:r>
          </w:p>
        </w:tc>
        <w:tc>
          <w:tcPr>
            <w:tcW w:w="900" w:type="dxa"/>
            <w:vAlign w:val="bottom"/>
            <w:tcBorders>
              <w:bottom w:val="single" w:sz="8" w:color="auto"/>
            </w:tcBorders>
          </w:tcPr>
          <w:p>
            <w:pPr>
              <w:jc w:val="center"/>
              <w:ind w:right="71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119.7</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0"/>
                <w:szCs w:val="10"/>
                <w:color w:val="auto"/>
              </w:rPr>
              <w:t>Net (loss) income per common share*</w:t>
            </w: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Basic</w:t>
            </w:r>
          </w:p>
        </w:tc>
        <w:tc>
          <w:tcPr>
            <w:tcW w:w="1080" w:type="dxa"/>
            <w:vAlign w:val="bottom"/>
          </w:tcPr>
          <w:p>
            <w:pPr>
              <w:jc w:val="right"/>
              <w:ind w:right="89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(0.61)</w:t>
            </w:r>
          </w:p>
        </w:tc>
        <w:tc>
          <w:tcPr>
            <w:tcW w:w="800" w:type="dxa"/>
            <w:vAlign w:val="bottom"/>
          </w:tcPr>
          <w:p>
            <w:pPr>
              <w:jc w:val="right"/>
              <w:ind w:right="65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0.75</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740" w:type="dxa"/>
            <w:vAlign w:val="bottom"/>
          </w:tcPr>
          <w:p>
            <w:pPr>
              <w:jc w:val="right"/>
              <w:spacing w:after="0"/>
              <w:rPr>
                <w:sz w:val="20"/>
                <w:szCs w:val="20"/>
                <w:color w:val="auto"/>
              </w:rPr>
            </w:pPr>
            <w:r>
              <w:rPr>
                <w:rFonts w:ascii="Arial" w:cs="Arial" w:eastAsia="Arial" w:hAnsi="Arial"/>
                <w:sz w:val="10"/>
                <w:szCs w:val="10"/>
                <w:color w:val="auto"/>
              </w:rPr>
              <w:t>0.78</w:t>
            </w:r>
          </w:p>
        </w:tc>
        <w:tc>
          <w:tcPr>
            <w:tcW w:w="900" w:type="dxa"/>
            <w:vAlign w:val="bottom"/>
          </w:tcPr>
          <w:p>
            <w:pPr>
              <w:jc w:val="center"/>
              <w:ind w:right="712"/>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2.28</w:t>
            </w: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Diluted</w:t>
            </w:r>
          </w:p>
        </w:tc>
        <w:tc>
          <w:tcPr>
            <w:tcW w:w="1080" w:type="dxa"/>
            <w:vAlign w:val="bottom"/>
          </w:tcPr>
          <w:p>
            <w:pPr>
              <w:jc w:val="right"/>
              <w:ind w:right="89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(0.61)</w:t>
            </w:r>
          </w:p>
        </w:tc>
        <w:tc>
          <w:tcPr>
            <w:tcW w:w="800" w:type="dxa"/>
            <w:vAlign w:val="bottom"/>
          </w:tcPr>
          <w:p>
            <w:pPr>
              <w:jc w:val="right"/>
              <w:ind w:right="65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0.73</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740" w:type="dxa"/>
            <w:vAlign w:val="bottom"/>
          </w:tcPr>
          <w:p>
            <w:pPr>
              <w:jc w:val="right"/>
              <w:spacing w:after="0"/>
              <w:rPr>
                <w:sz w:val="20"/>
                <w:szCs w:val="20"/>
                <w:color w:val="auto"/>
              </w:rPr>
            </w:pPr>
            <w:r>
              <w:rPr>
                <w:rFonts w:ascii="Arial" w:cs="Arial" w:eastAsia="Arial" w:hAnsi="Arial"/>
                <w:sz w:val="10"/>
                <w:szCs w:val="10"/>
                <w:color w:val="auto"/>
              </w:rPr>
              <w:t>0.77</w:t>
            </w:r>
          </w:p>
        </w:tc>
        <w:tc>
          <w:tcPr>
            <w:tcW w:w="900" w:type="dxa"/>
            <w:vAlign w:val="bottom"/>
          </w:tcPr>
          <w:p>
            <w:pPr>
              <w:jc w:val="center"/>
              <w:ind w:right="712"/>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2.23</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Shares used in computing income (loss) per share</w:t>
            </w: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Basic</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53.7</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53.0</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53.6</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52.5</w:t>
            </w: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Diluted</w:t>
            </w:r>
          </w:p>
        </w:tc>
        <w:tc>
          <w:tcPr>
            <w:tcW w:w="10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53.7</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54.3</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54.3</w:t>
            </w:r>
          </w:p>
        </w:tc>
        <w:tc>
          <w:tcPr>
            <w:tcW w:w="9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53.6</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 Any differences in the calculation of net income per common share is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 of 16</w:t>
      </w:r>
    </w:p>
    <w:p>
      <w:pPr>
        <w:sectPr>
          <w:pgSz w:w="11900" w:h="16838" w:orient="portrait"/>
          <w:cols w:equalWidth="0" w:num="1">
            <w:col w:w="11280"/>
          </w:cols>
          <w:pgMar w:left="300" w:top="671" w:right="31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0"/>
          <w:szCs w:val="10"/>
          <w:color w:val="auto"/>
        </w:rPr>
        <w:t>Cash flows (used in) provided by operating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Net income</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8"/>
          <w:szCs w:val="8"/>
          <w:color w:val="auto"/>
        </w:rPr>
        <w:t>Adjustments to reconcile net income to net cash (used in) provided by operating activities:</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0"/>
          <w:szCs w:val="10"/>
          <w:color w:val="auto"/>
        </w:rPr>
        <w:t>Share-based compensation expense</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Depreciation and amortization</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Adjustment for prior period lease receivables (Note 10)</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Change in fair value of contingent consideration, net</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Amortization of deferred financing costs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Deferred income taxes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Impairment of IPR&amp;D</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Other</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Changes in operating assets and liabilities: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Accounts receivable</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Inventories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Prepaid expenses and other assets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Accounts payable</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Accrued expenses and other liabilities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Accrued compensation</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Contract liabilities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Net cash (used in) provided by operating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Cash flows used in investing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Purchases of property, plant and equipment</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Milestone payment from prior asset acquisition</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Net cash used in investing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Cash flows (used in) provided by financing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revolving credit facility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term loan facility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convertible senior notes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Proceeds from senior unsecured notes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Proceeds from share-based compensation activity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Debt issuance costs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Taxes paid for share-based compensation activity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Contingent consideration payments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Net cash (used in) provided by financing activities:</w:t>
      </w:r>
    </w:p>
    <w:p>
      <w:pPr>
        <w:spacing w:after="0" w:line="11" w:lineRule="exact"/>
        <w:rPr>
          <w:sz w:val="20"/>
          <w:szCs w:val="20"/>
          <w:color w:val="auto"/>
        </w:rPr>
      </w:pPr>
    </w:p>
    <w:p>
      <w:pPr>
        <w:ind w:left="80" w:right="460"/>
        <w:spacing w:after="0" w:line="272" w:lineRule="auto"/>
        <w:rPr>
          <w:sz w:val="20"/>
          <w:szCs w:val="20"/>
          <w:color w:val="auto"/>
        </w:rPr>
      </w:pPr>
      <w:r>
        <w:rPr>
          <w:rFonts w:ascii="Arial" w:cs="Arial" w:eastAsia="Arial" w:hAnsi="Arial"/>
          <w:sz w:val="10"/>
          <w:szCs w:val="10"/>
          <w:color w:val="auto"/>
        </w:rPr>
        <w:t>Effect of exchange rate changes on cash, cash equivalents and restricted cash Net change in cash, cash equivalents and restricted cash</w:t>
      </w:r>
    </w:p>
    <w:p>
      <w:pPr>
        <w:ind w:left="80" w:right="1020"/>
        <w:spacing w:after="0" w:line="458" w:lineRule="auto"/>
        <w:rPr>
          <w:sz w:val="20"/>
          <w:szCs w:val="20"/>
          <w:color w:val="auto"/>
        </w:rPr>
      </w:pPr>
      <w:r>
        <w:rPr>
          <w:rFonts w:ascii="Arial" w:cs="Arial" w:eastAsia="Arial" w:hAnsi="Arial"/>
          <w:sz w:val="8"/>
          <w:szCs w:val="8"/>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0"/>
          <w:szCs w:val="10"/>
          <w:b w:val="1"/>
          <w:bCs w:val="1"/>
          <w:color w:val="auto"/>
        </w:rPr>
        <w:t>Emergent BioSolutions Inc.</w:t>
      </w:r>
    </w:p>
    <w:p>
      <w:pPr>
        <w:spacing w:after="0" w:line="5" w:lineRule="exact"/>
        <w:rPr>
          <w:sz w:val="20"/>
          <w:szCs w:val="20"/>
          <w:color w:val="auto"/>
        </w:rPr>
      </w:pPr>
    </w:p>
    <w:p>
      <w:pPr>
        <w:jc w:val="center"/>
        <w:ind w:right="4160"/>
        <w:spacing w:after="0"/>
        <w:rPr>
          <w:sz w:val="20"/>
          <w:szCs w:val="20"/>
          <w:color w:val="auto"/>
        </w:rPr>
      </w:pPr>
      <w:r>
        <w:rPr>
          <w:rFonts w:ascii="Arial" w:cs="Arial" w:eastAsia="Arial" w:hAnsi="Arial"/>
          <w:sz w:val="8"/>
          <w:szCs w:val="8"/>
          <w:b w:val="1"/>
          <w:bCs w:val="1"/>
          <w:color w:val="auto"/>
        </w:rPr>
        <w:t>Condensed Consolidated Statements of Cash Flows</w:t>
      </w:r>
    </w:p>
    <w:p>
      <w:pPr>
        <w:spacing w:after="0" w:line="16" w:lineRule="exact"/>
        <w:rPr>
          <w:sz w:val="20"/>
          <w:szCs w:val="20"/>
          <w:color w:val="auto"/>
        </w:rPr>
      </w:pPr>
    </w:p>
    <w:p>
      <w:pPr>
        <w:jc w:val="center"/>
        <w:ind w:right="4160"/>
        <w:spacing w:after="0"/>
        <w:rPr>
          <w:sz w:val="20"/>
          <w:szCs w:val="20"/>
          <w:color w:val="auto"/>
        </w:rPr>
      </w:pPr>
      <w:r>
        <w:rPr>
          <w:rFonts w:ascii="Arial" w:cs="Arial" w:eastAsia="Arial" w:hAnsi="Arial"/>
          <w:sz w:val="10"/>
          <w:szCs w:val="10"/>
          <w:b w:val="1"/>
          <w:bCs w:val="1"/>
          <w:color w:val="auto"/>
        </w:rPr>
        <w:t>(unaudited, in millions)</w:t>
      </w:r>
    </w:p>
    <w:p>
      <w:pPr>
        <w:spacing w:after="0" w:line="116" w:lineRule="exact"/>
        <w:rPr>
          <w:sz w:val="20"/>
          <w:szCs w:val="20"/>
          <w:color w:val="auto"/>
        </w:rPr>
      </w:pPr>
    </w:p>
    <w:tbl>
      <w:tblPr>
        <w:tblLayout w:type="fixed"/>
        <w:tblInd w:w="360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2600" w:type="dxa"/>
            <w:vAlign w:val="bottom"/>
            <w:gridSpan w:val="4"/>
          </w:tcPr>
          <w:p>
            <w:pPr>
              <w:jc w:val="center"/>
              <w:ind w:right="92"/>
              <w:spacing w:after="0"/>
              <w:rPr>
                <w:sz w:val="20"/>
                <w:szCs w:val="20"/>
                <w:color w:val="auto"/>
              </w:rPr>
            </w:pPr>
            <w:r>
              <w:rPr>
                <w:rFonts w:ascii="Arial" w:cs="Arial" w:eastAsia="Arial" w:hAnsi="Arial"/>
                <w:sz w:val="10"/>
                <w:szCs w:val="10"/>
                <w:b w:val="1"/>
                <w:bCs w:val="1"/>
                <w:color w:val="auto"/>
                <w:w w:val="96"/>
              </w:rPr>
              <w:t>Nine Months Ended September 30,</w:t>
            </w:r>
          </w:p>
        </w:tc>
      </w:tr>
      <w:tr>
        <w:trPr>
          <w:trHeight w:val="126"/>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2020</w:t>
            </w:r>
          </w:p>
        </w:tc>
      </w:tr>
      <w:tr>
        <w:trPr>
          <w:trHeight w:val="233"/>
        </w:trPr>
        <w:tc>
          <w:tcPr>
            <w:tcW w:w="3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41.6</w:t>
            </w:r>
          </w:p>
        </w:tc>
        <w:tc>
          <w:tcPr>
            <w:tcW w:w="100" w:type="dxa"/>
            <w:vAlign w:val="bottom"/>
          </w:tcPr>
          <w:p>
            <w:pPr>
              <w:spacing w:after="0"/>
              <w:rPr>
                <w:sz w:val="20"/>
                <w:szCs w:val="20"/>
                <w:color w:val="auto"/>
              </w:rPr>
            </w:pPr>
          </w:p>
        </w:tc>
        <w:tc>
          <w:tcPr>
            <w:tcW w:w="340" w:type="dxa"/>
            <w:vAlign w:val="bottom"/>
          </w:tcPr>
          <w:p>
            <w:pPr>
              <w:jc w:val="center"/>
              <w:ind w:right="23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119.7</w:t>
            </w:r>
          </w:p>
        </w:tc>
      </w:tr>
      <w:tr>
        <w:trPr>
          <w:trHeight w:val="252"/>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41.0</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94.6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85.6</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86.1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31.3</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(4.4)</w:t>
            </w:r>
          </w:p>
        </w:tc>
      </w:tr>
      <w:tr>
        <w:trPr>
          <w:trHeight w:val="126"/>
        </w:trPr>
        <w:tc>
          <w:tcPr>
            <w:tcW w:w="340" w:type="dxa"/>
            <w:vAlign w:val="bottom"/>
          </w:tcPr>
          <w:p>
            <w:pPr>
              <w:spacing w:after="0"/>
              <w:rPr>
                <w:sz w:val="10"/>
                <w:szCs w:val="1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29.0</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0.6</w:t>
            </w:r>
          </w:p>
        </w:tc>
      </w:tr>
      <w:tr>
        <w:trPr>
          <w:trHeight w:val="252"/>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74.6</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(58.0)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(47.6)</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(54.8)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(61.8)</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10.6</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(19.3)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4.4</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14.5</w:t>
            </w:r>
          </w:p>
        </w:tc>
      </w:tr>
      <w:tr>
        <w:trPr>
          <w:trHeight w:val="125"/>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w:t>
            </w:r>
          </w:p>
        </w:tc>
      </w:tr>
      <w:tr>
        <w:trPr>
          <w:trHeight w:val="11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290.9</w:t>
            </w:r>
          </w:p>
        </w:tc>
      </w:tr>
      <w:tr>
        <w:trPr>
          <w:trHeight w:val="252"/>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(105.0)</w:t>
            </w:r>
          </w:p>
        </w:tc>
      </w:tr>
      <w:tr>
        <w:trPr>
          <w:trHeight w:val="125"/>
        </w:trPr>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r>
      <w:tr>
        <w:trPr>
          <w:trHeight w:val="11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(178.3)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(115.0)</w:t>
            </w:r>
          </w:p>
        </w:tc>
      </w:tr>
      <w:tr>
        <w:trPr>
          <w:trHeight w:val="252"/>
        </w:trPr>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(373.0)</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(16.9)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(8.4)</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40" w:type="dxa"/>
            <w:vAlign w:val="bottom"/>
          </w:tcPr>
          <w:p>
            <w:pPr>
              <w:spacing w:after="0"/>
              <w:rPr>
                <w:sz w:val="10"/>
                <w:szCs w:val="1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450.0</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26.6</w:t>
            </w:r>
          </w:p>
        </w:tc>
      </w:tr>
      <w:tr>
        <w:trPr>
          <w:trHeight w:val="126"/>
        </w:trPr>
        <w:tc>
          <w:tcPr>
            <w:tcW w:w="340" w:type="dxa"/>
            <w:vAlign w:val="bottom"/>
          </w:tcPr>
          <w:p>
            <w:pPr>
              <w:spacing w:after="0"/>
              <w:rPr>
                <w:sz w:val="10"/>
                <w:szCs w:val="1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(8.4)</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(12.8)</w:t>
            </w:r>
          </w:p>
        </w:tc>
      </w:tr>
      <w:tr>
        <w:trPr>
          <w:trHeight w:val="125"/>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w:t>
            </w:r>
          </w:p>
        </w:tc>
      </w:tr>
      <w:tr>
        <w:trPr>
          <w:trHeight w:val="11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(31.0)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71.8</w:t>
            </w:r>
          </w:p>
        </w:tc>
      </w:tr>
      <w:tr>
        <w:trPr>
          <w:trHeight w:val="125"/>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w:t>
            </w:r>
          </w:p>
        </w:tc>
      </w:tr>
      <w:tr>
        <w:trPr>
          <w:trHeight w:val="11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(217.5)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247.2</w:t>
            </w:r>
          </w:p>
        </w:tc>
      </w:tr>
      <w:tr>
        <w:trPr>
          <w:trHeight w:val="125"/>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621.5</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168.0</w:t>
            </w:r>
          </w:p>
        </w:tc>
      </w:tr>
      <w:tr>
        <w:trPr>
          <w:trHeight w:val="115"/>
        </w:trPr>
        <w:tc>
          <w:tcPr>
            <w:tcW w:w="3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404.0</w:t>
            </w:r>
          </w:p>
        </w:tc>
        <w:tc>
          <w:tcPr>
            <w:tcW w:w="100" w:type="dxa"/>
            <w:vAlign w:val="bottom"/>
          </w:tcPr>
          <w:p>
            <w:pPr>
              <w:spacing w:after="0"/>
              <w:rPr>
                <w:sz w:val="10"/>
                <w:szCs w:val="10"/>
                <w:color w:val="auto"/>
              </w:rPr>
            </w:pPr>
          </w:p>
        </w:tc>
        <w:tc>
          <w:tcPr>
            <w:tcW w:w="340" w:type="dxa"/>
            <w:vAlign w:val="bottom"/>
            <w:tcBorders>
              <w:bottom w:val="single" w:sz="8" w:color="auto"/>
            </w:tcBorders>
          </w:tcPr>
          <w:p>
            <w:pPr>
              <w:jc w:val="center"/>
              <w:ind w:right="23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415.2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ectPr>
          <w:pgSz w:w="11900" w:h="16838" w:orient="portrait"/>
          <w:cols w:equalWidth="0" w:num="2">
            <w:col w:w="3880" w:space="460"/>
            <w:col w:w="6540"/>
          </w:cols>
          <w:pgMar w:left="42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1"/>
          <w:szCs w:val="11"/>
          <w:color w:val="auto"/>
        </w:rPr>
        <w:t>11 of 16</w:t>
      </w:r>
    </w:p>
    <w:p>
      <w:pPr>
        <w:sectPr>
          <w:pgSz w:w="11900" w:h="16838" w:orient="portrait"/>
          <w:cols w:equalWidth="0" w:num="1">
            <w:col w:w="10880"/>
          </w:cols>
          <w:pgMar w:left="420" w:top="644" w:right="5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2"/>
          <w:szCs w:val="12"/>
          <w:b w:val="1"/>
          <w:bCs w:val="1"/>
          <w:i w:val="1"/>
          <w:iCs w:val="1"/>
          <w:color w:val="auto"/>
        </w:rPr>
        <w:t>Reconciliation of Net Income to Adjusted Net Income (1)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shd w:val="clear" w:color="auto" w:fill="0F243E"/>
          </w:tcPr>
          <w:p>
            <w:pPr>
              <w:spacing w:after="0"/>
              <w:rPr>
                <w:sz w:val="13"/>
                <w:szCs w:val="13"/>
                <w:color w:val="auto"/>
              </w:rPr>
            </w:pPr>
          </w:p>
        </w:tc>
        <w:tc>
          <w:tcPr>
            <w:tcW w:w="2200" w:type="dxa"/>
            <w:vAlign w:val="bottom"/>
            <w:shd w:val="clear" w:color="auto" w:fill="0F243E"/>
          </w:tcPr>
          <w:p>
            <w:pPr>
              <w:spacing w:after="0"/>
              <w:rPr>
                <w:sz w:val="13"/>
                <w:szCs w:val="13"/>
                <w:color w:val="auto"/>
              </w:rPr>
            </w:pPr>
          </w:p>
        </w:tc>
        <w:tc>
          <w:tcPr>
            <w:tcW w:w="5020" w:type="dxa"/>
            <w:vAlign w:val="bottom"/>
            <w:gridSpan w:val="4"/>
            <w:shd w:val="clear" w:color="auto" w:fill="0F243E"/>
          </w:tcPr>
          <w:p>
            <w:pPr>
              <w:jc w:val="center"/>
              <w:spacing w:after="0"/>
              <w:rPr>
                <w:sz w:val="20"/>
                <w:szCs w:val="20"/>
                <w:color w:val="auto"/>
              </w:rPr>
            </w:pPr>
            <w:r>
              <w:rPr>
                <w:rFonts w:ascii="Arial" w:cs="Arial" w:eastAsia="Arial" w:hAnsi="Arial"/>
                <w:sz w:val="11"/>
                <w:szCs w:val="11"/>
                <w:b w:val="1"/>
                <w:bCs w:val="1"/>
                <w:color w:val="FFFFFF"/>
                <w:w w:val="97"/>
              </w:rPr>
              <w:t>Three Months Ended September 30,</w:t>
            </w:r>
          </w:p>
        </w:tc>
        <w:tc>
          <w:tcPr>
            <w:tcW w:w="0" w:type="dxa"/>
            <w:vAlign w:val="bottom"/>
          </w:tcPr>
          <w:p>
            <w:pPr>
              <w:spacing w:after="0"/>
              <w:rPr>
                <w:sz w:val="1"/>
                <w:szCs w:val="1"/>
                <w:color w:val="auto"/>
              </w:rPr>
            </w:pPr>
          </w:p>
        </w:tc>
      </w:tr>
      <w:tr>
        <w:trPr>
          <w:trHeight w:val="162"/>
        </w:trPr>
        <w:tc>
          <w:tcPr>
            <w:tcW w:w="4080" w:type="dxa"/>
            <w:vAlign w:val="bottom"/>
            <w:tcBorders>
              <w:bottom w:val="single" w:sz="8" w:color="CCCCCC"/>
            </w:tcBorders>
            <w:shd w:val="clear" w:color="auto" w:fill="0F243E"/>
          </w:tcPr>
          <w:p>
            <w:pPr>
              <w:ind w:left="20"/>
              <w:spacing w:after="0"/>
              <w:rPr>
                <w:sz w:val="20"/>
                <w:szCs w:val="20"/>
                <w:color w:val="auto"/>
              </w:rPr>
            </w:pPr>
            <w:r>
              <w:rPr>
                <w:rFonts w:ascii="Arial" w:cs="Arial" w:eastAsia="Arial" w:hAnsi="Arial"/>
                <w:sz w:val="11"/>
                <w:szCs w:val="11"/>
                <w:color w:val="FFFFFF"/>
              </w:rPr>
              <w:t>($ in millions, except per share value)</w:t>
            </w:r>
          </w:p>
        </w:tc>
        <w:tc>
          <w:tcPr>
            <w:tcW w:w="2200" w:type="dxa"/>
            <w:vAlign w:val="bottom"/>
            <w:tcBorders>
              <w:bottom w:val="single" w:sz="8" w:color="CCCCCC"/>
            </w:tcBorders>
            <w:shd w:val="clear" w:color="auto" w:fill="0F243E"/>
          </w:tcPr>
          <w:p>
            <w:pPr>
              <w:spacing w:after="0"/>
              <w:rPr>
                <w:sz w:val="14"/>
                <w:szCs w:val="14"/>
                <w:color w:val="auto"/>
              </w:rPr>
            </w:pPr>
          </w:p>
        </w:tc>
        <w:tc>
          <w:tcPr>
            <w:tcW w:w="1680" w:type="dxa"/>
            <w:vAlign w:val="bottom"/>
            <w:tcBorders>
              <w:bottom w:val="single" w:sz="8" w:color="auto"/>
            </w:tcBorders>
            <w:shd w:val="clear" w:color="auto" w:fill="0F243E"/>
          </w:tcPr>
          <w:p>
            <w:pPr>
              <w:jc w:val="center"/>
              <w:spacing w:after="0"/>
              <w:rPr>
                <w:sz w:val="20"/>
                <w:szCs w:val="20"/>
                <w:color w:val="auto"/>
              </w:rPr>
            </w:pPr>
            <w:r>
              <w:rPr>
                <w:rFonts w:ascii="Arial" w:cs="Arial" w:eastAsia="Arial" w:hAnsi="Arial"/>
                <w:sz w:val="11"/>
                <w:szCs w:val="11"/>
                <w:b w:val="1"/>
                <w:bCs w:val="1"/>
                <w:color w:val="FFFFFF"/>
                <w:w w:val="97"/>
              </w:rPr>
              <w:t>2021</w:t>
            </w:r>
          </w:p>
        </w:tc>
        <w:tc>
          <w:tcPr>
            <w:tcW w:w="640" w:type="dxa"/>
            <w:vAlign w:val="bottom"/>
            <w:tcBorders>
              <w:bottom w:val="single" w:sz="8" w:color="CCCCCC"/>
            </w:tcBorders>
            <w:shd w:val="clear" w:color="auto" w:fill="0F243E"/>
          </w:tcPr>
          <w:p>
            <w:pPr>
              <w:spacing w:after="0"/>
              <w:rPr>
                <w:sz w:val="14"/>
                <w:szCs w:val="14"/>
                <w:color w:val="auto"/>
              </w:rPr>
            </w:pPr>
          </w:p>
        </w:tc>
        <w:tc>
          <w:tcPr>
            <w:tcW w:w="1040" w:type="dxa"/>
            <w:vAlign w:val="bottom"/>
            <w:tcBorders>
              <w:bottom w:val="single" w:sz="8" w:color="CCCCCC"/>
            </w:tcBorders>
            <w:shd w:val="clear" w:color="auto" w:fill="0F243E"/>
          </w:tcPr>
          <w:p>
            <w:pPr>
              <w:jc w:val="center"/>
              <w:ind w:right="586"/>
              <w:spacing w:after="0"/>
              <w:rPr>
                <w:sz w:val="20"/>
                <w:szCs w:val="20"/>
                <w:color w:val="auto"/>
              </w:rPr>
            </w:pPr>
            <w:r>
              <w:rPr>
                <w:rFonts w:ascii="Arial" w:cs="Arial" w:eastAsia="Arial" w:hAnsi="Arial"/>
                <w:sz w:val="11"/>
                <w:szCs w:val="11"/>
                <w:b w:val="1"/>
                <w:bCs w:val="1"/>
                <w:color w:val="FFFFFF"/>
                <w:w w:val="97"/>
              </w:rPr>
              <w:t>2020</w:t>
            </w:r>
          </w:p>
        </w:tc>
        <w:tc>
          <w:tcPr>
            <w:tcW w:w="1660" w:type="dxa"/>
            <w:vAlign w:val="bottom"/>
            <w:tcBorders>
              <w:bottom w:val="single" w:sz="8" w:color="CCCCCC"/>
            </w:tcBorders>
            <w:shd w:val="clear" w:color="auto" w:fill="0F243E"/>
          </w:tcPr>
          <w:p>
            <w:pPr>
              <w:jc w:val="center"/>
              <w:spacing w:after="0"/>
              <w:rPr>
                <w:sz w:val="20"/>
                <w:szCs w:val="20"/>
                <w:color w:val="auto"/>
              </w:rPr>
            </w:pPr>
            <w:r>
              <w:rPr>
                <w:rFonts w:ascii="Arial" w:cs="Arial" w:eastAsia="Arial" w:hAnsi="Arial"/>
                <w:sz w:val="12"/>
                <w:szCs w:val="12"/>
                <w:b w:val="1"/>
                <w:bCs w:val="1"/>
                <w:color w:val="FFFFFF"/>
                <w:w w:val="98"/>
              </w:rPr>
              <w:t>Source</w:t>
            </w:r>
          </w:p>
        </w:tc>
        <w:tc>
          <w:tcPr>
            <w:tcW w:w="0" w:type="dxa"/>
            <w:vAlign w:val="bottom"/>
          </w:tcPr>
          <w:p>
            <w:pPr>
              <w:spacing w:after="0"/>
              <w:rPr>
                <w:sz w:val="1"/>
                <w:szCs w:val="1"/>
                <w:color w:val="auto"/>
              </w:rPr>
            </w:pPr>
          </w:p>
        </w:tc>
      </w:tr>
      <w:tr>
        <w:trPr>
          <w:trHeight w:val="12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 (loss)</w:t>
            </w:r>
          </w:p>
        </w:tc>
        <w:tc>
          <w:tcPr>
            <w:tcW w:w="3880" w:type="dxa"/>
            <w:vAlign w:val="bottom"/>
            <w:gridSpan w:val="2"/>
            <w:shd w:val="clear" w:color="auto" w:fill="CCCCCC"/>
          </w:tcPr>
          <w:p>
            <w:pPr>
              <w:jc w:val="center"/>
              <w:ind w:left="2146"/>
              <w:spacing w:after="0"/>
              <w:rPr>
                <w:sz w:val="20"/>
                <w:szCs w:val="20"/>
                <w:color w:val="auto"/>
              </w:rPr>
            </w:pPr>
            <w:r>
              <w:rPr>
                <w:rFonts w:ascii="Arial" w:cs="Arial" w:eastAsia="Arial" w:hAnsi="Arial"/>
                <w:sz w:val="11"/>
                <w:szCs w:val="11"/>
                <w:color w:val="auto"/>
              </w:rPr>
              <w:t>($32.7)</w:t>
            </w:r>
          </w:p>
        </w:tc>
        <w:tc>
          <w:tcPr>
            <w:tcW w:w="640" w:type="dxa"/>
            <w:vAlign w:val="bottom"/>
            <w:shd w:val="clear" w:color="auto" w:fill="CCCCCC"/>
          </w:tcPr>
          <w:p>
            <w:pPr>
              <w:spacing w:after="0"/>
              <w:rPr>
                <w:sz w:val="11"/>
                <w:szCs w:val="11"/>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w w:val="94"/>
              </w:rPr>
              <w:t>$39.5</w:t>
            </w:r>
          </w:p>
        </w:tc>
        <w:tc>
          <w:tcPr>
            <w:tcW w:w="16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spacing w:after="0"/>
              <w:rPr>
                <w:sz w:val="13"/>
                <w:szCs w:val="13"/>
                <w:color w:val="auto"/>
              </w:rPr>
            </w:pP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spacing w:after="0"/>
              <w:rPr>
                <w:sz w:val="13"/>
                <w:szCs w:val="13"/>
                <w:color w:val="auto"/>
              </w:rPr>
            </w:pPr>
          </w:p>
        </w:tc>
        <w:tc>
          <w:tcPr>
            <w:tcW w:w="16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80" w:type="dxa"/>
            <w:vAlign w:val="bottom"/>
            <w:vMerge w:val="restart"/>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200" w:type="dxa"/>
            <w:vAlign w:val="bottom"/>
            <w:shd w:val="clear" w:color="auto" w:fill="CCCCCC"/>
          </w:tcPr>
          <w:p>
            <w:pPr>
              <w:spacing w:after="0"/>
              <w:rPr>
                <w:sz w:val="11"/>
                <w:szCs w:val="11"/>
                <w:color w:val="auto"/>
              </w:rPr>
            </w:pPr>
          </w:p>
        </w:tc>
        <w:tc>
          <w:tcPr>
            <w:tcW w:w="168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3"/>
              </w:rPr>
              <w:t>15.4</w:t>
            </w:r>
          </w:p>
        </w:tc>
        <w:tc>
          <w:tcPr>
            <w:tcW w:w="640" w:type="dxa"/>
            <w:vAlign w:val="bottom"/>
            <w:shd w:val="clear" w:color="auto" w:fill="CCCCCC"/>
          </w:tcPr>
          <w:p>
            <w:pPr>
              <w:spacing w:after="0"/>
              <w:rPr>
                <w:sz w:val="11"/>
                <w:szCs w:val="11"/>
                <w:color w:val="auto"/>
              </w:rPr>
            </w:pPr>
          </w:p>
        </w:tc>
        <w:tc>
          <w:tcPr>
            <w:tcW w:w="1040" w:type="dxa"/>
            <w:vAlign w:val="bottom"/>
            <w:vMerge w:val="restart"/>
            <w:shd w:val="clear" w:color="auto" w:fill="CCCCCC"/>
          </w:tcPr>
          <w:p>
            <w:pPr>
              <w:jc w:val="center"/>
              <w:ind w:right="606"/>
              <w:spacing w:after="0"/>
              <w:rPr>
                <w:sz w:val="20"/>
                <w:szCs w:val="20"/>
                <w:color w:val="auto"/>
              </w:rPr>
            </w:pPr>
            <w:r>
              <w:rPr>
                <w:rFonts w:ascii="Arial" w:cs="Arial" w:eastAsia="Arial" w:hAnsi="Arial"/>
                <w:sz w:val="11"/>
                <w:szCs w:val="11"/>
                <w:color w:val="auto"/>
              </w:rPr>
              <w:t>15.9</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Intangible Asset (IA) Amortization,</w:t>
            </w:r>
          </w:p>
        </w:tc>
        <w:tc>
          <w:tcPr>
            <w:tcW w:w="0" w:type="dxa"/>
            <w:vAlign w:val="bottom"/>
          </w:tcPr>
          <w:p>
            <w:pPr>
              <w:spacing w:after="0"/>
              <w:rPr>
                <w:sz w:val="1"/>
                <w:szCs w:val="1"/>
                <w:color w:val="auto"/>
              </w:rPr>
            </w:pPr>
          </w:p>
        </w:tc>
      </w:tr>
      <w:tr>
        <w:trPr>
          <w:trHeight w:val="76"/>
        </w:trPr>
        <w:tc>
          <w:tcPr>
            <w:tcW w:w="4080" w:type="dxa"/>
            <w:vAlign w:val="bottom"/>
            <w:vMerge w:val="continue"/>
            <w:shd w:val="clear" w:color="auto" w:fill="CCCCCC"/>
          </w:tcPr>
          <w:p>
            <w:pPr>
              <w:spacing w:after="0"/>
              <w:rPr>
                <w:sz w:val="6"/>
                <w:szCs w:val="6"/>
                <w:color w:val="auto"/>
              </w:rPr>
            </w:pPr>
          </w:p>
        </w:tc>
        <w:tc>
          <w:tcPr>
            <w:tcW w:w="2200" w:type="dxa"/>
            <w:vAlign w:val="bottom"/>
            <w:shd w:val="clear" w:color="auto" w:fill="CCCCCC"/>
          </w:tcPr>
          <w:p>
            <w:pPr>
              <w:spacing w:after="0"/>
              <w:rPr>
                <w:sz w:val="6"/>
                <w:szCs w:val="6"/>
                <w:color w:val="auto"/>
              </w:rPr>
            </w:pPr>
          </w:p>
        </w:tc>
        <w:tc>
          <w:tcPr>
            <w:tcW w:w="1680" w:type="dxa"/>
            <w:vAlign w:val="bottom"/>
            <w:vMerge w:val="continue"/>
            <w:shd w:val="clear" w:color="auto" w:fill="CCCCCC"/>
          </w:tcPr>
          <w:p>
            <w:pPr>
              <w:spacing w:after="0"/>
              <w:rPr>
                <w:sz w:val="6"/>
                <w:szCs w:val="6"/>
                <w:color w:val="auto"/>
              </w:rPr>
            </w:pPr>
          </w:p>
        </w:tc>
        <w:tc>
          <w:tcPr>
            <w:tcW w:w="640" w:type="dxa"/>
            <w:vAlign w:val="bottom"/>
            <w:shd w:val="clear" w:color="auto" w:fill="CCCCCC"/>
          </w:tcPr>
          <w:p>
            <w:pPr>
              <w:spacing w:after="0"/>
              <w:rPr>
                <w:sz w:val="6"/>
                <w:szCs w:val="6"/>
                <w:color w:val="auto"/>
              </w:rPr>
            </w:pPr>
          </w:p>
        </w:tc>
        <w:tc>
          <w:tcPr>
            <w:tcW w:w="1040" w:type="dxa"/>
            <w:vAlign w:val="bottom"/>
            <w:vMerge w:val="continue"/>
            <w:shd w:val="clear" w:color="auto" w:fill="CCCCCC"/>
          </w:tcPr>
          <w:p>
            <w:pPr>
              <w:spacing w:after="0"/>
              <w:rPr>
                <w:sz w:val="6"/>
                <w:szCs w:val="6"/>
                <w:color w:val="auto"/>
              </w:rPr>
            </w:pPr>
          </w:p>
        </w:tc>
        <w:tc>
          <w:tcPr>
            <w:tcW w:w="166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8"/>
              </w:rPr>
              <w:t>Other Income</w:t>
            </w:r>
          </w:p>
        </w:tc>
        <w:tc>
          <w:tcPr>
            <w:tcW w:w="0" w:type="dxa"/>
            <w:vAlign w:val="bottom"/>
          </w:tcPr>
          <w:p>
            <w:pPr>
              <w:spacing w:after="0"/>
              <w:rPr>
                <w:sz w:val="1"/>
                <w:szCs w:val="1"/>
                <w:color w:val="auto"/>
              </w:rPr>
            </w:pPr>
          </w:p>
        </w:tc>
      </w:tr>
      <w:tr>
        <w:trPr>
          <w:trHeight w:val="54"/>
        </w:trPr>
        <w:tc>
          <w:tcPr>
            <w:tcW w:w="4080" w:type="dxa"/>
            <w:vAlign w:val="bottom"/>
            <w:shd w:val="clear" w:color="auto" w:fill="CCCCCC"/>
          </w:tcPr>
          <w:p>
            <w:pPr>
              <w:spacing w:after="0"/>
              <w:rPr>
                <w:sz w:val="4"/>
                <w:szCs w:val="4"/>
                <w:color w:val="auto"/>
              </w:rPr>
            </w:pPr>
          </w:p>
        </w:tc>
        <w:tc>
          <w:tcPr>
            <w:tcW w:w="2200" w:type="dxa"/>
            <w:vAlign w:val="bottom"/>
            <w:shd w:val="clear" w:color="auto" w:fill="CCCCCC"/>
          </w:tcPr>
          <w:p>
            <w:pPr>
              <w:spacing w:after="0"/>
              <w:rPr>
                <w:sz w:val="4"/>
                <w:szCs w:val="4"/>
                <w:color w:val="auto"/>
              </w:rPr>
            </w:pPr>
          </w:p>
        </w:tc>
        <w:tc>
          <w:tcPr>
            <w:tcW w:w="1680" w:type="dxa"/>
            <w:vAlign w:val="bottom"/>
            <w:shd w:val="clear" w:color="auto" w:fill="CCCCCC"/>
          </w:tcPr>
          <w:p>
            <w:pPr>
              <w:spacing w:after="0"/>
              <w:rPr>
                <w:sz w:val="4"/>
                <w:szCs w:val="4"/>
                <w:color w:val="auto"/>
              </w:rPr>
            </w:pPr>
          </w:p>
        </w:tc>
        <w:tc>
          <w:tcPr>
            <w:tcW w:w="640" w:type="dxa"/>
            <w:vAlign w:val="bottom"/>
            <w:shd w:val="clear" w:color="auto" w:fill="CCCCCC"/>
          </w:tcPr>
          <w:p>
            <w:pPr>
              <w:spacing w:after="0"/>
              <w:rPr>
                <w:sz w:val="4"/>
                <w:szCs w:val="4"/>
                <w:color w:val="auto"/>
              </w:rPr>
            </w:pPr>
          </w:p>
        </w:tc>
        <w:tc>
          <w:tcPr>
            <w:tcW w:w="1040" w:type="dxa"/>
            <w:vAlign w:val="bottom"/>
            <w:shd w:val="clear" w:color="auto" w:fill="CCCCCC"/>
          </w:tcPr>
          <w:p>
            <w:pPr>
              <w:spacing w:after="0"/>
              <w:rPr>
                <w:sz w:val="4"/>
                <w:szCs w:val="4"/>
                <w:color w:val="auto"/>
              </w:rPr>
            </w:pPr>
          </w:p>
        </w:tc>
        <w:tc>
          <w:tcPr>
            <w:tcW w:w="1660" w:type="dxa"/>
            <w:vAlign w:val="bottom"/>
            <w:vMerge w:val="continue"/>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0.9</w:t>
            </w: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rPr>
              <w:t>30.2</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Product COGS</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Impairment of IPR&amp;D intangible asset</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w:t>
            </w: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rPr>
              <w:t>29.0</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R&amp;D</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Exit and disposal costs</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w:t>
            </w: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rPr>
              <w:t>17.1</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 SG&amp;A, Other Income</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0.4</w:t>
            </w: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w w:val="91"/>
              </w:rPr>
              <w:t>0.5</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200" w:type="dxa"/>
            <w:vAlign w:val="bottom"/>
            <w:tcBorders>
              <w:bottom w:val="single" w:sz="8" w:color="CCCCCC"/>
            </w:tcBorders>
            <w:shd w:val="clear" w:color="auto" w:fill="CCCCCC"/>
          </w:tcPr>
          <w:p>
            <w:pPr>
              <w:spacing w:after="0"/>
              <w:rPr>
                <w:sz w:val="13"/>
                <w:szCs w:val="13"/>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(3.3)</w:t>
            </w:r>
          </w:p>
        </w:tc>
        <w:tc>
          <w:tcPr>
            <w:tcW w:w="640" w:type="dxa"/>
            <w:vAlign w:val="bottom"/>
            <w:tcBorders>
              <w:bottom w:val="single" w:sz="8" w:color="auto"/>
            </w:tcBorders>
            <w:shd w:val="clear" w:color="auto" w:fill="CCCCCC"/>
          </w:tcPr>
          <w:p>
            <w:pPr>
              <w:spacing w:after="0"/>
              <w:rPr>
                <w:sz w:val="13"/>
                <w:szCs w:val="13"/>
                <w:color w:val="auto"/>
              </w:rPr>
            </w:pPr>
          </w:p>
        </w:tc>
        <w:tc>
          <w:tcPr>
            <w:tcW w:w="1040" w:type="dxa"/>
            <w:vAlign w:val="bottom"/>
            <w:tcBorders>
              <w:bottom w:val="single" w:sz="8" w:color="auto"/>
            </w:tcBorders>
            <w:shd w:val="clear" w:color="auto" w:fill="CCCCCC"/>
          </w:tcPr>
          <w:p>
            <w:pPr>
              <w:jc w:val="center"/>
              <w:ind w:right="586"/>
              <w:spacing w:after="0"/>
              <w:rPr>
                <w:sz w:val="20"/>
                <w:szCs w:val="20"/>
                <w:color w:val="auto"/>
              </w:rPr>
            </w:pPr>
            <w:r>
              <w:rPr>
                <w:rFonts w:ascii="Arial" w:cs="Arial" w:eastAsia="Arial" w:hAnsi="Arial"/>
                <w:sz w:val="11"/>
                <w:szCs w:val="11"/>
                <w:color w:val="auto"/>
                <w:w w:val="97"/>
              </w:rPr>
              <w:t>(13.2)</w:t>
            </w:r>
          </w:p>
        </w:tc>
        <w:tc>
          <w:tcPr>
            <w:tcW w:w="166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200" w:type="dxa"/>
            <w:vAlign w:val="bottom"/>
            <w:tcBorders>
              <w:bottom w:val="single" w:sz="8" w:color="CCCCCC"/>
            </w:tcBorders>
            <w:shd w:val="clear" w:color="auto" w:fill="CCCCCC"/>
          </w:tcPr>
          <w:p>
            <w:pPr>
              <w:spacing w:after="0"/>
              <w:rPr>
                <w:sz w:val="11"/>
                <w:szCs w:val="11"/>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$13.4</w:t>
            </w:r>
          </w:p>
        </w:tc>
        <w:tc>
          <w:tcPr>
            <w:tcW w:w="640" w:type="dxa"/>
            <w:vAlign w:val="bottom"/>
            <w:tcBorders>
              <w:bottom w:val="single" w:sz="8" w:color="auto"/>
            </w:tcBorders>
            <w:shd w:val="clear" w:color="auto" w:fill="CCCCCC"/>
          </w:tcPr>
          <w:p>
            <w:pPr>
              <w:spacing w:after="0"/>
              <w:rPr>
                <w:sz w:val="11"/>
                <w:szCs w:val="11"/>
                <w:color w:val="auto"/>
              </w:rPr>
            </w:pPr>
          </w:p>
        </w:tc>
        <w:tc>
          <w:tcPr>
            <w:tcW w:w="1040" w:type="dxa"/>
            <w:vAlign w:val="bottom"/>
            <w:tcBorders>
              <w:bottom w:val="single" w:sz="8" w:color="auto"/>
            </w:tcBorders>
            <w:shd w:val="clear" w:color="auto" w:fill="CCCCCC"/>
          </w:tcPr>
          <w:p>
            <w:pPr>
              <w:jc w:val="center"/>
              <w:ind w:right="606"/>
              <w:spacing w:after="0"/>
              <w:rPr>
                <w:sz w:val="20"/>
                <w:szCs w:val="20"/>
                <w:color w:val="auto"/>
              </w:rPr>
            </w:pPr>
            <w:r>
              <w:rPr>
                <w:rFonts w:ascii="Arial" w:cs="Arial" w:eastAsia="Arial" w:hAnsi="Arial"/>
                <w:sz w:val="11"/>
                <w:szCs w:val="11"/>
                <w:color w:val="auto"/>
                <w:w w:val="94"/>
              </w:rPr>
              <w:t>$79.5</w:t>
            </w: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 (loss)</w:t>
            </w:r>
          </w:p>
        </w:tc>
        <w:tc>
          <w:tcPr>
            <w:tcW w:w="2200" w:type="dxa"/>
            <w:vAlign w:val="bottom"/>
            <w:tcBorders>
              <w:bottom w:val="single" w:sz="8" w:color="CCCCCC"/>
            </w:tcBorders>
            <w:shd w:val="clear" w:color="auto" w:fill="CCCCCC"/>
          </w:tcPr>
          <w:p>
            <w:pPr>
              <w:spacing w:after="0"/>
              <w:rPr>
                <w:sz w:val="11"/>
                <w:szCs w:val="11"/>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($19.3)</w:t>
            </w:r>
          </w:p>
        </w:tc>
        <w:tc>
          <w:tcPr>
            <w:tcW w:w="640" w:type="dxa"/>
            <w:vAlign w:val="bottom"/>
            <w:tcBorders>
              <w:bottom w:val="single" w:sz="8" w:color="auto"/>
            </w:tcBorders>
            <w:shd w:val="clear" w:color="auto" w:fill="CCCCCC"/>
          </w:tcPr>
          <w:p>
            <w:pPr>
              <w:spacing w:after="0"/>
              <w:rPr>
                <w:sz w:val="11"/>
                <w:szCs w:val="11"/>
                <w:color w:val="auto"/>
              </w:rPr>
            </w:pPr>
          </w:p>
        </w:tc>
        <w:tc>
          <w:tcPr>
            <w:tcW w:w="1040" w:type="dxa"/>
            <w:vAlign w:val="bottom"/>
            <w:tcBorders>
              <w:bottom w:val="single" w:sz="8" w:color="auto"/>
            </w:tcBorders>
            <w:shd w:val="clear" w:color="auto" w:fill="CCCCCC"/>
          </w:tcPr>
          <w:p>
            <w:pPr>
              <w:jc w:val="center"/>
              <w:ind w:right="606"/>
              <w:spacing w:after="0"/>
              <w:rPr>
                <w:sz w:val="20"/>
                <w:szCs w:val="20"/>
                <w:color w:val="auto"/>
              </w:rPr>
            </w:pPr>
            <w:r>
              <w:rPr>
                <w:rFonts w:ascii="Arial" w:cs="Arial" w:eastAsia="Arial" w:hAnsi="Arial"/>
                <w:sz w:val="11"/>
                <w:szCs w:val="11"/>
                <w:color w:val="auto"/>
              </w:rPr>
              <w:t>$119.0</w:t>
            </w: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 (loss) per diluted share</w:t>
            </w:r>
          </w:p>
        </w:tc>
        <w:tc>
          <w:tcPr>
            <w:tcW w:w="2200" w:type="dxa"/>
            <w:vAlign w:val="bottom"/>
            <w:shd w:val="clear" w:color="auto" w:fill="CCCCCC"/>
          </w:tcPr>
          <w:p>
            <w:pPr>
              <w:spacing w:after="0"/>
              <w:rPr>
                <w:sz w:val="11"/>
                <w:szCs w:val="11"/>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($0.36)</w:t>
            </w:r>
          </w:p>
        </w:tc>
        <w:tc>
          <w:tcPr>
            <w:tcW w:w="640" w:type="dxa"/>
            <w:vAlign w:val="bottom"/>
            <w:shd w:val="clear" w:color="auto" w:fill="CCCCCC"/>
          </w:tcPr>
          <w:p>
            <w:pPr>
              <w:spacing w:after="0"/>
              <w:rPr>
                <w:sz w:val="11"/>
                <w:szCs w:val="11"/>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w w:val="94"/>
              </w:rPr>
              <w:t>$2.19</w:t>
            </w:r>
          </w:p>
        </w:tc>
        <w:tc>
          <w:tcPr>
            <w:tcW w:w="16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360" w:type="dxa"/>
            <w:vAlign w:val="bottom"/>
            <w:gridSpan w:val="3"/>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0F243E"/>
          </w:tcPr>
          <w:p>
            <w:pPr>
              <w:spacing w:after="0"/>
              <w:rPr>
                <w:sz w:val="12"/>
                <w:szCs w:val="12"/>
                <w:color w:val="auto"/>
              </w:rPr>
            </w:pPr>
          </w:p>
        </w:tc>
        <w:tc>
          <w:tcPr>
            <w:tcW w:w="2200" w:type="dxa"/>
            <w:vAlign w:val="bottom"/>
            <w:shd w:val="clear" w:color="auto" w:fill="0F243E"/>
          </w:tcPr>
          <w:p>
            <w:pPr>
              <w:spacing w:after="0"/>
              <w:rPr>
                <w:sz w:val="12"/>
                <w:szCs w:val="12"/>
                <w:color w:val="auto"/>
              </w:rPr>
            </w:pPr>
          </w:p>
        </w:tc>
        <w:tc>
          <w:tcPr>
            <w:tcW w:w="5020" w:type="dxa"/>
            <w:vAlign w:val="bottom"/>
            <w:gridSpan w:val="4"/>
            <w:shd w:val="clear" w:color="auto" w:fill="0F243E"/>
          </w:tcPr>
          <w:p>
            <w:pPr>
              <w:jc w:val="center"/>
              <w:spacing w:after="0"/>
              <w:rPr>
                <w:sz w:val="20"/>
                <w:szCs w:val="20"/>
                <w:color w:val="auto"/>
              </w:rPr>
            </w:pPr>
            <w:r>
              <w:rPr>
                <w:rFonts w:ascii="Arial" w:cs="Arial" w:eastAsia="Arial" w:hAnsi="Arial"/>
                <w:sz w:val="11"/>
                <w:szCs w:val="11"/>
                <w:b w:val="1"/>
                <w:bCs w:val="1"/>
                <w:color w:val="FFFFFF"/>
                <w:w w:val="98"/>
              </w:rPr>
              <w:t>Nine Months Ended September 30,</w:t>
            </w:r>
          </w:p>
        </w:tc>
        <w:tc>
          <w:tcPr>
            <w:tcW w:w="0" w:type="dxa"/>
            <w:vAlign w:val="bottom"/>
          </w:tcPr>
          <w:p>
            <w:pPr>
              <w:spacing w:after="0"/>
              <w:rPr>
                <w:sz w:val="1"/>
                <w:szCs w:val="1"/>
                <w:color w:val="auto"/>
              </w:rPr>
            </w:pPr>
          </w:p>
        </w:tc>
      </w:tr>
      <w:tr>
        <w:trPr>
          <w:trHeight w:val="166"/>
        </w:trPr>
        <w:tc>
          <w:tcPr>
            <w:tcW w:w="40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 except per share value)</w:t>
            </w:r>
          </w:p>
        </w:tc>
        <w:tc>
          <w:tcPr>
            <w:tcW w:w="2200" w:type="dxa"/>
            <w:vAlign w:val="bottom"/>
            <w:shd w:val="clear" w:color="auto" w:fill="0F243E"/>
          </w:tcPr>
          <w:p>
            <w:pPr>
              <w:spacing w:after="0"/>
              <w:rPr>
                <w:sz w:val="14"/>
                <w:szCs w:val="14"/>
                <w:color w:val="auto"/>
              </w:rPr>
            </w:pPr>
          </w:p>
        </w:tc>
        <w:tc>
          <w:tcPr>
            <w:tcW w:w="1680" w:type="dxa"/>
            <w:vAlign w:val="bottom"/>
            <w:shd w:val="clear" w:color="auto" w:fill="0F243E"/>
          </w:tcPr>
          <w:p>
            <w:pPr>
              <w:jc w:val="center"/>
              <w:spacing w:after="0"/>
              <w:rPr>
                <w:sz w:val="20"/>
                <w:szCs w:val="20"/>
                <w:color w:val="auto"/>
              </w:rPr>
            </w:pPr>
            <w:r>
              <w:rPr>
                <w:rFonts w:ascii="Arial" w:cs="Arial" w:eastAsia="Arial" w:hAnsi="Arial"/>
                <w:sz w:val="11"/>
                <w:szCs w:val="11"/>
                <w:b w:val="1"/>
                <w:bCs w:val="1"/>
                <w:color w:val="FFFFFF"/>
                <w:w w:val="97"/>
              </w:rPr>
              <w:t>2021</w:t>
            </w:r>
          </w:p>
        </w:tc>
        <w:tc>
          <w:tcPr>
            <w:tcW w:w="640" w:type="dxa"/>
            <w:vAlign w:val="bottom"/>
            <w:shd w:val="clear" w:color="auto" w:fill="0F243E"/>
          </w:tcPr>
          <w:p>
            <w:pPr>
              <w:spacing w:after="0"/>
              <w:rPr>
                <w:sz w:val="14"/>
                <w:szCs w:val="14"/>
                <w:color w:val="auto"/>
              </w:rPr>
            </w:pPr>
          </w:p>
        </w:tc>
        <w:tc>
          <w:tcPr>
            <w:tcW w:w="1040" w:type="dxa"/>
            <w:vAlign w:val="bottom"/>
            <w:shd w:val="clear" w:color="auto" w:fill="0F243E"/>
          </w:tcPr>
          <w:p>
            <w:pPr>
              <w:jc w:val="center"/>
              <w:ind w:right="586"/>
              <w:spacing w:after="0"/>
              <w:rPr>
                <w:sz w:val="20"/>
                <w:szCs w:val="20"/>
                <w:color w:val="auto"/>
              </w:rPr>
            </w:pPr>
            <w:r>
              <w:rPr>
                <w:rFonts w:ascii="Arial" w:cs="Arial" w:eastAsia="Arial" w:hAnsi="Arial"/>
                <w:sz w:val="11"/>
                <w:szCs w:val="11"/>
                <w:b w:val="1"/>
                <w:bCs w:val="1"/>
                <w:color w:val="FFFFFF"/>
                <w:w w:val="97"/>
              </w:rPr>
              <w:t>2020</w:t>
            </w:r>
          </w:p>
        </w:tc>
        <w:tc>
          <w:tcPr>
            <w:tcW w:w="166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8"/>
              </w:rPr>
              <w:t>Source</w:t>
            </w:r>
          </w:p>
        </w:tc>
        <w:tc>
          <w:tcPr>
            <w:tcW w:w="0" w:type="dxa"/>
            <w:vAlign w:val="bottom"/>
          </w:tcPr>
          <w:p>
            <w:pPr>
              <w:spacing w:after="0"/>
              <w:rPr>
                <w:sz w:val="1"/>
                <w:szCs w:val="1"/>
                <w:color w:val="auto"/>
              </w:rPr>
            </w:pP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 (loss)</w:t>
            </w:r>
          </w:p>
        </w:tc>
        <w:tc>
          <w:tcPr>
            <w:tcW w:w="3880" w:type="dxa"/>
            <w:vAlign w:val="bottom"/>
            <w:gridSpan w:val="2"/>
            <w:shd w:val="clear" w:color="auto" w:fill="CCCCCC"/>
          </w:tcPr>
          <w:p>
            <w:pPr>
              <w:jc w:val="center"/>
              <w:ind w:left="2146"/>
              <w:spacing w:after="0"/>
              <w:rPr>
                <w:sz w:val="20"/>
                <w:szCs w:val="20"/>
                <w:color w:val="auto"/>
              </w:rPr>
            </w:pPr>
            <w:r>
              <w:rPr>
                <w:rFonts w:ascii="Arial" w:cs="Arial" w:eastAsia="Arial" w:hAnsi="Arial"/>
                <w:sz w:val="11"/>
                <w:szCs w:val="11"/>
                <w:color w:val="auto"/>
              </w:rPr>
              <w:t>$41.6</w:t>
            </w:r>
          </w:p>
        </w:tc>
        <w:tc>
          <w:tcPr>
            <w:tcW w:w="640" w:type="dxa"/>
            <w:vAlign w:val="bottom"/>
            <w:shd w:val="clear" w:color="auto" w:fill="CCCCCC"/>
          </w:tcPr>
          <w:p>
            <w:pPr>
              <w:spacing w:after="0"/>
              <w:rPr>
                <w:sz w:val="12"/>
                <w:szCs w:val="12"/>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rPr>
              <w:t>$119.7</w:t>
            </w:r>
          </w:p>
        </w:tc>
        <w:tc>
          <w:tcPr>
            <w:tcW w:w="16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spacing w:after="0"/>
              <w:rPr>
                <w:sz w:val="13"/>
                <w:szCs w:val="13"/>
                <w:color w:val="auto"/>
              </w:rPr>
            </w:pP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spacing w:after="0"/>
              <w:rPr>
                <w:sz w:val="13"/>
                <w:szCs w:val="13"/>
                <w:color w:val="auto"/>
              </w:rPr>
            </w:pPr>
          </w:p>
        </w:tc>
        <w:tc>
          <w:tcPr>
            <w:tcW w:w="16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80" w:type="dxa"/>
            <w:vAlign w:val="bottom"/>
            <w:vMerge w:val="restart"/>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200" w:type="dxa"/>
            <w:vAlign w:val="bottom"/>
            <w:shd w:val="clear" w:color="auto" w:fill="CCCCCC"/>
          </w:tcPr>
          <w:p>
            <w:pPr>
              <w:spacing w:after="0"/>
              <w:rPr>
                <w:sz w:val="11"/>
                <w:szCs w:val="11"/>
                <w:color w:val="auto"/>
              </w:rPr>
            </w:pPr>
          </w:p>
        </w:tc>
        <w:tc>
          <w:tcPr>
            <w:tcW w:w="168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3"/>
              </w:rPr>
              <w:t>47.5</w:t>
            </w:r>
          </w:p>
        </w:tc>
        <w:tc>
          <w:tcPr>
            <w:tcW w:w="640" w:type="dxa"/>
            <w:vAlign w:val="bottom"/>
            <w:shd w:val="clear" w:color="auto" w:fill="CCCCCC"/>
          </w:tcPr>
          <w:p>
            <w:pPr>
              <w:spacing w:after="0"/>
              <w:rPr>
                <w:sz w:val="11"/>
                <w:szCs w:val="11"/>
                <w:color w:val="auto"/>
              </w:rPr>
            </w:pPr>
          </w:p>
        </w:tc>
        <w:tc>
          <w:tcPr>
            <w:tcW w:w="1040" w:type="dxa"/>
            <w:vAlign w:val="bottom"/>
            <w:vMerge w:val="restart"/>
            <w:shd w:val="clear" w:color="auto" w:fill="CCCCCC"/>
          </w:tcPr>
          <w:p>
            <w:pPr>
              <w:jc w:val="center"/>
              <w:ind w:right="606"/>
              <w:spacing w:after="0"/>
              <w:rPr>
                <w:sz w:val="20"/>
                <w:szCs w:val="20"/>
                <w:color w:val="auto"/>
              </w:rPr>
            </w:pPr>
            <w:r>
              <w:rPr>
                <w:rFonts w:ascii="Arial" w:cs="Arial" w:eastAsia="Arial" w:hAnsi="Arial"/>
                <w:sz w:val="11"/>
                <w:szCs w:val="11"/>
                <w:color w:val="auto"/>
              </w:rPr>
              <w:t>47.2</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Intangible Asset (IA) Amortization,</w:t>
            </w:r>
          </w:p>
        </w:tc>
        <w:tc>
          <w:tcPr>
            <w:tcW w:w="0" w:type="dxa"/>
            <w:vAlign w:val="bottom"/>
          </w:tcPr>
          <w:p>
            <w:pPr>
              <w:spacing w:after="0"/>
              <w:rPr>
                <w:sz w:val="1"/>
                <w:szCs w:val="1"/>
                <w:color w:val="auto"/>
              </w:rPr>
            </w:pPr>
          </w:p>
        </w:tc>
      </w:tr>
      <w:tr>
        <w:trPr>
          <w:trHeight w:val="76"/>
        </w:trPr>
        <w:tc>
          <w:tcPr>
            <w:tcW w:w="4080" w:type="dxa"/>
            <w:vAlign w:val="bottom"/>
            <w:vMerge w:val="continue"/>
            <w:shd w:val="clear" w:color="auto" w:fill="CCCCCC"/>
          </w:tcPr>
          <w:p>
            <w:pPr>
              <w:spacing w:after="0"/>
              <w:rPr>
                <w:sz w:val="6"/>
                <w:szCs w:val="6"/>
                <w:color w:val="auto"/>
              </w:rPr>
            </w:pPr>
          </w:p>
        </w:tc>
        <w:tc>
          <w:tcPr>
            <w:tcW w:w="2200" w:type="dxa"/>
            <w:vAlign w:val="bottom"/>
            <w:shd w:val="clear" w:color="auto" w:fill="CCCCCC"/>
          </w:tcPr>
          <w:p>
            <w:pPr>
              <w:spacing w:after="0"/>
              <w:rPr>
                <w:sz w:val="6"/>
                <w:szCs w:val="6"/>
                <w:color w:val="auto"/>
              </w:rPr>
            </w:pPr>
          </w:p>
        </w:tc>
        <w:tc>
          <w:tcPr>
            <w:tcW w:w="1680" w:type="dxa"/>
            <w:vAlign w:val="bottom"/>
            <w:vMerge w:val="continue"/>
            <w:shd w:val="clear" w:color="auto" w:fill="CCCCCC"/>
          </w:tcPr>
          <w:p>
            <w:pPr>
              <w:spacing w:after="0"/>
              <w:rPr>
                <w:sz w:val="6"/>
                <w:szCs w:val="6"/>
                <w:color w:val="auto"/>
              </w:rPr>
            </w:pPr>
          </w:p>
        </w:tc>
        <w:tc>
          <w:tcPr>
            <w:tcW w:w="640" w:type="dxa"/>
            <w:vAlign w:val="bottom"/>
            <w:shd w:val="clear" w:color="auto" w:fill="CCCCCC"/>
          </w:tcPr>
          <w:p>
            <w:pPr>
              <w:spacing w:after="0"/>
              <w:rPr>
                <w:sz w:val="6"/>
                <w:szCs w:val="6"/>
                <w:color w:val="auto"/>
              </w:rPr>
            </w:pPr>
          </w:p>
        </w:tc>
        <w:tc>
          <w:tcPr>
            <w:tcW w:w="1040" w:type="dxa"/>
            <w:vAlign w:val="bottom"/>
            <w:vMerge w:val="continue"/>
            <w:shd w:val="clear" w:color="auto" w:fill="CCCCCC"/>
          </w:tcPr>
          <w:p>
            <w:pPr>
              <w:spacing w:after="0"/>
              <w:rPr>
                <w:sz w:val="6"/>
                <w:szCs w:val="6"/>
                <w:color w:val="auto"/>
              </w:rPr>
            </w:pPr>
          </w:p>
        </w:tc>
        <w:tc>
          <w:tcPr>
            <w:tcW w:w="166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8"/>
              </w:rPr>
              <w:t>Other Income</w:t>
            </w:r>
          </w:p>
        </w:tc>
        <w:tc>
          <w:tcPr>
            <w:tcW w:w="0" w:type="dxa"/>
            <w:vAlign w:val="bottom"/>
          </w:tcPr>
          <w:p>
            <w:pPr>
              <w:spacing w:after="0"/>
              <w:rPr>
                <w:sz w:val="1"/>
                <w:szCs w:val="1"/>
                <w:color w:val="auto"/>
              </w:rPr>
            </w:pPr>
          </w:p>
        </w:tc>
      </w:tr>
      <w:tr>
        <w:trPr>
          <w:trHeight w:val="54"/>
        </w:trPr>
        <w:tc>
          <w:tcPr>
            <w:tcW w:w="4080" w:type="dxa"/>
            <w:vAlign w:val="bottom"/>
            <w:shd w:val="clear" w:color="auto" w:fill="CCCCCC"/>
          </w:tcPr>
          <w:p>
            <w:pPr>
              <w:spacing w:after="0"/>
              <w:rPr>
                <w:sz w:val="4"/>
                <w:szCs w:val="4"/>
                <w:color w:val="auto"/>
              </w:rPr>
            </w:pPr>
          </w:p>
        </w:tc>
        <w:tc>
          <w:tcPr>
            <w:tcW w:w="2200" w:type="dxa"/>
            <w:vAlign w:val="bottom"/>
            <w:shd w:val="clear" w:color="auto" w:fill="CCCCCC"/>
          </w:tcPr>
          <w:p>
            <w:pPr>
              <w:spacing w:after="0"/>
              <w:rPr>
                <w:sz w:val="4"/>
                <w:szCs w:val="4"/>
                <w:color w:val="auto"/>
              </w:rPr>
            </w:pPr>
          </w:p>
        </w:tc>
        <w:tc>
          <w:tcPr>
            <w:tcW w:w="1680" w:type="dxa"/>
            <w:vAlign w:val="bottom"/>
            <w:shd w:val="clear" w:color="auto" w:fill="CCCCCC"/>
          </w:tcPr>
          <w:p>
            <w:pPr>
              <w:spacing w:after="0"/>
              <w:rPr>
                <w:sz w:val="4"/>
                <w:szCs w:val="4"/>
                <w:color w:val="auto"/>
              </w:rPr>
            </w:pPr>
          </w:p>
        </w:tc>
        <w:tc>
          <w:tcPr>
            <w:tcW w:w="640" w:type="dxa"/>
            <w:vAlign w:val="bottom"/>
            <w:shd w:val="clear" w:color="auto" w:fill="CCCCCC"/>
          </w:tcPr>
          <w:p>
            <w:pPr>
              <w:spacing w:after="0"/>
              <w:rPr>
                <w:sz w:val="4"/>
                <w:szCs w:val="4"/>
                <w:color w:val="auto"/>
              </w:rPr>
            </w:pPr>
          </w:p>
        </w:tc>
        <w:tc>
          <w:tcPr>
            <w:tcW w:w="1040" w:type="dxa"/>
            <w:vAlign w:val="bottom"/>
            <w:shd w:val="clear" w:color="auto" w:fill="CCCCCC"/>
          </w:tcPr>
          <w:p>
            <w:pPr>
              <w:spacing w:after="0"/>
              <w:rPr>
                <w:sz w:val="4"/>
                <w:szCs w:val="4"/>
                <w:color w:val="auto"/>
              </w:rPr>
            </w:pPr>
          </w:p>
        </w:tc>
        <w:tc>
          <w:tcPr>
            <w:tcW w:w="1660" w:type="dxa"/>
            <w:vAlign w:val="bottom"/>
            <w:vMerge w:val="continue"/>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2.6</w:t>
            </w: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rPr>
              <w:t>31.3</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Product COGS</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Impairment of IPR&amp;D intangible asset</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w:t>
            </w: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rPr>
              <w:t>29.0</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R&amp;D</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Exit and disposal costs</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w:t>
            </w: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rPr>
              <w:t>17.1</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 SG&amp;A, Other Income</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0.7</w:t>
            </w: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w w:val="91"/>
              </w:rPr>
              <w:t>0.5</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200" w:type="dxa"/>
            <w:vAlign w:val="bottom"/>
            <w:tcBorders>
              <w:bottom w:val="single" w:sz="8" w:color="CCCCCC"/>
            </w:tcBorders>
            <w:shd w:val="clear" w:color="auto" w:fill="CCCCCC"/>
          </w:tcPr>
          <w:p>
            <w:pPr>
              <w:spacing w:after="0"/>
              <w:rPr>
                <w:sz w:val="13"/>
                <w:szCs w:val="13"/>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w w:val="97"/>
              </w:rPr>
              <w:t>(10.1)</w:t>
            </w:r>
          </w:p>
        </w:tc>
        <w:tc>
          <w:tcPr>
            <w:tcW w:w="640" w:type="dxa"/>
            <w:vAlign w:val="bottom"/>
            <w:tcBorders>
              <w:bottom w:val="single" w:sz="8" w:color="auto"/>
            </w:tcBorders>
            <w:shd w:val="clear" w:color="auto" w:fill="CCCCCC"/>
          </w:tcPr>
          <w:p>
            <w:pPr>
              <w:spacing w:after="0"/>
              <w:rPr>
                <w:sz w:val="13"/>
                <w:szCs w:val="13"/>
                <w:color w:val="auto"/>
              </w:rPr>
            </w:pPr>
          </w:p>
        </w:tc>
        <w:tc>
          <w:tcPr>
            <w:tcW w:w="1040" w:type="dxa"/>
            <w:vAlign w:val="bottom"/>
            <w:tcBorders>
              <w:bottom w:val="single" w:sz="8" w:color="auto"/>
            </w:tcBorders>
            <w:shd w:val="clear" w:color="auto" w:fill="CCCCCC"/>
          </w:tcPr>
          <w:p>
            <w:pPr>
              <w:jc w:val="center"/>
              <w:ind w:right="586"/>
              <w:spacing w:after="0"/>
              <w:rPr>
                <w:sz w:val="20"/>
                <w:szCs w:val="20"/>
                <w:color w:val="auto"/>
              </w:rPr>
            </w:pPr>
            <w:r>
              <w:rPr>
                <w:rFonts w:ascii="Arial" w:cs="Arial" w:eastAsia="Arial" w:hAnsi="Arial"/>
                <w:sz w:val="11"/>
                <w:szCs w:val="11"/>
                <w:color w:val="auto"/>
                <w:w w:val="97"/>
              </w:rPr>
              <w:t>(19.7)</w:t>
            </w:r>
          </w:p>
        </w:tc>
        <w:tc>
          <w:tcPr>
            <w:tcW w:w="166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200" w:type="dxa"/>
            <w:vAlign w:val="bottom"/>
            <w:tcBorders>
              <w:bottom w:val="single" w:sz="8" w:color="CCCCCC"/>
            </w:tcBorders>
            <w:shd w:val="clear" w:color="auto" w:fill="CCCCCC"/>
          </w:tcPr>
          <w:p>
            <w:pPr>
              <w:spacing w:after="0"/>
              <w:rPr>
                <w:sz w:val="11"/>
                <w:szCs w:val="11"/>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$40.7</w:t>
            </w:r>
          </w:p>
        </w:tc>
        <w:tc>
          <w:tcPr>
            <w:tcW w:w="640" w:type="dxa"/>
            <w:vAlign w:val="bottom"/>
            <w:tcBorders>
              <w:bottom w:val="single" w:sz="8" w:color="auto"/>
            </w:tcBorders>
            <w:shd w:val="clear" w:color="auto" w:fill="CCCCCC"/>
          </w:tcPr>
          <w:p>
            <w:pPr>
              <w:spacing w:after="0"/>
              <w:rPr>
                <w:sz w:val="11"/>
                <w:szCs w:val="11"/>
                <w:color w:val="auto"/>
              </w:rPr>
            </w:pPr>
          </w:p>
        </w:tc>
        <w:tc>
          <w:tcPr>
            <w:tcW w:w="1040" w:type="dxa"/>
            <w:vAlign w:val="bottom"/>
            <w:tcBorders>
              <w:bottom w:val="single" w:sz="8" w:color="auto"/>
            </w:tcBorders>
            <w:shd w:val="clear" w:color="auto" w:fill="CCCCCC"/>
          </w:tcPr>
          <w:p>
            <w:pPr>
              <w:jc w:val="center"/>
              <w:ind w:right="606"/>
              <w:spacing w:after="0"/>
              <w:rPr>
                <w:sz w:val="20"/>
                <w:szCs w:val="20"/>
                <w:color w:val="auto"/>
              </w:rPr>
            </w:pPr>
            <w:r>
              <w:rPr>
                <w:rFonts w:ascii="Arial" w:cs="Arial" w:eastAsia="Arial" w:hAnsi="Arial"/>
                <w:sz w:val="11"/>
                <w:szCs w:val="11"/>
                <w:color w:val="auto"/>
              </w:rPr>
              <w:t>$105.4</w:t>
            </w: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w:t>
            </w:r>
          </w:p>
        </w:tc>
        <w:tc>
          <w:tcPr>
            <w:tcW w:w="2200" w:type="dxa"/>
            <w:vAlign w:val="bottom"/>
            <w:tcBorders>
              <w:bottom w:val="single" w:sz="8" w:color="CCCCCC"/>
            </w:tcBorders>
            <w:shd w:val="clear" w:color="auto" w:fill="CCCCCC"/>
          </w:tcPr>
          <w:p>
            <w:pPr>
              <w:spacing w:after="0"/>
              <w:rPr>
                <w:sz w:val="11"/>
                <w:szCs w:val="11"/>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$82.3</w:t>
            </w:r>
          </w:p>
        </w:tc>
        <w:tc>
          <w:tcPr>
            <w:tcW w:w="640" w:type="dxa"/>
            <w:vAlign w:val="bottom"/>
            <w:tcBorders>
              <w:bottom w:val="single" w:sz="8" w:color="auto"/>
            </w:tcBorders>
            <w:shd w:val="clear" w:color="auto" w:fill="CCCCCC"/>
          </w:tcPr>
          <w:p>
            <w:pPr>
              <w:spacing w:after="0"/>
              <w:rPr>
                <w:sz w:val="11"/>
                <w:szCs w:val="11"/>
                <w:color w:val="auto"/>
              </w:rPr>
            </w:pPr>
          </w:p>
        </w:tc>
        <w:tc>
          <w:tcPr>
            <w:tcW w:w="1040" w:type="dxa"/>
            <w:vAlign w:val="bottom"/>
            <w:tcBorders>
              <w:bottom w:val="single" w:sz="8" w:color="auto"/>
            </w:tcBorders>
            <w:shd w:val="clear" w:color="auto" w:fill="CCCCCC"/>
          </w:tcPr>
          <w:p>
            <w:pPr>
              <w:jc w:val="center"/>
              <w:ind w:right="606"/>
              <w:spacing w:after="0"/>
              <w:rPr>
                <w:sz w:val="20"/>
                <w:szCs w:val="20"/>
                <w:color w:val="auto"/>
              </w:rPr>
            </w:pPr>
            <w:r>
              <w:rPr>
                <w:rFonts w:ascii="Arial" w:cs="Arial" w:eastAsia="Arial" w:hAnsi="Arial"/>
                <w:sz w:val="11"/>
                <w:szCs w:val="11"/>
                <w:color w:val="auto"/>
              </w:rPr>
              <w:t>$225.1</w:t>
            </w: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 per diluted share</w:t>
            </w:r>
          </w:p>
        </w:tc>
        <w:tc>
          <w:tcPr>
            <w:tcW w:w="2200" w:type="dxa"/>
            <w:vAlign w:val="bottom"/>
            <w:shd w:val="clear" w:color="auto" w:fill="CCCCCC"/>
          </w:tcPr>
          <w:p>
            <w:pPr>
              <w:spacing w:after="0"/>
              <w:rPr>
                <w:sz w:val="11"/>
                <w:szCs w:val="11"/>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$1.52</w:t>
            </w:r>
          </w:p>
        </w:tc>
        <w:tc>
          <w:tcPr>
            <w:tcW w:w="640" w:type="dxa"/>
            <w:vAlign w:val="bottom"/>
            <w:shd w:val="clear" w:color="auto" w:fill="CCCCCC"/>
          </w:tcPr>
          <w:p>
            <w:pPr>
              <w:spacing w:after="0"/>
              <w:rPr>
                <w:sz w:val="11"/>
                <w:szCs w:val="11"/>
                <w:color w:val="auto"/>
              </w:rPr>
            </w:pPr>
          </w:p>
        </w:tc>
        <w:tc>
          <w:tcPr>
            <w:tcW w:w="1040" w:type="dxa"/>
            <w:vAlign w:val="bottom"/>
            <w:shd w:val="clear" w:color="auto" w:fill="CCCCCC"/>
          </w:tcPr>
          <w:p>
            <w:pPr>
              <w:jc w:val="center"/>
              <w:ind w:right="606"/>
              <w:spacing w:after="0"/>
              <w:rPr>
                <w:sz w:val="20"/>
                <w:szCs w:val="20"/>
                <w:color w:val="auto"/>
              </w:rPr>
            </w:pPr>
            <w:r>
              <w:rPr>
                <w:rFonts w:ascii="Arial" w:cs="Arial" w:eastAsia="Arial" w:hAnsi="Arial"/>
                <w:sz w:val="11"/>
                <w:szCs w:val="11"/>
                <w:color w:val="auto"/>
                <w:w w:val="94"/>
              </w:rPr>
              <w:t>$4.20</w:t>
            </w:r>
          </w:p>
        </w:tc>
        <w:tc>
          <w:tcPr>
            <w:tcW w:w="16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32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2200" w:type="dxa"/>
            <w:vAlign w:val="bottom"/>
            <w:shd w:val="clear" w:color="auto" w:fill="0F243E"/>
          </w:tcPr>
          <w:p>
            <w:pPr>
              <w:spacing w:after="0"/>
              <w:rPr>
                <w:sz w:val="13"/>
                <w:szCs w:val="13"/>
                <w:color w:val="auto"/>
              </w:rPr>
            </w:pPr>
          </w:p>
        </w:tc>
        <w:tc>
          <w:tcPr>
            <w:tcW w:w="2320" w:type="dxa"/>
            <w:vAlign w:val="bottom"/>
            <w:gridSpan w:val="2"/>
            <w:shd w:val="clear" w:color="auto" w:fill="0F243E"/>
          </w:tcPr>
          <w:p>
            <w:pPr>
              <w:ind w:left="1080"/>
              <w:spacing w:after="0"/>
              <w:rPr>
                <w:sz w:val="20"/>
                <w:szCs w:val="20"/>
                <w:color w:val="auto"/>
              </w:rPr>
            </w:pPr>
            <w:r>
              <w:rPr>
                <w:rFonts w:ascii="Arial" w:cs="Arial" w:eastAsia="Arial" w:hAnsi="Arial"/>
                <w:sz w:val="11"/>
                <w:szCs w:val="11"/>
                <w:b w:val="1"/>
                <w:bCs w:val="1"/>
                <w:color w:val="FFFFFF"/>
                <w:w w:val="99"/>
              </w:rPr>
              <w:t>2021 Full Year Forecast</w:t>
            </w:r>
          </w:p>
        </w:tc>
        <w:tc>
          <w:tcPr>
            <w:tcW w:w="1040" w:type="dxa"/>
            <w:vAlign w:val="bottom"/>
            <w:shd w:val="clear" w:color="auto" w:fill="0F243E"/>
          </w:tcPr>
          <w:p>
            <w:pPr>
              <w:spacing w:after="0"/>
              <w:rPr>
                <w:sz w:val="13"/>
                <w:szCs w:val="13"/>
                <w:color w:val="auto"/>
              </w:rPr>
            </w:pPr>
          </w:p>
        </w:tc>
        <w:tc>
          <w:tcPr>
            <w:tcW w:w="1660" w:type="dxa"/>
            <w:vAlign w:val="bottom"/>
            <w:shd w:val="clear" w:color="auto" w:fill="0F243E"/>
          </w:tcPr>
          <w:p>
            <w:pPr>
              <w:jc w:val="center"/>
              <w:spacing w:after="0"/>
              <w:rPr>
                <w:sz w:val="20"/>
                <w:szCs w:val="20"/>
                <w:color w:val="auto"/>
              </w:rPr>
            </w:pPr>
            <w:r>
              <w:rPr>
                <w:rFonts w:ascii="Arial" w:cs="Arial" w:eastAsia="Arial" w:hAnsi="Arial"/>
                <w:sz w:val="11"/>
                <w:szCs w:val="11"/>
                <w:b w:val="1"/>
                <w:bCs w:val="1"/>
                <w:color w:val="FFFFFF"/>
                <w:w w:val="96"/>
              </w:rPr>
              <w:t>Source</w:t>
            </w:r>
          </w:p>
        </w:tc>
        <w:tc>
          <w:tcPr>
            <w:tcW w:w="0" w:type="dxa"/>
            <w:vAlign w:val="bottom"/>
          </w:tcPr>
          <w:p>
            <w:pPr>
              <w:spacing w:after="0"/>
              <w:rPr>
                <w:sz w:val="1"/>
                <w:szCs w:val="1"/>
                <w:color w:val="auto"/>
              </w:rPr>
            </w:pP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4520" w:type="dxa"/>
            <w:vAlign w:val="bottom"/>
            <w:gridSpan w:val="3"/>
            <w:shd w:val="clear" w:color="auto" w:fill="CCCCCC"/>
          </w:tcPr>
          <w:p>
            <w:pPr>
              <w:jc w:val="center"/>
              <w:ind w:left="3206"/>
              <w:spacing w:after="0"/>
              <w:rPr>
                <w:sz w:val="20"/>
                <w:szCs w:val="20"/>
                <w:color w:val="auto"/>
              </w:rPr>
            </w:pPr>
            <w:r>
              <w:rPr>
                <w:rFonts w:ascii="Arial" w:cs="Arial" w:eastAsia="Arial" w:hAnsi="Arial"/>
                <w:sz w:val="11"/>
                <w:szCs w:val="11"/>
                <w:color w:val="auto"/>
                <w:w w:val="98"/>
              </w:rPr>
              <w:t>$260 - $295</w:t>
            </w:r>
          </w:p>
        </w:tc>
        <w:tc>
          <w:tcPr>
            <w:tcW w:w="1040" w:type="dxa"/>
            <w:vAlign w:val="bottom"/>
            <w:shd w:val="clear" w:color="auto" w:fill="CCCCCC"/>
          </w:tcPr>
          <w:p>
            <w:pPr>
              <w:spacing w:after="0"/>
              <w:rPr>
                <w:sz w:val="12"/>
                <w:szCs w:val="12"/>
                <w:color w:val="auto"/>
              </w:rPr>
            </w:pPr>
          </w:p>
        </w:tc>
        <w:tc>
          <w:tcPr>
            <w:tcW w:w="16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80"/>
              <w:spacing w:after="0"/>
              <w:rPr>
                <w:sz w:val="20"/>
                <w:szCs w:val="20"/>
                <w:color w:val="auto"/>
              </w:rPr>
            </w:pPr>
            <w:r>
              <w:rPr>
                <w:rFonts w:ascii="Arial" w:cs="Arial" w:eastAsia="Arial" w:hAnsi="Arial"/>
                <w:sz w:val="11"/>
                <w:szCs w:val="11"/>
                <w:color w:val="auto"/>
              </w:rPr>
              <w:t>Adjustments:</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spacing w:after="0"/>
              <w:rPr>
                <w:sz w:val="13"/>
                <w:szCs w:val="13"/>
                <w:color w:val="auto"/>
              </w:rPr>
            </w:pPr>
          </w:p>
        </w:tc>
        <w:tc>
          <w:tcPr>
            <w:tcW w:w="640" w:type="dxa"/>
            <w:vAlign w:val="bottom"/>
            <w:shd w:val="clear" w:color="auto" w:fill="CCCCCC"/>
          </w:tcPr>
          <w:p>
            <w:pPr>
              <w:spacing w:after="0"/>
              <w:rPr>
                <w:sz w:val="13"/>
                <w:szCs w:val="13"/>
                <w:color w:val="auto"/>
              </w:rPr>
            </w:pPr>
          </w:p>
        </w:tc>
        <w:tc>
          <w:tcPr>
            <w:tcW w:w="1040" w:type="dxa"/>
            <w:vAlign w:val="bottom"/>
            <w:shd w:val="clear" w:color="auto" w:fill="CCCCCC"/>
          </w:tcPr>
          <w:p>
            <w:pPr>
              <w:spacing w:after="0"/>
              <w:rPr>
                <w:sz w:val="13"/>
                <w:szCs w:val="13"/>
                <w:color w:val="auto"/>
              </w:rPr>
            </w:pPr>
          </w:p>
        </w:tc>
        <w:tc>
          <w:tcPr>
            <w:tcW w:w="16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200" w:type="dxa"/>
            <w:vAlign w:val="bottom"/>
            <w:shd w:val="clear" w:color="auto" w:fill="CCCCCC"/>
          </w:tcPr>
          <w:p>
            <w:pPr>
              <w:spacing w:after="0"/>
              <w:rPr>
                <w:sz w:val="13"/>
                <w:szCs w:val="13"/>
                <w:color w:val="auto"/>
              </w:rPr>
            </w:pPr>
          </w:p>
        </w:tc>
        <w:tc>
          <w:tcPr>
            <w:tcW w:w="2320" w:type="dxa"/>
            <w:vAlign w:val="bottom"/>
            <w:gridSpan w:val="2"/>
            <w:shd w:val="clear" w:color="auto" w:fill="CCCCCC"/>
          </w:tcPr>
          <w:p>
            <w:pPr>
              <w:jc w:val="center"/>
              <w:ind w:left="986"/>
              <w:spacing w:after="0"/>
              <w:rPr>
                <w:sz w:val="20"/>
                <w:szCs w:val="20"/>
                <w:color w:val="auto"/>
              </w:rPr>
            </w:pPr>
            <w:r>
              <w:rPr>
                <w:rFonts w:ascii="Arial" w:cs="Arial" w:eastAsia="Arial" w:hAnsi="Arial"/>
                <w:sz w:val="11"/>
                <w:szCs w:val="11"/>
                <w:color w:val="auto"/>
                <w:w w:val="97"/>
              </w:rPr>
              <w:t>64</w:t>
            </w:r>
          </w:p>
        </w:tc>
        <w:tc>
          <w:tcPr>
            <w:tcW w:w="1040" w:type="dxa"/>
            <w:vAlign w:val="bottom"/>
            <w:shd w:val="clear" w:color="auto" w:fill="CCCCCC"/>
          </w:tcPr>
          <w:p>
            <w:pPr>
              <w:spacing w:after="0"/>
              <w:rPr>
                <w:sz w:val="13"/>
                <w:szCs w:val="13"/>
                <w:color w:val="auto"/>
              </w:rPr>
            </w:pP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9"/>
              </w:rPr>
              <w:t>IA Amortization, Other Income</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200" w:type="dxa"/>
            <w:vAlign w:val="bottom"/>
            <w:shd w:val="clear" w:color="auto" w:fill="CCCCCC"/>
          </w:tcPr>
          <w:p>
            <w:pPr>
              <w:spacing w:after="0"/>
              <w:rPr>
                <w:sz w:val="13"/>
                <w:szCs w:val="13"/>
                <w:color w:val="auto"/>
              </w:rPr>
            </w:pPr>
          </w:p>
        </w:tc>
        <w:tc>
          <w:tcPr>
            <w:tcW w:w="2320" w:type="dxa"/>
            <w:vAlign w:val="bottom"/>
            <w:gridSpan w:val="2"/>
            <w:shd w:val="clear" w:color="auto" w:fill="CCCCCC"/>
          </w:tcPr>
          <w:p>
            <w:pPr>
              <w:jc w:val="center"/>
              <w:ind w:left="1006"/>
              <w:spacing w:after="0"/>
              <w:rPr>
                <w:sz w:val="20"/>
                <w:szCs w:val="20"/>
                <w:color w:val="auto"/>
              </w:rPr>
            </w:pPr>
            <w:r>
              <w:rPr>
                <w:rFonts w:ascii="Arial" w:cs="Arial" w:eastAsia="Arial" w:hAnsi="Arial"/>
                <w:sz w:val="11"/>
                <w:szCs w:val="11"/>
                <w:color w:val="auto"/>
                <w:w w:val="97"/>
              </w:rPr>
              <w:t>3</w:t>
            </w:r>
          </w:p>
        </w:tc>
        <w:tc>
          <w:tcPr>
            <w:tcW w:w="1040" w:type="dxa"/>
            <w:vAlign w:val="bottom"/>
            <w:shd w:val="clear" w:color="auto" w:fill="CCCCCC"/>
          </w:tcPr>
          <w:p>
            <w:pPr>
              <w:spacing w:after="0"/>
              <w:rPr>
                <w:sz w:val="13"/>
                <w:szCs w:val="13"/>
                <w:color w:val="auto"/>
              </w:rPr>
            </w:pP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200" w:type="dxa"/>
            <w:vAlign w:val="bottom"/>
            <w:shd w:val="clear" w:color="auto" w:fill="CCCCCC"/>
          </w:tcPr>
          <w:p>
            <w:pPr>
              <w:spacing w:after="0"/>
              <w:rPr>
                <w:sz w:val="13"/>
                <w:szCs w:val="13"/>
                <w:color w:val="auto"/>
              </w:rPr>
            </w:pPr>
          </w:p>
        </w:tc>
        <w:tc>
          <w:tcPr>
            <w:tcW w:w="2320" w:type="dxa"/>
            <w:vAlign w:val="bottom"/>
            <w:gridSpan w:val="2"/>
            <w:shd w:val="clear" w:color="auto" w:fill="CCCCCC"/>
          </w:tcPr>
          <w:p>
            <w:pPr>
              <w:jc w:val="center"/>
              <w:ind w:left="1006"/>
              <w:spacing w:after="0"/>
              <w:rPr>
                <w:sz w:val="20"/>
                <w:szCs w:val="20"/>
                <w:color w:val="auto"/>
              </w:rPr>
            </w:pPr>
            <w:r>
              <w:rPr>
                <w:rFonts w:ascii="Arial" w:cs="Arial" w:eastAsia="Arial" w:hAnsi="Arial"/>
                <w:sz w:val="11"/>
                <w:szCs w:val="11"/>
                <w:color w:val="auto"/>
                <w:w w:val="97"/>
              </w:rPr>
              <w:t>1</w:t>
            </w:r>
          </w:p>
        </w:tc>
        <w:tc>
          <w:tcPr>
            <w:tcW w:w="1040" w:type="dxa"/>
            <w:vAlign w:val="bottom"/>
            <w:shd w:val="clear" w:color="auto" w:fill="CCCCCC"/>
          </w:tcPr>
          <w:p>
            <w:pPr>
              <w:spacing w:after="0"/>
              <w:rPr>
                <w:sz w:val="13"/>
                <w:szCs w:val="13"/>
                <w:color w:val="auto"/>
              </w:rPr>
            </w:pP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200" w:type="dxa"/>
            <w:vAlign w:val="bottom"/>
            <w:tcBorders>
              <w:bottom w:val="single" w:sz="8" w:color="CCCCCC"/>
            </w:tcBorders>
            <w:shd w:val="clear" w:color="auto" w:fill="CCCCCC"/>
          </w:tcPr>
          <w:p>
            <w:pPr>
              <w:spacing w:after="0"/>
              <w:rPr>
                <w:sz w:val="13"/>
                <w:szCs w:val="13"/>
                <w:color w:val="auto"/>
              </w:rPr>
            </w:pPr>
          </w:p>
        </w:tc>
        <w:tc>
          <w:tcPr>
            <w:tcW w:w="2320" w:type="dxa"/>
            <w:vAlign w:val="bottom"/>
            <w:tcBorders>
              <w:bottom w:val="single" w:sz="8" w:color="auto"/>
            </w:tcBorders>
            <w:gridSpan w:val="2"/>
            <w:shd w:val="clear" w:color="auto" w:fill="CCCCCC"/>
          </w:tcPr>
          <w:p>
            <w:pPr>
              <w:jc w:val="center"/>
              <w:ind w:left="1006"/>
              <w:spacing w:after="0"/>
              <w:rPr>
                <w:sz w:val="20"/>
                <w:szCs w:val="20"/>
                <w:color w:val="auto"/>
              </w:rPr>
            </w:pPr>
            <w:r>
              <w:rPr>
                <w:rFonts w:ascii="Arial" w:cs="Arial" w:eastAsia="Arial" w:hAnsi="Arial"/>
                <w:sz w:val="11"/>
                <w:szCs w:val="11"/>
                <w:color w:val="auto"/>
                <w:w w:val="91"/>
              </w:rPr>
              <w:t>(13)</w:t>
            </w:r>
          </w:p>
        </w:tc>
        <w:tc>
          <w:tcPr>
            <w:tcW w:w="1040" w:type="dxa"/>
            <w:vAlign w:val="bottom"/>
            <w:tcBorders>
              <w:bottom w:val="single" w:sz="8" w:color="auto"/>
            </w:tcBorders>
            <w:shd w:val="clear" w:color="auto" w:fill="CCCCCC"/>
          </w:tcPr>
          <w:p>
            <w:pPr>
              <w:spacing w:after="0"/>
              <w:rPr>
                <w:sz w:val="13"/>
                <w:szCs w:val="13"/>
                <w:color w:val="auto"/>
              </w:rPr>
            </w:pPr>
          </w:p>
        </w:tc>
        <w:tc>
          <w:tcPr>
            <w:tcW w:w="166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200" w:type="dxa"/>
            <w:vAlign w:val="bottom"/>
            <w:tcBorders>
              <w:bottom w:val="single" w:sz="8" w:color="CCCCCC"/>
            </w:tcBorders>
            <w:shd w:val="clear" w:color="auto" w:fill="CCCCCC"/>
          </w:tcPr>
          <w:p>
            <w:pPr>
              <w:spacing w:after="0"/>
              <w:rPr>
                <w:sz w:val="11"/>
                <w:szCs w:val="11"/>
                <w:color w:val="auto"/>
              </w:rPr>
            </w:pPr>
          </w:p>
        </w:tc>
        <w:tc>
          <w:tcPr>
            <w:tcW w:w="2320" w:type="dxa"/>
            <w:vAlign w:val="bottom"/>
            <w:tcBorders>
              <w:bottom w:val="single" w:sz="8" w:color="auto"/>
            </w:tcBorders>
            <w:gridSpan w:val="2"/>
            <w:shd w:val="clear" w:color="auto" w:fill="CCCCCC"/>
          </w:tcPr>
          <w:p>
            <w:pPr>
              <w:jc w:val="center"/>
              <w:ind w:left="1006"/>
              <w:spacing w:after="0"/>
              <w:rPr>
                <w:sz w:val="20"/>
                <w:szCs w:val="20"/>
                <w:color w:val="auto"/>
              </w:rPr>
            </w:pPr>
            <w:r>
              <w:rPr>
                <w:rFonts w:ascii="Arial" w:cs="Arial" w:eastAsia="Arial" w:hAnsi="Arial"/>
                <w:sz w:val="11"/>
                <w:szCs w:val="11"/>
                <w:color w:val="auto"/>
                <w:w w:val="97"/>
              </w:rPr>
              <w:t>$55</w:t>
            </w:r>
          </w:p>
        </w:tc>
        <w:tc>
          <w:tcPr>
            <w:tcW w:w="1040" w:type="dxa"/>
            <w:vAlign w:val="bottom"/>
            <w:tcBorders>
              <w:bottom w:val="single" w:sz="8" w:color="auto"/>
            </w:tcBorders>
            <w:shd w:val="clear" w:color="auto" w:fill="CCCCCC"/>
          </w:tcPr>
          <w:p>
            <w:pPr>
              <w:spacing w:after="0"/>
              <w:rPr>
                <w:sz w:val="11"/>
                <w:szCs w:val="11"/>
                <w:color w:val="auto"/>
              </w:rPr>
            </w:pP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w:t>
            </w:r>
          </w:p>
        </w:tc>
        <w:tc>
          <w:tcPr>
            <w:tcW w:w="2200" w:type="dxa"/>
            <w:vAlign w:val="bottom"/>
            <w:shd w:val="clear" w:color="auto" w:fill="CCCCCC"/>
          </w:tcPr>
          <w:p>
            <w:pPr>
              <w:spacing w:after="0"/>
              <w:rPr>
                <w:sz w:val="11"/>
                <w:szCs w:val="11"/>
                <w:color w:val="auto"/>
              </w:rPr>
            </w:pPr>
          </w:p>
        </w:tc>
        <w:tc>
          <w:tcPr>
            <w:tcW w:w="2320" w:type="dxa"/>
            <w:vAlign w:val="bottom"/>
            <w:gridSpan w:val="2"/>
            <w:shd w:val="clear" w:color="auto" w:fill="CCCCCC"/>
          </w:tcPr>
          <w:p>
            <w:pPr>
              <w:jc w:val="center"/>
              <w:ind w:left="1006"/>
              <w:spacing w:after="0"/>
              <w:rPr>
                <w:sz w:val="20"/>
                <w:szCs w:val="20"/>
                <w:color w:val="auto"/>
              </w:rPr>
            </w:pPr>
            <w:r>
              <w:rPr>
                <w:rFonts w:ascii="Arial" w:cs="Arial" w:eastAsia="Arial" w:hAnsi="Arial"/>
                <w:sz w:val="11"/>
                <w:szCs w:val="11"/>
                <w:color w:val="auto"/>
                <w:w w:val="98"/>
              </w:rPr>
              <w:t>$315 - $350</w:t>
            </w:r>
          </w:p>
        </w:tc>
        <w:tc>
          <w:tcPr>
            <w:tcW w:w="1040" w:type="dxa"/>
            <w:vAlign w:val="bottom"/>
            <w:shd w:val="clear" w:color="auto" w:fill="CCCCCC"/>
          </w:tcPr>
          <w:p>
            <w:pPr>
              <w:spacing w:after="0"/>
              <w:rPr>
                <w:sz w:val="11"/>
                <w:szCs w:val="11"/>
                <w:color w:val="auto"/>
              </w:rPr>
            </w:pPr>
          </w:p>
        </w:tc>
        <w:tc>
          <w:tcPr>
            <w:tcW w:w="16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761"/>
        </w:trPr>
        <w:tc>
          <w:tcPr>
            <w:tcW w:w="4080" w:type="dxa"/>
            <w:vAlign w:val="bottom"/>
          </w:tcPr>
          <w:p>
            <w:pPr>
              <w:spacing w:after="0"/>
              <w:rPr>
                <w:sz w:val="24"/>
                <w:szCs w:val="24"/>
                <w:color w:val="auto"/>
              </w:rPr>
            </w:pPr>
          </w:p>
        </w:tc>
        <w:tc>
          <w:tcPr>
            <w:tcW w:w="4520" w:type="dxa"/>
            <w:vAlign w:val="bottom"/>
            <w:gridSpan w:val="3"/>
          </w:tcPr>
          <w:p>
            <w:pPr>
              <w:ind w:left="1360"/>
              <w:spacing w:after="0"/>
              <w:rPr>
                <w:sz w:val="20"/>
                <w:szCs w:val="20"/>
                <w:color w:val="auto"/>
              </w:rPr>
            </w:pPr>
            <w:r>
              <w:rPr>
                <w:rFonts w:ascii="Arial" w:cs="Arial" w:eastAsia="Arial" w:hAnsi="Arial"/>
                <w:sz w:val="11"/>
                <w:szCs w:val="11"/>
                <w:color w:val="auto"/>
              </w:rPr>
              <w:t>12 of 16</w:t>
            </w: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-4197350</wp:posOffset>
            </wp:positionV>
            <wp:extent cx="7183755" cy="3720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3720465"/>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i w:val="1"/>
          <w:iCs w:val="1"/>
          <w:color w:val="auto"/>
        </w:rPr>
        <w:t>Reconciliation of Net Income to Adjusted EBITDA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1268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126873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80" w:type="dxa"/>
            <w:vAlign w:val="bottom"/>
            <w:shd w:val="clear" w:color="auto" w:fill="0F243E"/>
          </w:tcPr>
          <w:p>
            <w:pPr>
              <w:spacing w:after="0"/>
              <w:rPr>
                <w:sz w:val="13"/>
                <w:szCs w:val="13"/>
                <w:color w:val="auto"/>
              </w:rPr>
            </w:pPr>
          </w:p>
        </w:tc>
        <w:tc>
          <w:tcPr>
            <w:tcW w:w="1520" w:type="dxa"/>
            <w:vAlign w:val="bottom"/>
            <w:shd w:val="clear" w:color="auto" w:fill="0F243E"/>
          </w:tcPr>
          <w:p>
            <w:pPr>
              <w:spacing w:after="0"/>
              <w:rPr>
                <w:sz w:val="13"/>
                <w:szCs w:val="13"/>
                <w:color w:val="auto"/>
              </w:rPr>
            </w:pPr>
          </w:p>
        </w:tc>
        <w:tc>
          <w:tcPr>
            <w:tcW w:w="3500" w:type="dxa"/>
            <w:vAlign w:val="bottom"/>
            <w:gridSpan w:val="2"/>
            <w:shd w:val="clear" w:color="auto" w:fill="0F243E"/>
          </w:tcPr>
          <w:p>
            <w:pPr>
              <w:ind w:left="80"/>
              <w:spacing w:after="0"/>
              <w:rPr>
                <w:sz w:val="20"/>
                <w:szCs w:val="20"/>
                <w:color w:val="auto"/>
              </w:rPr>
            </w:pPr>
            <w:r>
              <w:rPr>
                <w:rFonts w:ascii="Arial" w:cs="Arial" w:eastAsia="Arial" w:hAnsi="Arial"/>
                <w:sz w:val="11"/>
                <w:szCs w:val="11"/>
                <w:b w:val="1"/>
                <w:bCs w:val="1"/>
                <w:color w:val="FFFFFF"/>
              </w:rPr>
              <w:t>Three Months Ended September 30,</w:t>
            </w:r>
          </w:p>
        </w:tc>
      </w:tr>
      <w:tr>
        <w:trPr>
          <w:trHeight w:val="151"/>
        </w:trPr>
        <w:tc>
          <w:tcPr>
            <w:tcW w:w="6280" w:type="dxa"/>
            <w:vAlign w:val="bottom"/>
            <w:tcBorders>
              <w:bottom w:val="single" w:sz="8" w:color="CCCCCC"/>
            </w:tcBorders>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520" w:type="dxa"/>
            <w:vAlign w:val="bottom"/>
            <w:tcBorders>
              <w:bottom w:val="single" w:sz="8" w:color="auto"/>
            </w:tcBorders>
            <w:shd w:val="clear" w:color="auto" w:fill="0F243E"/>
          </w:tcPr>
          <w:p>
            <w:pPr>
              <w:jc w:val="center"/>
              <w:ind w:left="946"/>
              <w:spacing w:after="0"/>
              <w:rPr>
                <w:sz w:val="20"/>
                <w:szCs w:val="20"/>
                <w:color w:val="auto"/>
              </w:rPr>
            </w:pPr>
            <w:r>
              <w:rPr>
                <w:rFonts w:ascii="Arial" w:cs="Arial" w:eastAsia="Arial" w:hAnsi="Arial"/>
                <w:sz w:val="11"/>
                <w:szCs w:val="11"/>
                <w:b w:val="1"/>
                <w:bCs w:val="1"/>
                <w:color w:val="FFFFFF"/>
                <w:w w:val="97"/>
              </w:rPr>
              <w:t>2021</w:t>
            </w:r>
          </w:p>
        </w:tc>
        <w:tc>
          <w:tcPr>
            <w:tcW w:w="1000" w:type="dxa"/>
            <w:vAlign w:val="bottom"/>
            <w:tcBorders>
              <w:bottom w:val="single" w:sz="8" w:color="auto"/>
            </w:tcBorders>
            <w:shd w:val="clear" w:color="auto" w:fill="0F243E"/>
          </w:tcPr>
          <w:p>
            <w:pPr>
              <w:spacing w:after="0"/>
              <w:rPr>
                <w:sz w:val="13"/>
                <w:szCs w:val="13"/>
                <w:color w:val="auto"/>
              </w:rPr>
            </w:pPr>
          </w:p>
        </w:tc>
        <w:tc>
          <w:tcPr>
            <w:tcW w:w="2500" w:type="dxa"/>
            <w:vAlign w:val="bottom"/>
            <w:tcBorders>
              <w:bottom w:val="single" w:sz="8" w:color="CCCCCC"/>
            </w:tcBorders>
            <w:shd w:val="clear" w:color="auto" w:fill="0F243E"/>
          </w:tcPr>
          <w:p>
            <w:pPr>
              <w:jc w:val="center"/>
              <w:spacing w:after="0"/>
              <w:rPr>
                <w:sz w:val="20"/>
                <w:szCs w:val="20"/>
                <w:color w:val="auto"/>
              </w:rPr>
            </w:pPr>
            <w:r>
              <w:rPr>
                <w:rFonts w:ascii="Arial" w:cs="Arial" w:eastAsia="Arial" w:hAnsi="Arial"/>
                <w:sz w:val="11"/>
                <w:szCs w:val="11"/>
                <w:b w:val="1"/>
                <w:bCs w:val="1"/>
                <w:color w:val="FFFFFF"/>
                <w:w w:val="97"/>
              </w:rPr>
              <w:t>2020</w:t>
            </w:r>
          </w:p>
        </w:tc>
      </w:tr>
      <w:tr>
        <w:trPr>
          <w:trHeight w:val="131"/>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 (loss)</w:t>
            </w: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($32.7)</w:t>
            </w:r>
          </w:p>
        </w:tc>
        <w:tc>
          <w:tcPr>
            <w:tcW w:w="3500" w:type="dxa"/>
            <w:vAlign w:val="bottom"/>
            <w:gridSpan w:val="2"/>
            <w:shd w:val="clear" w:color="auto" w:fill="CCCCCC"/>
          </w:tcPr>
          <w:p>
            <w:pPr>
              <w:jc w:val="center"/>
              <w:ind w:left="926"/>
              <w:spacing w:after="0"/>
              <w:rPr>
                <w:sz w:val="20"/>
                <w:szCs w:val="20"/>
                <w:color w:val="auto"/>
              </w:rPr>
            </w:pPr>
            <w:r>
              <w:rPr>
                <w:rFonts w:ascii="Arial" w:cs="Arial" w:eastAsia="Arial" w:hAnsi="Arial"/>
                <w:sz w:val="11"/>
                <w:szCs w:val="11"/>
                <w:color w:val="auto"/>
              </w:rPr>
              <w:t>$39.5</w:t>
            </w:r>
          </w:p>
        </w:tc>
      </w:tr>
      <w:tr>
        <w:trPr>
          <w:trHeight w:val="153"/>
        </w:trPr>
        <w:tc>
          <w:tcPr>
            <w:tcW w:w="6280" w:type="dxa"/>
            <w:vAlign w:val="bottom"/>
            <w:shd w:val="clear" w:color="auto" w:fill="CCCCCC"/>
          </w:tcPr>
          <w:p>
            <w:pPr>
              <w:ind w:left="80"/>
              <w:spacing w:after="0"/>
              <w:rPr>
                <w:sz w:val="20"/>
                <w:szCs w:val="20"/>
                <w:color w:val="auto"/>
              </w:rPr>
            </w:pPr>
            <w:r>
              <w:rPr>
                <w:rFonts w:ascii="Arial" w:cs="Arial" w:eastAsia="Arial" w:hAnsi="Arial"/>
                <w:sz w:val="11"/>
                <w:szCs w:val="11"/>
                <w:color w:val="auto"/>
              </w:rPr>
              <w:t>Adjustments:</w:t>
            </w:r>
          </w:p>
        </w:tc>
        <w:tc>
          <w:tcPr>
            <w:tcW w:w="1520" w:type="dxa"/>
            <w:vAlign w:val="bottom"/>
            <w:shd w:val="clear" w:color="auto" w:fill="CCCCCC"/>
          </w:tcPr>
          <w:p>
            <w:pPr>
              <w:spacing w:after="0"/>
              <w:rPr>
                <w:sz w:val="13"/>
                <w:szCs w:val="13"/>
                <w:color w:val="auto"/>
              </w:rPr>
            </w:pPr>
          </w:p>
        </w:tc>
        <w:tc>
          <w:tcPr>
            <w:tcW w:w="1000" w:type="dxa"/>
            <w:vAlign w:val="bottom"/>
            <w:shd w:val="clear" w:color="auto" w:fill="CCCCCC"/>
          </w:tcPr>
          <w:p>
            <w:pPr>
              <w:spacing w:after="0"/>
              <w:rPr>
                <w:sz w:val="13"/>
                <w:szCs w:val="13"/>
                <w:color w:val="auto"/>
              </w:rPr>
            </w:pPr>
          </w:p>
        </w:tc>
        <w:tc>
          <w:tcPr>
            <w:tcW w:w="2500" w:type="dxa"/>
            <w:vAlign w:val="bottom"/>
            <w:shd w:val="clear" w:color="auto" w:fill="CCCCCC"/>
          </w:tcPr>
          <w:p>
            <w:pPr>
              <w:spacing w:after="0"/>
              <w:rPr>
                <w:sz w:val="13"/>
                <w:szCs w:val="13"/>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3"/>
              </w:rPr>
              <w:t>32.6</w:t>
            </w:r>
          </w:p>
        </w:tc>
        <w:tc>
          <w:tcPr>
            <w:tcW w:w="3500" w:type="dxa"/>
            <w:vAlign w:val="bottom"/>
            <w:gridSpan w:val="2"/>
            <w:shd w:val="clear" w:color="auto" w:fill="CCCCCC"/>
          </w:tcPr>
          <w:p>
            <w:pPr>
              <w:jc w:val="center"/>
              <w:ind w:left="946"/>
              <w:spacing w:after="0"/>
              <w:rPr>
                <w:sz w:val="20"/>
                <w:szCs w:val="20"/>
                <w:color w:val="auto"/>
              </w:rPr>
            </w:pPr>
            <w:r>
              <w:rPr>
                <w:rFonts w:ascii="Arial" w:cs="Arial" w:eastAsia="Arial" w:hAnsi="Arial"/>
                <w:sz w:val="11"/>
                <w:szCs w:val="11"/>
                <w:color w:val="auto"/>
              </w:rPr>
              <w:t>28.8</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Income taxes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(12.8)</w:t>
            </w:r>
          </w:p>
        </w:tc>
        <w:tc>
          <w:tcPr>
            <w:tcW w:w="3500" w:type="dxa"/>
            <w:vAlign w:val="bottom"/>
            <w:gridSpan w:val="2"/>
            <w:shd w:val="clear" w:color="auto" w:fill="CCCCCC"/>
          </w:tcPr>
          <w:p>
            <w:pPr>
              <w:jc w:val="center"/>
              <w:ind w:left="946"/>
              <w:spacing w:after="0"/>
              <w:rPr>
                <w:sz w:val="20"/>
                <w:szCs w:val="20"/>
                <w:color w:val="auto"/>
              </w:rPr>
            </w:pPr>
            <w:r>
              <w:rPr>
                <w:rFonts w:ascii="Arial" w:cs="Arial" w:eastAsia="Arial" w:hAnsi="Arial"/>
                <w:sz w:val="11"/>
                <w:szCs w:val="11"/>
                <w:color w:val="auto"/>
              </w:rPr>
              <w:t>15.5</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8.3</w:t>
            </w:r>
          </w:p>
        </w:tc>
        <w:tc>
          <w:tcPr>
            <w:tcW w:w="3500" w:type="dxa"/>
            <w:vAlign w:val="bottom"/>
            <w:gridSpan w:val="2"/>
            <w:shd w:val="clear" w:color="auto" w:fill="CCCCCC"/>
          </w:tcPr>
          <w:p>
            <w:pPr>
              <w:jc w:val="center"/>
              <w:ind w:left="946"/>
              <w:spacing w:after="0"/>
              <w:rPr>
                <w:sz w:val="20"/>
                <w:szCs w:val="20"/>
                <w:color w:val="auto"/>
              </w:rPr>
            </w:pPr>
            <w:r>
              <w:rPr>
                <w:rFonts w:ascii="Arial" w:cs="Arial" w:eastAsia="Arial" w:hAnsi="Arial"/>
                <w:sz w:val="11"/>
                <w:szCs w:val="11"/>
                <w:color w:val="auto"/>
                <w:w w:val="91"/>
              </w:rPr>
              <w:t>7.5</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0.9</w:t>
            </w:r>
          </w:p>
        </w:tc>
        <w:tc>
          <w:tcPr>
            <w:tcW w:w="3500" w:type="dxa"/>
            <w:vAlign w:val="bottom"/>
            <w:gridSpan w:val="2"/>
            <w:shd w:val="clear" w:color="auto" w:fill="CCCCCC"/>
          </w:tcPr>
          <w:p>
            <w:pPr>
              <w:jc w:val="center"/>
              <w:ind w:left="946"/>
              <w:spacing w:after="0"/>
              <w:rPr>
                <w:sz w:val="20"/>
                <w:szCs w:val="20"/>
                <w:color w:val="auto"/>
              </w:rPr>
            </w:pPr>
            <w:r>
              <w:rPr>
                <w:rFonts w:ascii="Arial" w:cs="Arial" w:eastAsia="Arial" w:hAnsi="Arial"/>
                <w:sz w:val="11"/>
                <w:szCs w:val="11"/>
                <w:color w:val="auto"/>
              </w:rPr>
              <w:t>30.2</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Impairment of IPR&amp;D intangible asset</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w:t>
            </w:r>
          </w:p>
        </w:tc>
        <w:tc>
          <w:tcPr>
            <w:tcW w:w="3500" w:type="dxa"/>
            <w:vAlign w:val="bottom"/>
            <w:gridSpan w:val="2"/>
            <w:shd w:val="clear" w:color="auto" w:fill="CCCCCC"/>
          </w:tcPr>
          <w:p>
            <w:pPr>
              <w:jc w:val="center"/>
              <w:ind w:left="946"/>
              <w:spacing w:after="0"/>
              <w:rPr>
                <w:sz w:val="20"/>
                <w:szCs w:val="20"/>
                <w:color w:val="auto"/>
              </w:rPr>
            </w:pPr>
            <w:r>
              <w:rPr>
                <w:rFonts w:ascii="Arial" w:cs="Arial" w:eastAsia="Arial" w:hAnsi="Arial"/>
                <w:sz w:val="11"/>
                <w:szCs w:val="11"/>
                <w:color w:val="auto"/>
              </w:rPr>
              <w:t>29.0</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Exit and disposal costs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w:t>
            </w:r>
          </w:p>
        </w:tc>
        <w:tc>
          <w:tcPr>
            <w:tcW w:w="3500" w:type="dxa"/>
            <w:vAlign w:val="bottom"/>
            <w:gridSpan w:val="2"/>
            <w:shd w:val="clear" w:color="auto" w:fill="CCCCCC"/>
          </w:tcPr>
          <w:p>
            <w:pPr>
              <w:jc w:val="center"/>
              <w:ind w:left="926"/>
              <w:spacing w:after="0"/>
              <w:rPr>
                <w:sz w:val="20"/>
                <w:szCs w:val="20"/>
                <w:color w:val="auto"/>
              </w:rPr>
            </w:pPr>
            <w:r>
              <w:rPr>
                <w:rFonts w:ascii="Arial" w:cs="Arial" w:eastAsia="Arial" w:hAnsi="Arial"/>
                <w:sz w:val="11"/>
                <w:szCs w:val="11"/>
                <w:color w:val="auto"/>
                <w:w w:val="93"/>
              </w:rPr>
              <w:t>17.1</w:t>
            </w: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0.4</w:t>
            </w:r>
          </w:p>
        </w:tc>
        <w:tc>
          <w:tcPr>
            <w:tcW w:w="3500" w:type="dxa"/>
            <w:vAlign w:val="bottom"/>
            <w:tcBorders>
              <w:bottom w:val="single" w:sz="8" w:color="auto"/>
            </w:tcBorders>
            <w:gridSpan w:val="2"/>
            <w:shd w:val="clear" w:color="auto" w:fill="CCCCCC"/>
          </w:tcPr>
          <w:p>
            <w:pPr>
              <w:jc w:val="center"/>
              <w:ind w:left="946"/>
              <w:spacing w:after="0"/>
              <w:rPr>
                <w:sz w:val="20"/>
                <w:szCs w:val="20"/>
                <w:color w:val="auto"/>
              </w:rPr>
            </w:pPr>
            <w:r>
              <w:rPr>
                <w:rFonts w:ascii="Arial" w:cs="Arial" w:eastAsia="Arial" w:hAnsi="Arial"/>
                <w:sz w:val="11"/>
                <w:szCs w:val="11"/>
                <w:color w:val="auto"/>
                <w:w w:val="91"/>
              </w:rPr>
              <w:t>0.5</w:t>
            </w:r>
          </w:p>
        </w:tc>
      </w:tr>
      <w:tr>
        <w:trPr>
          <w:trHeight w:val="133"/>
        </w:trPr>
        <w:tc>
          <w:tcPr>
            <w:tcW w:w="62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$29.4</w:t>
            </w:r>
          </w:p>
        </w:tc>
        <w:tc>
          <w:tcPr>
            <w:tcW w:w="3500" w:type="dxa"/>
            <w:vAlign w:val="bottom"/>
            <w:tcBorders>
              <w:bottom w:val="single" w:sz="8" w:color="auto"/>
            </w:tcBorders>
            <w:gridSpan w:val="2"/>
            <w:shd w:val="clear" w:color="auto" w:fill="CCCCCC"/>
          </w:tcPr>
          <w:p>
            <w:pPr>
              <w:jc w:val="center"/>
              <w:ind w:left="946"/>
              <w:spacing w:after="0"/>
              <w:rPr>
                <w:sz w:val="20"/>
                <w:szCs w:val="20"/>
                <w:color w:val="auto"/>
              </w:rPr>
            </w:pPr>
            <w:r>
              <w:rPr>
                <w:rFonts w:ascii="Arial" w:cs="Arial" w:eastAsia="Arial" w:hAnsi="Arial"/>
                <w:sz w:val="11"/>
                <w:szCs w:val="11"/>
                <w:color w:val="auto"/>
              </w:rPr>
              <w:t>$128.6</w:t>
            </w:r>
          </w:p>
        </w:tc>
      </w:tr>
      <w:tr>
        <w:trPr>
          <w:trHeight w:val="135"/>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($3.3)</w:t>
            </w:r>
          </w:p>
        </w:tc>
        <w:tc>
          <w:tcPr>
            <w:tcW w:w="3500" w:type="dxa"/>
            <w:vAlign w:val="bottom"/>
            <w:gridSpan w:val="2"/>
            <w:shd w:val="clear" w:color="auto" w:fill="CCCCCC"/>
          </w:tcPr>
          <w:p>
            <w:pPr>
              <w:jc w:val="center"/>
              <w:ind w:left="946"/>
              <w:spacing w:after="0"/>
              <w:rPr>
                <w:sz w:val="20"/>
                <w:szCs w:val="20"/>
                <w:color w:val="auto"/>
              </w:rPr>
            </w:pPr>
            <w:r>
              <w:rPr>
                <w:rFonts w:ascii="Arial" w:cs="Arial" w:eastAsia="Arial" w:hAnsi="Arial"/>
                <w:sz w:val="11"/>
                <w:szCs w:val="11"/>
                <w:color w:val="auto"/>
              </w:rPr>
              <w:t>$168.1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83755" cy="1268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126873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80" w:type="dxa"/>
            <w:vAlign w:val="bottom"/>
            <w:shd w:val="clear" w:color="auto" w:fill="0F243E"/>
          </w:tcPr>
          <w:p>
            <w:pPr>
              <w:spacing w:after="0"/>
              <w:rPr>
                <w:sz w:val="13"/>
                <w:szCs w:val="13"/>
                <w:color w:val="auto"/>
              </w:rPr>
            </w:pPr>
          </w:p>
        </w:tc>
        <w:tc>
          <w:tcPr>
            <w:tcW w:w="1520" w:type="dxa"/>
            <w:vAlign w:val="bottom"/>
            <w:shd w:val="clear" w:color="auto" w:fill="0F243E"/>
          </w:tcPr>
          <w:p>
            <w:pPr>
              <w:spacing w:after="0"/>
              <w:rPr>
                <w:sz w:val="13"/>
                <w:szCs w:val="13"/>
                <w:color w:val="auto"/>
              </w:rPr>
            </w:pPr>
          </w:p>
        </w:tc>
        <w:tc>
          <w:tcPr>
            <w:tcW w:w="3500" w:type="dxa"/>
            <w:vAlign w:val="bottom"/>
            <w:shd w:val="clear" w:color="auto" w:fill="0F243E"/>
          </w:tcPr>
          <w:p>
            <w:pPr>
              <w:ind w:left="100"/>
              <w:spacing w:after="0"/>
              <w:rPr>
                <w:sz w:val="20"/>
                <w:szCs w:val="20"/>
                <w:color w:val="auto"/>
              </w:rPr>
            </w:pPr>
            <w:r>
              <w:rPr>
                <w:rFonts w:ascii="Arial" w:cs="Arial" w:eastAsia="Arial" w:hAnsi="Arial"/>
                <w:sz w:val="11"/>
                <w:szCs w:val="11"/>
                <w:b w:val="1"/>
                <w:bCs w:val="1"/>
                <w:color w:val="FFFFFF"/>
              </w:rPr>
              <w:t>Nine Months Ended September 30,</w:t>
            </w:r>
          </w:p>
        </w:tc>
      </w:tr>
      <w:tr>
        <w:trPr>
          <w:trHeight w:val="153"/>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520" w:type="dxa"/>
            <w:vAlign w:val="bottom"/>
            <w:shd w:val="clear" w:color="auto" w:fill="0F243E"/>
          </w:tcPr>
          <w:p>
            <w:pPr>
              <w:jc w:val="center"/>
              <w:ind w:left="946"/>
              <w:spacing w:after="0"/>
              <w:rPr>
                <w:sz w:val="20"/>
                <w:szCs w:val="20"/>
                <w:color w:val="auto"/>
              </w:rPr>
            </w:pPr>
            <w:r>
              <w:rPr>
                <w:rFonts w:ascii="Arial" w:cs="Arial" w:eastAsia="Arial" w:hAnsi="Arial"/>
                <w:sz w:val="11"/>
                <w:szCs w:val="11"/>
                <w:b w:val="1"/>
                <w:bCs w:val="1"/>
                <w:color w:val="FFFFFF"/>
                <w:w w:val="97"/>
              </w:rPr>
              <w:t>2021</w:t>
            </w:r>
          </w:p>
        </w:tc>
        <w:tc>
          <w:tcPr>
            <w:tcW w:w="3500" w:type="dxa"/>
            <w:vAlign w:val="bottom"/>
            <w:shd w:val="clear" w:color="auto" w:fill="0F243E"/>
          </w:tcPr>
          <w:p>
            <w:pPr>
              <w:jc w:val="center"/>
              <w:ind w:left="92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 (loss)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$41.6</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$119.7</w:t>
            </w:r>
          </w:p>
        </w:tc>
      </w:tr>
      <w:tr>
        <w:trPr>
          <w:trHeight w:val="153"/>
        </w:trPr>
        <w:tc>
          <w:tcPr>
            <w:tcW w:w="6280" w:type="dxa"/>
            <w:vAlign w:val="bottom"/>
            <w:shd w:val="clear" w:color="auto" w:fill="CCCCCC"/>
          </w:tcPr>
          <w:p>
            <w:pPr>
              <w:ind w:left="80"/>
              <w:spacing w:after="0"/>
              <w:rPr>
                <w:sz w:val="20"/>
                <w:szCs w:val="20"/>
                <w:color w:val="auto"/>
              </w:rPr>
            </w:pPr>
            <w:r>
              <w:rPr>
                <w:rFonts w:ascii="Arial" w:cs="Arial" w:eastAsia="Arial" w:hAnsi="Arial"/>
                <w:sz w:val="11"/>
                <w:szCs w:val="11"/>
                <w:color w:val="auto"/>
              </w:rPr>
              <w:t>Adjustments:</w:t>
            </w:r>
          </w:p>
        </w:tc>
        <w:tc>
          <w:tcPr>
            <w:tcW w:w="1520" w:type="dxa"/>
            <w:vAlign w:val="bottom"/>
            <w:shd w:val="clear" w:color="auto" w:fill="CCCCCC"/>
          </w:tcPr>
          <w:p>
            <w:pPr>
              <w:spacing w:after="0"/>
              <w:rPr>
                <w:sz w:val="13"/>
                <w:szCs w:val="13"/>
                <w:color w:val="auto"/>
              </w:rPr>
            </w:pPr>
          </w:p>
        </w:tc>
        <w:tc>
          <w:tcPr>
            <w:tcW w:w="3500" w:type="dxa"/>
            <w:vAlign w:val="bottom"/>
            <w:shd w:val="clear" w:color="auto" w:fill="CCCCCC"/>
          </w:tcPr>
          <w:p>
            <w:pPr>
              <w:spacing w:after="0"/>
              <w:rPr>
                <w:sz w:val="13"/>
                <w:szCs w:val="13"/>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3"/>
              </w:rPr>
              <w:t>94.5</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85.6</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Income taxes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5.3</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34.7</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3"/>
              </w:rPr>
              <w:t>25.0</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21.6</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2.6</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31.3</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Impairment of IPR&amp;D intangible asset</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29.0</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Exit and disposal costs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3"/>
              </w:rPr>
              <w:t>17.1</w:t>
            </w: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0.7</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1"/>
              </w:rPr>
              <w:t>0.5</w:t>
            </w:r>
          </w:p>
        </w:tc>
      </w:tr>
      <w:tr>
        <w:trPr>
          <w:trHeight w:val="133"/>
        </w:trPr>
        <w:tc>
          <w:tcPr>
            <w:tcW w:w="62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4"/>
              </w:rPr>
              <w:t>$128.1</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$219.8</w:t>
            </w:r>
          </w:p>
        </w:tc>
      </w:tr>
      <w:tr>
        <w:trPr>
          <w:trHeight w:val="135"/>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$169.7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$339.5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83755" cy="971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97155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2200" w:type="dxa"/>
            <w:vAlign w:val="bottom"/>
            <w:shd w:val="clear" w:color="auto" w:fill="0F243E"/>
          </w:tcPr>
          <w:p>
            <w:pPr>
              <w:spacing w:after="0"/>
              <w:rPr>
                <w:sz w:val="12"/>
                <w:szCs w:val="12"/>
                <w:color w:val="auto"/>
              </w:rPr>
            </w:pPr>
          </w:p>
        </w:tc>
        <w:tc>
          <w:tcPr>
            <w:tcW w:w="5020" w:type="dxa"/>
            <w:vAlign w:val="bottom"/>
            <w:gridSpan w:val="2"/>
            <w:shd w:val="clear" w:color="auto" w:fill="0F243E"/>
          </w:tcPr>
          <w:p>
            <w:pPr>
              <w:ind w:left="1920"/>
              <w:spacing w:after="0"/>
              <w:rPr>
                <w:sz w:val="20"/>
                <w:szCs w:val="20"/>
                <w:color w:val="auto"/>
              </w:rPr>
            </w:pPr>
            <w:r>
              <w:rPr>
                <w:rFonts w:ascii="Arial" w:cs="Arial" w:eastAsia="Arial" w:hAnsi="Arial"/>
                <w:sz w:val="11"/>
                <w:szCs w:val="11"/>
                <w:b w:val="1"/>
                <w:bCs w:val="1"/>
                <w:color w:val="FFFFFF"/>
              </w:rPr>
              <w:t>2021 Full Year Forecast</w:t>
            </w: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4680" w:type="dxa"/>
            <w:vAlign w:val="bottom"/>
            <w:gridSpan w:val="2"/>
            <w:shd w:val="clear" w:color="auto" w:fill="CCCCCC"/>
          </w:tcPr>
          <w:p>
            <w:pPr>
              <w:jc w:val="right"/>
              <w:spacing w:after="0"/>
              <w:rPr>
                <w:sz w:val="20"/>
                <w:szCs w:val="20"/>
                <w:color w:val="auto"/>
              </w:rPr>
            </w:pPr>
            <w:r>
              <w:rPr>
                <w:rFonts w:ascii="Arial" w:cs="Arial" w:eastAsia="Arial" w:hAnsi="Arial"/>
                <w:sz w:val="11"/>
                <w:szCs w:val="11"/>
                <w:color w:val="auto"/>
              </w:rPr>
              <w:t>$260</w:t>
            </w:r>
          </w:p>
        </w:tc>
        <w:tc>
          <w:tcPr>
            <w:tcW w:w="2540" w:type="dxa"/>
            <w:vAlign w:val="bottom"/>
            <w:shd w:val="clear" w:color="auto" w:fill="CCCCCC"/>
          </w:tcPr>
          <w:p>
            <w:pPr>
              <w:ind w:left="20"/>
              <w:spacing w:after="0"/>
              <w:rPr>
                <w:sz w:val="20"/>
                <w:szCs w:val="20"/>
                <w:color w:val="auto"/>
              </w:rPr>
            </w:pPr>
            <w:r>
              <w:rPr>
                <w:rFonts w:ascii="Arial" w:cs="Arial" w:eastAsia="Arial" w:hAnsi="Arial"/>
                <w:sz w:val="11"/>
                <w:szCs w:val="11"/>
                <w:color w:val="auto"/>
              </w:rPr>
              <w:t>- $295</w:t>
            </w:r>
          </w:p>
        </w:tc>
      </w:tr>
      <w:tr>
        <w:trPr>
          <w:trHeight w:val="153"/>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200" w:type="dxa"/>
            <w:vAlign w:val="bottom"/>
            <w:shd w:val="clear" w:color="auto" w:fill="CCCCCC"/>
          </w:tcPr>
          <w:p>
            <w:pPr>
              <w:spacing w:after="0"/>
              <w:rPr>
                <w:sz w:val="13"/>
                <w:szCs w:val="13"/>
                <w:color w:val="auto"/>
              </w:rPr>
            </w:pPr>
          </w:p>
        </w:tc>
        <w:tc>
          <w:tcPr>
            <w:tcW w:w="2480" w:type="dxa"/>
            <w:vAlign w:val="bottom"/>
            <w:shd w:val="clear" w:color="auto" w:fill="CCCCCC"/>
          </w:tcPr>
          <w:p>
            <w:pPr>
              <w:spacing w:after="0"/>
              <w:rPr>
                <w:sz w:val="13"/>
                <w:szCs w:val="13"/>
                <w:color w:val="auto"/>
              </w:rPr>
            </w:pPr>
          </w:p>
        </w:tc>
        <w:tc>
          <w:tcPr>
            <w:tcW w:w="2540" w:type="dxa"/>
            <w:vAlign w:val="bottom"/>
            <w:shd w:val="clear" w:color="auto" w:fill="CCCCCC"/>
          </w:tcPr>
          <w:p>
            <w:pPr>
              <w:spacing w:after="0"/>
              <w:rPr>
                <w:sz w:val="13"/>
                <w:szCs w:val="13"/>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2200" w:type="dxa"/>
            <w:vAlign w:val="bottom"/>
            <w:shd w:val="clear" w:color="auto" w:fill="CCCCCC"/>
          </w:tcPr>
          <w:p>
            <w:pPr>
              <w:spacing w:after="0"/>
              <w:rPr>
                <w:sz w:val="13"/>
                <w:szCs w:val="13"/>
                <w:color w:val="auto"/>
              </w:rPr>
            </w:pPr>
          </w:p>
        </w:tc>
        <w:tc>
          <w:tcPr>
            <w:tcW w:w="5020" w:type="dxa"/>
            <w:vAlign w:val="bottom"/>
            <w:gridSpan w:val="2"/>
            <w:shd w:val="clear" w:color="auto" w:fill="CCCCCC"/>
          </w:tcPr>
          <w:p>
            <w:pPr>
              <w:jc w:val="center"/>
              <w:spacing w:after="0"/>
              <w:rPr>
                <w:sz w:val="20"/>
                <w:szCs w:val="20"/>
                <w:color w:val="auto"/>
              </w:rPr>
            </w:pPr>
            <w:r>
              <w:rPr>
                <w:rFonts w:ascii="Arial" w:cs="Arial" w:eastAsia="Arial" w:hAnsi="Arial"/>
                <w:sz w:val="11"/>
                <w:szCs w:val="11"/>
                <w:color w:val="auto"/>
                <w:w w:val="97"/>
              </w:rPr>
              <w:t>127</w:t>
            </w: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Provision for income taxes</w:t>
            </w:r>
          </w:p>
        </w:tc>
        <w:tc>
          <w:tcPr>
            <w:tcW w:w="2200" w:type="dxa"/>
            <w:vAlign w:val="bottom"/>
            <w:shd w:val="clear" w:color="auto" w:fill="CCCCCC"/>
          </w:tcPr>
          <w:p>
            <w:pPr>
              <w:spacing w:after="0"/>
              <w:rPr>
                <w:sz w:val="13"/>
                <w:szCs w:val="13"/>
                <w:color w:val="auto"/>
              </w:rPr>
            </w:pPr>
          </w:p>
        </w:tc>
        <w:tc>
          <w:tcPr>
            <w:tcW w:w="24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76</w:t>
            </w:r>
          </w:p>
        </w:tc>
        <w:tc>
          <w:tcPr>
            <w:tcW w:w="2540" w:type="dxa"/>
            <w:vAlign w:val="bottom"/>
            <w:shd w:val="clear" w:color="auto" w:fill="CCCCCC"/>
          </w:tcPr>
          <w:p>
            <w:pPr>
              <w:ind w:left="20"/>
              <w:spacing w:after="0"/>
              <w:rPr>
                <w:sz w:val="20"/>
                <w:szCs w:val="20"/>
                <w:color w:val="auto"/>
              </w:rPr>
            </w:pPr>
            <w:r>
              <w:rPr>
                <w:rFonts w:ascii="Arial" w:cs="Arial" w:eastAsia="Arial" w:hAnsi="Arial"/>
                <w:sz w:val="11"/>
                <w:szCs w:val="11"/>
                <w:color w:val="auto"/>
              </w:rPr>
              <w:t>- 91</w:t>
            </w: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2200" w:type="dxa"/>
            <w:vAlign w:val="bottom"/>
            <w:shd w:val="clear" w:color="auto" w:fill="CCCCCC"/>
          </w:tcPr>
          <w:p>
            <w:pPr>
              <w:spacing w:after="0"/>
              <w:rPr>
                <w:sz w:val="13"/>
                <w:szCs w:val="13"/>
                <w:color w:val="auto"/>
              </w:rPr>
            </w:pPr>
          </w:p>
        </w:tc>
        <w:tc>
          <w:tcPr>
            <w:tcW w:w="5020" w:type="dxa"/>
            <w:vAlign w:val="bottom"/>
            <w:gridSpan w:val="2"/>
            <w:shd w:val="clear" w:color="auto" w:fill="CCCCCC"/>
          </w:tcPr>
          <w:p>
            <w:pPr>
              <w:jc w:val="center"/>
              <w:spacing w:after="0"/>
              <w:rPr>
                <w:sz w:val="20"/>
                <w:szCs w:val="20"/>
                <w:color w:val="auto"/>
              </w:rPr>
            </w:pPr>
            <w:r>
              <w:rPr>
                <w:rFonts w:ascii="Arial" w:cs="Arial" w:eastAsia="Arial" w:hAnsi="Arial"/>
                <w:sz w:val="11"/>
                <w:szCs w:val="11"/>
                <w:color w:val="auto"/>
                <w:w w:val="97"/>
              </w:rPr>
              <w:t>33</w:t>
            </w: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200" w:type="dxa"/>
            <w:vAlign w:val="bottom"/>
            <w:shd w:val="clear" w:color="auto" w:fill="CCCCCC"/>
          </w:tcPr>
          <w:p>
            <w:pPr>
              <w:spacing w:after="0"/>
              <w:rPr>
                <w:sz w:val="13"/>
                <w:szCs w:val="13"/>
                <w:color w:val="auto"/>
              </w:rPr>
            </w:pPr>
          </w:p>
        </w:tc>
        <w:tc>
          <w:tcPr>
            <w:tcW w:w="2480" w:type="dxa"/>
            <w:vAlign w:val="bottom"/>
            <w:shd w:val="clear" w:color="auto" w:fill="CCCCCC"/>
          </w:tcPr>
          <w:p>
            <w:pPr>
              <w:spacing w:after="0"/>
              <w:rPr>
                <w:sz w:val="13"/>
                <w:szCs w:val="13"/>
                <w:color w:val="auto"/>
              </w:rPr>
            </w:pPr>
          </w:p>
        </w:tc>
        <w:tc>
          <w:tcPr>
            <w:tcW w:w="2540" w:type="dxa"/>
            <w:vAlign w:val="bottom"/>
            <w:shd w:val="clear" w:color="auto" w:fill="CCCCCC"/>
          </w:tcPr>
          <w:p>
            <w:pPr>
              <w:jc w:val="center"/>
              <w:ind w:right="2426"/>
              <w:spacing w:after="0"/>
              <w:rPr>
                <w:sz w:val="20"/>
                <w:szCs w:val="20"/>
                <w:color w:val="auto"/>
              </w:rPr>
            </w:pPr>
            <w:r>
              <w:rPr>
                <w:rFonts w:ascii="Arial" w:cs="Arial" w:eastAsia="Arial" w:hAnsi="Arial"/>
                <w:sz w:val="11"/>
                <w:szCs w:val="11"/>
                <w:color w:val="auto"/>
                <w:w w:val="97"/>
              </w:rPr>
              <w:t>3</w:t>
            </w:r>
          </w:p>
        </w:tc>
      </w:tr>
      <w:tr>
        <w:trPr>
          <w:trHeight w:val="155"/>
        </w:trPr>
        <w:tc>
          <w:tcPr>
            <w:tcW w:w="40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200" w:type="dxa"/>
            <w:vAlign w:val="bottom"/>
            <w:tcBorders>
              <w:bottom w:val="single" w:sz="8" w:color="CCCCCC"/>
            </w:tcBorders>
            <w:shd w:val="clear" w:color="auto" w:fill="CCCCCC"/>
          </w:tcPr>
          <w:p>
            <w:pPr>
              <w:spacing w:after="0"/>
              <w:rPr>
                <w:sz w:val="13"/>
                <w:szCs w:val="13"/>
                <w:color w:val="auto"/>
              </w:rPr>
            </w:pPr>
          </w:p>
        </w:tc>
        <w:tc>
          <w:tcPr>
            <w:tcW w:w="2480" w:type="dxa"/>
            <w:vAlign w:val="bottom"/>
            <w:tcBorders>
              <w:bottom w:val="single" w:sz="8" w:color="auto"/>
            </w:tcBorders>
            <w:shd w:val="clear" w:color="auto" w:fill="CCCCCC"/>
          </w:tcPr>
          <w:p>
            <w:pPr>
              <w:spacing w:after="0"/>
              <w:rPr>
                <w:sz w:val="13"/>
                <w:szCs w:val="13"/>
                <w:color w:val="auto"/>
              </w:rPr>
            </w:pPr>
          </w:p>
        </w:tc>
        <w:tc>
          <w:tcPr>
            <w:tcW w:w="2540" w:type="dxa"/>
            <w:vAlign w:val="bottom"/>
            <w:tcBorders>
              <w:bottom w:val="single" w:sz="8" w:color="auto"/>
            </w:tcBorders>
            <w:shd w:val="clear" w:color="auto" w:fill="CCCCCC"/>
          </w:tcPr>
          <w:p>
            <w:pPr>
              <w:jc w:val="center"/>
              <w:ind w:right="2426"/>
              <w:spacing w:after="0"/>
              <w:rPr>
                <w:sz w:val="20"/>
                <w:szCs w:val="20"/>
                <w:color w:val="auto"/>
              </w:rPr>
            </w:pPr>
            <w:r>
              <w:rPr>
                <w:rFonts w:ascii="Arial" w:cs="Arial" w:eastAsia="Arial" w:hAnsi="Arial"/>
                <w:sz w:val="11"/>
                <w:szCs w:val="11"/>
                <w:color w:val="auto"/>
                <w:w w:val="97"/>
              </w:rPr>
              <w:t>1</w:t>
            </w: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200" w:type="dxa"/>
            <w:vAlign w:val="bottom"/>
            <w:tcBorders>
              <w:bottom w:val="single" w:sz="8" w:color="CCCCCC"/>
            </w:tcBorders>
            <w:shd w:val="clear" w:color="auto" w:fill="CCCCCC"/>
          </w:tcPr>
          <w:p>
            <w:pPr>
              <w:spacing w:after="0"/>
              <w:rPr>
                <w:sz w:val="11"/>
                <w:szCs w:val="11"/>
                <w:color w:val="auto"/>
              </w:rPr>
            </w:pPr>
          </w:p>
        </w:tc>
        <w:tc>
          <w:tcPr>
            <w:tcW w:w="24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1"/>
                <w:szCs w:val="11"/>
                <w:color w:val="auto"/>
              </w:rPr>
              <w:t>240</w:t>
            </w:r>
          </w:p>
        </w:tc>
        <w:tc>
          <w:tcPr>
            <w:tcW w:w="254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1"/>
                <w:szCs w:val="11"/>
                <w:color w:val="auto"/>
              </w:rPr>
              <w:t>- 255</w:t>
            </w: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2200" w:type="dxa"/>
            <w:vAlign w:val="bottom"/>
            <w:shd w:val="clear" w:color="auto" w:fill="CCCCCC"/>
          </w:tcPr>
          <w:p>
            <w:pPr>
              <w:spacing w:after="0"/>
              <w:rPr>
                <w:sz w:val="11"/>
                <w:szCs w:val="11"/>
                <w:color w:val="auto"/>
              </w:rPr>
            </w:pPr>
          </w:p>
        </w:tc>
        <w:tc>
          <w:tcPr>
            <w:tcW w:w="24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$500</w:t>
            </w:r>
          </w:p>
        </w:tc>
        <w:tc>
          <w:tcPr>
            <w:tcW w:w="2540" w:type="dxa"/>
            <w:vAlign w:val="bottom"/>
            <w:shd w:val="clear" w:color="auto" w:fill="CCCCCC"/>
          </w:tcPr>
          <w:p>
            <w:pPr>
              <w:ind w:left="20"/>
              <w:spacing w:after="0"/>
              <w:rPr>
                <w:sz w:val="20"/>
                <w:szCs w:val="20"/>
                <w:color w:val="auto"/>
              </w:rPr>
            </w:pPr>
            <w:r>
              <w:rPr>
                <w:rFonts w:ascii="Arial" w:cs="Arial" w:eastAsia="Arial" w:hAnsi="Arial"/>
                <w:sz w:val="11"/>
                <w:szCs w:val="11"/>
                <w:color w:val="auto"/>
              </w:rPr>
              <w:t>- $550</w:t>
            </w:r>
          </w:p>
        </w:tc>
      </w:tr>
      <w:tr>
        <w:trPr>
          <w:trHeight w:val="752"/>
        </w:trPr>
        <w:tc>
          <w:tcPr>
            <w:tcW w:w="4080" w:type="dxa"/>
            <w:vAlign w:val="bottom"/>
          </w:tcPr>
          <w:p>
            <w:pPr>
              <w:spacing w:after="0"/>
              <w:rPr>
                <w:sz w:val="24"/>
                <w:szCs w:val="24"/>
                <w:color w:val="auto"/>
              </w:rPr>
            </w:pPr>
          </w:p>
        </w:tc>
        <w:tc>
          <w:tcPr>
            <w:tcW w:w="4680" w:type="dxa"/>
            <w:vAlign w:val="bottom"/>
            <w:gridSpan w:val="2"/>
          </w:tcPr>
          <w:p>
            <w:pPr>
              <w:jc w:val="right"/>
              <w:ind w:right="2866"/>
              <w:spacing w:after="0"/>
              <w:rPr>
                <w:sz w:val="20"/>
                <w:szCs w:val="20"/>
                <w:color w:val="auto"/>
              </w:rPr>
            </w:pPr>
            <w:r>
              <w:rPr>
                <w:rFonts w:ascii="Arial" w:cs="Arial" w:eastAsia="Arial" w:hAnsi="Arial"/>
                <w:sz w:val="11"/>
                <w:szCs w:val="11"/>
                <w:color w:val="auto"/>
              </w:rPr>
              <w:t>13 of 16</w:t>
            </w:r>
          </w:p>
        </w:tc>
        <w:tc>
          <w:tcPr>
            <w:tcW w:w="2540" w:type="dxa"/>
            <w:vAlign w:val="bottom"/>
          </w:tcPr>
          <w:p>
            <w:pPr>
              <w:spacing w:after="0"/>
              <w:rPr>
                <w:sz w:val="24"/>
                <w:szCs w:val="24"/>
                <w:color w:val="auto"/>
              </w:rPr>
            </w:pPr>
          </w:p>
        </w:tc>
      </w:tr>
    </w:tbl>
    <w:p>
      <w:pPr>
        <w:sectPr>
          <w:pgSz w:w="11900" w:h="16838" w:orient="portrait"/>
          <w:cols w:equalWidth="0" w:num="1">
            <w:col w:w="11300"/>
          </w:cols>
          <w:pgMar w:left="300" w:top="638"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i w:val="1"/>
          <w:iCs w:val="1"/>
          <w:color w:val="auto"/>
        </w:rPr>
        <w:t>Reconciliation of Gross Margin and Adjusted Gross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83755" cy="1788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178879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80" w:type="dxa"/>
            <w:vAlign w:val="bottom"/>
            <w:shd w:val="clear" w:color="auto" w:fill="0F243E"/>
          </w:tcPr>
          <w:p>
            <w:pPr>
              <w:spacing w:after="0"/>
              <w:rPr>
                <w:sz w:val="13"/>
                <w:szCs w:val="13"/>
                <w:color w:val="auto"/>
              </w:rPr>
            </w:pPr>
          </w:p>
        </w:tc>
        <w:tc>
          <w:tcPr>
            <w:tcW w:w="1300" w:type="dxa"/>
            <w:vAlign w:val="bottom"/>
            <w:shd w:val="clear" w:color="auto" w:fill="0F243E"/>
          </w:tcPr>
          <w:p>
            <w:pPr>
              <w:spacing w:after="0"/>
              <w:rPr>
                <w:sz w:val="13"/>
                <w:szCs w:val="13"/>
                <w:color w:val="auto"/>
              </w:rPr>
            </w:pPr>
          </w:p>
        </w:tc>
        <w:tc>
          <w:tcPr>
            <w:tcW w:w="1540" w:type="dxa"/>
            <w:vAlign w:val="bottom"/>
            <w:shd w:val="clear" w:color="auto" w:fill="0F243E"/>
          </w:tcPr>
          <w:p>
            <w:pPr>
              <w:spacing w:after="0"/>
              <w:rPr>
                <w:sz w:val="13"/>
                <w:szCs w:val="13"/>
                <w:color w:val="auto"/>
              </w:rPr>
            </w:pPr>
          </w:p>
        </w:tc>
        <w:tc>
          <w:tcPr>
            <w:tcW w:w="3480" w:type="dxa"/>
            <w:vAlign w:val="bottom"/>
            <w:shd w:val="clear" w:color="auto" w:fill="0F243E"/>
          </w:tcPr>
          <w:p>
            <w:pPr>
              <w:jc w:val="center"/>
              <w:ind w:right="1466"/>
              <w:spacing w:after="0"/>
              <w:rPr>
                <w:sz w:val="20"/>
                <w:szCs w:val="20"/>
                <w:color w:val="auto"/>
              </w:rPr>
            </w:pPr>
            <w:r>
              <w:rPr>
                <w:rFonts w:ascii="Arial" w:cs="Arial" w:eastAsia="Arial" w:hAnsi="Arial"/>
                <w:sz w:val="11"/>
                <w:szCs w:val="11"/>
                <w:b w:val="1"/>
                <w:bCs w:val="1"/>
                <w:color w:val="FFFFFF"/>
                <w:w w:val="98"/>
              </w:rPr>
              <w:t>Three Months Ended September 30,</w:t>
            </w:r>
          </w:p>
        </w:tc>
      </w:tr>
      <w:tr>
        <w:trPr>
          <w:trHeight w:val="153"/>
        </w:trPr>
        <w:tc>
          <w:tcPr>
            <w:tcW w:w="49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300" w:type="dxa"/>
            <w:vAlign w:val="bottom"/>
            <w:shd w:val="clear" w:color="auto" w:fill="0F243E"/>
          </w:tcPr>
          <w:p>
            <w:pPr>
              <w:spacing w:after="0"/>
              <w:rPr>
                <w:sz w:val="13"/>
                <w:szCs w:val="13"/>
                <w:color w:val="auto"/>
              </w:rPr>
            </w:pPr>
          </w:p>
        </w:tc>
        <w:tc>
          <w:tcPr>
            <w:tcW w:w="1540" w:type="dxa"/>
            <w:vAlign w:val="bottom"/>
            <w:shd w:val="clear" w:color="auto" w:fill="0F243E"/>
          </w:tcPr>
          <w:p>
            <w:pPr>
              <w:jc w:val="center"/>
              <w:ind w:left="926"/>
              <w:spacing w:after="0"/>
              <w:rPr>
                <w:sz w:val="20"/>
                <w:szCs w:val="20"/>
                <w:color w:val="auto"/>
              </w:rPr>
            </w:pPr>
            <w:r>
              <w:rPr>
                <w:rFonts w:ascii="Arial" w:cs="Arial" w:eastAsia="Arial" w:hAnsi="Arial"/>
                <w:sz w:val="11"/>
                <w:szCs w:val="11"/>
                <w:b w:val="1"/>
                <w:bCs w:val="1"/>
                <w:color w:val="FFFFFF"/>
                <w:w w:val="97"/>
              </w:rPr>
              <w:t>2021</w:t>
            </w:r>
          </w:p>
        </w:tc>
        <w:tc>
          <w:tcPr>
            <w:tcW w:w="3480" w:type="dxa"/>
            <w:vAlign w:val="bottom"/>
            <w:shd w:val="clear" w:color="auto" w:fill="0F243E"/>
          </w:tcPr>
          <w:p>
            <w:pPr>
              <w:jc w:val="center"/>
              <w:ind w:left="90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4980" w:type="dxa"/>
            <w:vAlign w:val="bottom"/>
            <w:shd w:val="clear" w:color="auto" w:fill="CCCCCC"/>
          </w:tcPr>
          <w:p>
            <w:pPr>
              <w:spacing w:after="0"/>
              <w:rPr>
                <w:sz w:val="20"/>
                <w:szCs w:val="20"/>
                <w:color w:val="auto"/>
              </w:rPr>
            </w:pPr>
            <w:r>
              <w:rPr>
                <w:rFonts w:ascii="Arial" w:cs="Arial" w:eastAsia="Arial" w:hAnsi="Arial"/>
                <w:sz w:val="11"/>
                <w:szCs w:val="11"/>
                <w:color w:val="auto"/>
              </w:rPr>
              <w:t>Total revenues</w:t>
            </w:r>
          </w:p>
        </w:tc>
        <w:tc>
          <w:tcPr>
            <w:tcW w:w="1300" w:type="dxa"/>
            <w:vAlign w:val="bottom"/>
            <w:shd w:val="clear" w:color="auto" w:fill="CCCCCC"/>
          </w:tcPr>
          <w:p>
            <w:pPr>
              <w:spacing w:after="0"/>
              <w:rPr>
                <w:sz w:val="12"/>
                <w:szCs w:val="12"/>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$329.0</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$385.2</w:t>
            </w: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Contract and grants revenues</w:t>
            </w:r>
          </w:p>
        </w:tc>
        <w:tc>
          <w:tcPr>
            <w:tcW w:w="1300" w:type="dxa"/>
            <w:vAlign w:val="bottom"/>
            <w:tcBorders>
              <w:bottom w:val="single" w:sz="8" w:color="CCCCCC"/>
            </w:tcBorders>
            <w:shd w:val="clear" w:color="auto" w:fill="CCCCCC"/>
          </w:tcPr>
          <w:p>
            <w:pPr>
              <w:spacing w:after="0"/>
              <w:rPr>
                <w:sz w:val="13"/>
                <w:szCs w:val="13"/>
                <w:color w:val="auto"/>
              </w:rPr>
            </w:pPr>
          </w:p>
        </w:tc>
        <w:tc>
          <w:tcPr>
            <w:tcW w:w="154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7"/>
              </w:rPr>
              <w:t>(16.9)</w:t>
            </w:r>
          </w:p>
        </w:tc>
        <w:tc>
          <w:tcPr>
            <w:tcW w:w="348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w w:val="97"/>
              </w:rPr>
              <w:t>(25.9)</w:t>
            </w: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revenues</w:t>
            </w:r>
          </w:p>
        </w:tc>
        <w:tc>
          <w:tcPr>
            <w:tcW w:w="1300" w:type="dxa"/>
            <w:vAlign w:val="bottom"/>
            <w:shd w:val="clear" w:color="auto" w:fill="CCCCCC"/>
          </w:tcPr>
          <w:p>
            <w:pPr>
              <w:spacing w:after="0"/>
              <w:rPr>
                <w:sz w:val="11"/>
                <w:szCs w:val="11"/>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$312.1</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$359.3</w:t>
            </w:r>
          </w:p>
        </w:tc>
      </w:tr>
      <w:tr>
        <w:trPr>
          <w:trHeight w:val="324"/>
        </w:trPr>
        <w:tc>
          <w:tcPr>
            <w:tcW w:w="49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Cost of product sales</w:t>
            </w:r>
          </w:p>
        </w:tc>
        <w:tc>
          <w:tcPr>
            <w:tcW w:w="1300" w:type="dxa"/>
            <w:vAlign w:val="bottom"/>
            <w:shd w:val="clear" w:color="auto" w:fill="CCCCCC"/>
          </w:tcPr>
          <w:p>
            <w:pPr>
              <w:spacing w:after="0"/>
              <w:rPr>
                <w:sz w:val="24"/>
                <w:szCs w:val="24"/>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$103.2</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$120.2</w:t>
            </w: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Cost of contract development and manufacturing</w:t>
            </w:r>
          </w:p>
        </w:tc>
        <w:tc>
          <w:tcPr>
            <w:tcW w:w="1300" w:type="dxa"/>
            <w:vAlign w:val="bottom"/>
            <w:tcBorders>
              <w:bottom w:val="single" w:sz="8" w:color="CCCCCC"/>
            </w:tcBorders>
            <w:shd w:val="clear" w:color="auto" w:fill="CCCCCC"/>
          </w:tcPr>
          <w:p>
            <w:pPr>
              <w:spacing w:after="0"/>
              <w:rPr>
                <w:sz w:val="13"/>
                <w:szCs w:val="13"/>
                <w:color w:val="auto"/>
              </w:rPr>
            </w:pPr>
          </w:p>
        </w:tc>
        <w:tc>
          <w:tcPr>
            <w:tcW w:w="154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4"/>
              </w:rPr>
              <w:t>$114.3</w:t>
            </w:r>
          </w:p>
        </w:tc>
        <w:tc>
          <w:tcPr>
            <w:tcW w:w="348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rPr>
              <w:t>$28.8</w:t>
            </w: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 and cost of contract development and manufacturing services ("COGS")</w:t>
            </w:r>
          </w:p>
        </w:tc>
        <w:tc>
          <w:tcPr>
            <w:tcW w:w="1300" w:type="dxa"/>
            <w:vAlign w:val="bottom"/>
            <w:shd w:val="clear" w:color="auto" w:fill="CCCCCC"/>
          </w:tcPr>
          <w:p>
            <w:pPr>
              <w:spacing w:after="0"/>
              <w:rPr>
                <w:sz w:val="11"/>
                <w:szCs w:val="11"/>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$217.5</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$149.0</w:t>
            </w:r>
          </w:p>
        </w:tc>
      </w:tr>
      <w:tr>
        <w:trPr>
          <w:trHeight w:val="153"/>
        </w:trPr>
        <w:tc>
          <w:tcPr>
            <w:tcW w:w="49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300" w:type="dxa"/>
            <w:vAlign w:val="bottom"/>
            <w:shd w:val="clear" w:color="auto" w:fill="CCCCCC"/>
          </w:tcPr>
          <w:p>
            <w:pPr>
              <w:spacing w:after="0"/>
              <w:rPr>
                <w:sz w:val="13"/>
                <w:szCs w:val="13"/>
                <w:color w:val="auto"/>
              </w:rPr>
            </w:pPr>
          </w:p>
        </w:tc>
        <w:tc>
          <w:tcPr>
            <w:tcW w:w="154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w w:val="97"/>
              </w:rPr>
              <w:t>(0.9)</w:t>
            </w:r>
          </w:p>
        </w:tc>
        <w:tc>
          <w:tcPr>
            <w:tcW w:w="348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w w:val="97"/>
              </w:rPr>
              <w:t>(30.2)</w:t>
            </w: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Inventory reserves related to Travel Health vaccines</w:t>
            </w:r>
          </w:p>
        </w:tc>
        <w:tc>
          <w:tcPr>
            <w:tcW w:w="1300" w:type="dxa"/>
            <w:vAlign w:val="bottom"/>
            <w:tcBorders>
              <w:bottom w:val="single" w:sz="8" w:color="CCCCCC"/>
            </w:tcBorders>
            <w:shd w:val="clear" w:color="auto" w:fill="CCCCCC"/>
          </w:tcPr>
          <w:p>
            <w:pPr>
              <w:spacing w:after="0"/>
              <w:rPr>
                <w:sz w:val="13"/>
                <w:szCs w:val="13"/>
                <w:color w:val="auto"/>
              </w:rPr>
            </w:pPr>
          </w:p>
        </w:tc>
        <w:tc>
          <w:tcPr>
            <w:tcW w:w="154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rPr>
              <w:t>—</w:t>
            </w:r>
          </w:p>
        </w:tc>
        <w:tc>
          <w:tcPr>
            <w:tcW w:w="348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w w:val="97"/>
              </w:rPr>
              <w:t>(13.8)</w:t>
            </w: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COGS</w:t>
            </w:r>
          </w:p>
        </w:tc>
        <w:tc>
          <w:tcPr>
            <w:tcW w:w="1300" w:type="dxa"/>
            <w:vAlign w:val="bottom"/>
            <w:shd w:val="clear" w:color="auto" w:fill="CCCCCC"/>
          </w:tcPr>
          <w:p>
            <w:pPr>
              <w:spacing w:after="0"/>
              <w:rPr>
                <w:sz w:val="11"/>
                <w:szCs w:val="11"/>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$216.6</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$105.0</w:t>
            </w:r>
          </w:p>
        </w:tc>
      </w:tr>
      <w:tr>
        <w:trPr>
          <w:trHeight w:val="324"/>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(adjusted revenues minus COGS)</w:t>
            </w:r>
          </w:p>
        </w:tc>
        <w:tc>
          <w:tcPr>
            <w:tcW w:w="1300" w:type="dxa"/>
            <w:vAlign w:val="bottom"/>
            <w:shd w:val="clear" w:color="auto" w:fill="CCCCCC"/>
          </w:tcPr>
          <w:p>
            <w:pPr>
              <w:spacing w:after="0"/>
              <w:rPr>
                <w:sz w:val="24"/>
                <w:szCs w:val="24"/>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$94.6</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$210.3</w:t>
            </w:r>
          </w:p>
        </w:tc>
      </w:tr>
      <w:tr>
        <w:trPr>
          <w:trHeight w:val="153"/>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 (gross margin divided by adjusted revenues)</w:t>
            </w:r>
          </w:p>
        </w:tc>
        <w:tc>
          <w:tcPr>
            <w:tcW w:w="1300" w:type="dxa"/>
            <w:vAlign w:val="bottom"/>
            <w:shd w:val="clear" w:color="auto" w:fill="CCCCCC"/>
          </w:tcPr>
          <w:p>
            <w:pPr>
              <w:spacing w:after="0"/>
              <w:rPr>
                <w:sz w:val="13"/>
                <w:szCs w:val="13"/>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0"/>
              </w:rPr>
              <w:t>30%</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9"/>
              </w:rPr>
              <w:t>59%</w:t>
            </w:r>
          </w:p>
        </w:tc>
      </w:tr>
      <w:tr>
        <w:trPr>
          <w:trHeight w:val="324"/>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(adjusted revenues minus adjusted COGS)</w:t>
            </w:r>
          </w:p>
        </w:tc>
        <w:tc>
          <w:tcPr>
            <w:tcW w:w="1300" w:type="dxa"/>
            <w:vAlign w:val="bottom"/>
            <w:shd w:val="clear" w:color="auto" w:fill="CCCCCC"/>
          </w:tcPr>
          <w:p>
            <w:pPr>
              <w:spacing w:after="0"/>
              <w:rPr>
                <w:sz w:val="24"/>
                <w:szCs w:val="24"/>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$95.5</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$254.3</w:t>
            </w:r>
          </w:p>
        </w:tc>
      </w:tr>
      <w:tr>
        <w:trPr>
          <w:trHeight w:val="157"/>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 (adjusted gross margin divided by adjusted revenues)</w:t>
            </w:r>
          </w:p>
        </w:tc>
        <w:tc>
          <w:tcPr>
            <w:tcW w:w="1300" w:type="dxa"/>
            <w:vAlign w:val="bottom"/>
            <w:shd w:val="clear" w:color="auto" w:fill="CCCCCC"/>
          </w:tcPr>
          <w:p>
            <w:pPr>
              <w:spacing w:after="0"/>
              <w:rPr>
                <w:sz w:val="13"/>
                <w:szCs w:val="13"/>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0"/>
              </w:rPr>
              <w:t>31%</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9"/>
              </w:rPr>
              <w:t>71%</w:t>
            </w:r>
          </w:p>
        </w:tc>
      </w:tr>
      <w:tr>
        <w:trPr>
          <w:trHeight w:val="135"/>
        </w:trPr>
        <w:tc>
          <w:tcPr>
            <w:tcW w:w="4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480" w:type="dxa"/>
            <w:vAlign w:val="bottom"/>
          </w:tcPr>
          <w:p>
            <w:pPr>
              <w:spacing w:after="0"/>
              <w:rPr>
                <w:sz w:val="11"/>
                <w:szCs w:val="11"/>
                <w:color w:val="auto"/>
              </w:rPr>
            </w:pPr>
          </w:p>
        </w:tc>
      </w:tr>
      <w:tr>
        <w:trPr>
          <w:trHeight w:val="149"/>
        </w:trPr>
        <w:tc>
          <w:tcPr>
            <w:tcW w:w="4980" w:type="dxa"/>
            <w:vAlign w:val="bottom"/>
            <w:shd w:val="clear" w:color="auto" w:fill="0F243E"/>
          </w:tcPr>
          <w:p>
            <w:pPr>
              <w:spacing w:after="0"/>
              <w:rPr>
                <w:sz w:val="12"/>
                <w:szCs w:val="12"/>
                <w:color w:val="auto"/>
              </w:rPr>
            </w:pPr>
          </w:p>
        </w:tc>
        <w:tc>
          <w:tcPr>
            <w:tcW w:w="1300" w:type="dxa"/>
            <w:vAlign w:val="bottom"/>
            <w:shd w:val="clear" w:color="auto" w:fill="0F243E"/>
          </w:tcPr>
          <w:p>
            <w:pPr>
              <w:spacing w:after="0"/>
              <w:rPr>
                <w:sz w:val="12"/>
                <w:szCs w:val="12"/>
                <w:color w:val="auto"/>
              </w:rPr>
            </w:pPr>
          </w:p>
        </w:tc>
        <w:tc>
          <w:tcPr>
            <w:tcW w:w="1540" w:type="dxa"/>
            <w:vAlign w:val="bottom"/>
            <w:shd w:val="clear" w:color="auto" w:fill="0F243E"/>
          </w:tcPr>
          <w:p>
            <w:pPr>
              <w:spacing w:after="0"/>
              <w:rPr>
                <w:sz w:val="12"/>
                <w:szCs w:val="12"/>
                <w:color w:val="auto"/>
              </w:rPr>
            </w:pPr>
          </w:p>
        </w:tc>
        <w:tc>
          <w:tcPr>
            <w:tcW w:w="3480" w:type="dxa"/>
            <w:vAlign w:val="bottom"/>
            <w:shd w:val="clear" w:color="auto" w:fill="0F243E"/>
          </w:tcPr>
          <w:p>
            <w:pPr>
              <w:jc w:val="center"/>
              <w:ind w:right="1486"/>
              <w:spacing w:after="0"/>
              <w:rPr>
                <w:sz w:val="20"/>
                <w:szCs w:val="20"/>
                <w:color w:val="auto"/>
              </w:rPr>
            </w:pPr>
            <w:r>
              <w:rPr>
                <w:rFonts w:ascii="Arial" w:cs="Arial" w:eastAsia="Arial" w:hAnsi="Arial"/>
                <w:sz w:val="11"/>
                <w:szCs w:val="11"/>
                <w:b w:val="1"/>
                <w:bCs w:val="1"/>
                <w:color w:val="FFFFFF"/>
                <w:w w:val="98"/>
              </w:rPr>
              <w:t>Nine Months Ended September 30,</w:t>
            </w:r>
          </w:p>
        </w:tc>
      </w:tr>
      <w:tr>
        <w:trPr>
          <w:trHeight w:val="157"/>
        </w:trPr>
        <w:tc>
          <w:tcPr>
            <w:tcW w:w="49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300" w:type="dxa"/>
            <w:vAlign w:val="bottom"/>
            <w:shd w:val="clear" w:color="auto" w:fill="0F243E"/>
          </w:tcPr>
          <w:p>
            <w:pPr>
              <w:spacing w:after="0"/>
              <w:rPr>
                <w:sz w:val="13"/>
                <w:szCs w:val="13"/>
                <w:color w:val="auto"/>
              </w:rPr>
            </w:pPr>
          </w:p>
        </w:tc>
        <w:tc>
          <w:tcPr>
            <w:tcW w:w="1540" w:type="dxa"/>
            <w:vAlign w:val="bottom"/>
            <w:shd w:val="clear" w:color="auto" w:fill="0F243E"/>
          </w:tcPr>
          <w:p>
            <w:pPr>
              <w:jc w:val="center"/>
              <w:ind w:left="926"/>
              <w:spacing w:after="0"/>
              <w:rPr>
                <w:sz w:val="20"/>
                <w:szCs w:val="20"/>
                <w:color w:val="auto"/>
              </w:rPr>
            </w:pPr>
            <w:r>
              <w:rPr>
                <w:rFonts w:ascii="Arial" w:cs="Arial" w:eastAsia="Arial" w:hAnsi="Arial"/>
                <w:sz w:val="11"/>
                <w:szCs w:val="11"/>
                <w:b w:val="1"/>
                <w:bCs w:val="1"/>
                <w:color w:val="FFFFFF"/>
                <w:w w:val="97"/>
              </w:rPr>
              <w:t>2021</w:t>
            </w:r>
          </w:p>
        </w:tc>
        <w:tc>
          <w:tcPr>
            <w:tcW w:w="3480" w:type="dxa"/>
            <w:vAlign w:val="bottom"/>
            <w:shd w:val="clear" w:color="auto" w:fill="0F243E"/>
          </w:tcPr>
          <w:p>
            <w:pPr>
              <w:jc w:val="center"/>
              <w:ind w:left="90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4980" w:type="dxa"/>
            <w:vAlign w:val="bottom"/>
            <w:shd w:val="clear" w:color="auto" w:fill="CCCCCC"/>
          </w:tcPr>
          <w:p>
            <w:pPr>
              <w:spacing w:after="0"/>
              <w:rPr>
                <w:sz w:val="20"/>
                <w:szCs w:val="20"/>
                <w:color w:val="auto"/>
              </w:rPr>
            </w:pPr>
            <w:r>
              <w:rPr>
                <w:rFonts w:ascii="Arial" w:cs="Arial" w:eastAsia="Arial" w:hAnsi="Arial"/>
                <w:sz w:val="11"/>
                <w:szCs w:val="11"/>
                <w:color w:val="auto"/>
              </w:rPr>
              <w:t>Total revenues</w:t>
            </w:r>
          </w:p>
        </w:tc>
        <w:tc>
          <w:tcPr>
            <w:tcW w:w="1300" w:type="dxa"/>
            <w:vAlign w:val="bottom"/>
            <w:shd w:val="clear" w:color="auto" w:fill="CCCCCC"/>
          </w:tcPr>
          <w:p>
            <w:pPr>
              <w:spacing w:after="0"/>
              <w:rPr>
                <w:sz w:val="12"/>
                <w:szCs w:val="12"/>
                <w:color w:val="auto"/>
              </w:rPr>
            </w:pPr>
          </w:p>
        </w:tc>
        <w:tc>
          <w:tcPr>
            <w:tcW w:w="154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w w:val="97"/>
              </w:rPr>
              <w:t>$1,069.5</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$972.4</w:t>
            </w: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Contract and grants revenues</w:t>
            </w:r>
          </w:p>
        </w:tc>
        <w:tc>
          <w:tcPr>
            <w:tcW w:w="1300" w:type="dxa"/>
            <w:vAlign w:val="bottom"/>
            <w:tcBorders>
              <w:bottom w:val="single" w:sz="8" w:color="CCCCCC"/>
            </w:tcBorders>
            <w:shd w:val="clear" w:color="auto" w:fill="CCCCCC"/>
          </w:tcPr>
          <w:p>
            <w:pPr>
              <w:spacing w:after="0"/>
              <w:rPr>
                <w:sz w:val="13"/>
                <w:szCs w:val="13"/>
                <w:color w:val="auto"/>
              </w:rPr>
            </w:pPr>
          </w:p>
        </w:tc>
        <w:tc>
          <w:tcPr>
            <w:tcW w:w="154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7"/>
              </w:rPr>
              <w:t>(63.6)</w:t>
            </w:r>
          </w:p>
        </w:tc>
        <w:tc>
          <w:tcPr>
            <w:tcW w:w="348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w w:val="97"/>
              </w:rPr>
              <w:t>(72.1)</w:t>
            </w: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revenues</w:t>
            </w:r>
          </w:p>
        </w:tc>
        <w:tc>
          <w:tcPr>
            <w:tcW w:w="1300" w:type="dxa"/>
            <w:vAlign w:val="bottom"/>
            <w:shd w:val="clear" w:color="auto" w:fill="CCCCCC"/>
          </w:tcPr>
          <w:p>
            <w:pPr>
              <w:spacing w:after="0"/>
              <w:rPr>
                <w:sz w:val="11"/>
                <w:szCs w:val="11"/>
                <w:color w:val="auto"/>
              </w:rPr>
            </w:pPr>
          </w:p>
        </w:tc>
        <w:tc>
          <w:tcPr>
            <w:tcW w:w="154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w w:val="97"/>
              </w:rPr>
              <w:t>$1,005.9</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$900.3</w:t>
            </w:r>
          </w:p>
        </w:tc>
      </w:tr>
      <w:tr>
        <w:trPr>
          <w:trHeight w:val="324"/>
        </w:trPr>
        <w:tc>
          <w:tcPr>
            <w:tcW w:w="49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Cost of product sales</w:t>
            </w:r>
          </w:p>
        </w:tc>
        <w:tc>
          <w:tcPr>
            <w:tcW w:w="1300" w:type="dxa"/>
            <w:vAlign w:val="bottom"/>
            <w:shd w:val="clear" w:color="auto" w:fill="CCCCCC"/>
          </w:tcPr>
          <w:p>
            <w:pPr>
              <w:spacing w:after="0"/>
              <w:rPr>
                <w:sz w:val="24"/>
                <w:szCs w:val="24"/>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$237.0</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$287.6</w:t>
            </w: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Cost of contract development and manufacturing</w:t>
            </w:r>
          </w:p>
        </w:tc>
        <w:tc>
          <w:tcPr>
            <w:tcW w:w="1300" w:type="dxa"/>
            <w:vAlign w:val="bottom"/>
            <w:tcBorders>
              <w:bottom w:val="single" w:sz="8" w:color="CCCCCC"/>
            </w:tcBorders>
            <w:shd w:val="clear" w:color="auto" w:fill="CCCCCC"/>
          </w:tcPr>
          <w:p>
            <w:pPr>
              <w:spacing w:after="0"/>
              <w:rPr>
                <w:sz w:val="13"/>
                <w:szCs w:val="13"/>
                <w:color w:val="auto"/>
              </w:rPr>
            </w:pPr>
          </w:p>
        </w:tc>
        <w:tc>
          <w:tcPr>
            <w:tcW w:w="154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4"/>
              </w:rPr>
              <w:t>$307.6</w:t>
            </w:r>
          </w:p>
        </w:tc>
        <w:tc>
          <w:tcPr>
            <w:tcW w:w="348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rPr>
              <w:t>$68.1</w:t>
            </w: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 and cost of contract development and manufacturing services ("COGS")</w:t>
            </w:r>
          </w:p>
        </w:tc>
        <w:tc>
          <w:tcPr>
            <w:tcW w:w="1300" w:type="dxa"/>
            <w:vAlign w:val="bottom"/>
            <w:shd w:val="clear" w:color="auto" w:fill="CCCCCC"/>
          </w:tcPr>
          <w:p>
            <w:pPr>
              <w:spacing w:after="0"/>
              <w:rPr>
                <w:sz w:val="11"/>
                <w:szCs w:val="11"/>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$544.6</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$355.7</w:t>
            </w:r>
          </w:p>
        </w:tc>
      </w:tr>
      <w:tr>
        <w:trPr>
          <w:trHeight w:val="153"/>
        </w:trPr>
        <w:tc>
          <w:tcPr>
            <w:tcW w:w="49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300" w:type="dxa"/>
            <w:vAlign w:val="bottom"/>
            <w:shd w:val="clear" w:color="auto" w:fill="CCCCCC"/>
          </w:tcPr>
          <w:p>
            <w:pPr>
              <w:spacing w:after="0"/>
              <w:rPr>
                <w:sz w:val="13"/>
                <w:szCs w:val="13"/>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($2.6)</w:t>
            </w:r>
          </w:p>
        </w:tc>
        <w:tc>
          <w:tcPr>
            <w:tcW w:w="348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rPr>
              <w:t>($31.3)</w:t>
            </w:r>
          </w:p>
        </w:tc>
      </w:tr>
      <w:tr>
        <w:trPr>
          <w:trHeight w:val="155"/>
        </w:trPr>
        <w:tc>
          <w:tcPr>
            <w:tcW w:w="49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Inventory reserves related to Travel Health vaccines</w:t>
            </w:r>
          </w:p>
        </w:tc>
        <w:tc>
          <w:tcPr>
            <w:tcW w:w="1300" w:type="dxa"/>
            <w:vAlign w:val="bottom"/>
            <w:tcBorders>
              <w:bottom w:val="single" w:sz="8" w:color="CCCCCC"/>
            </w:tcBorders>
            <w:shd w:val="clear" w:color="auto" w:fill="CCCCCC"/>
          </w:tcPr>
          <w:p>
            <w:pPr>
              <w:spacing w:after="0"/>
              <w:rPr>
                <w:sz w:val="13"/>
                <w:szCs w:val="13"/>
                <w:color w:val="auto"/>
              </w:rPr>
            </w:pPr>
          </w:p>
        </w:tc>
        <w:tc>
          <w:tcPr>
            <w:tcW w:w="154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w w:val="93"/>
              </w:rPr>
              <w:t>$—</w:t>
            </w:r>
          </w:p>
        </w:tc>
        <w:tc>
          <w:tcPr>
            <w:tcW w:w="348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rPr>
              <w:t>($13.8)</w:t>
            </w:r>
          </w:p>
        </w:tc>
      </w:tr>
      <w:tr>
        <w:trPr>
          <w:trHeight w:val="131"/>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COGS</w:t>
            </w:r>
          </w:p>
        </w:tc>
        <w:tc>
          <w:tcPr>
            <w:tcW w:w="1300" w:type="dxa"/>
            <w:vAlign w:val="bottom"/>
            <w:shd w:val="clear" w:color="auto" w:fill="CCCCCC"/>
          </w:tcPr>
          <w:p>
            <w:pPr>
              <w:spacing w:after="0"/>
              <w:rPr>
                <w:sz w:val="11"/>
                <w:szCs w:val="11"/>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$542.0</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$310.6</w:t>
            </w:r>
          </w:p>
        </w:tc>
      </w:tr>
      <w:tr>
        <w:trPr>
          <w:trHeight w:val="324"/>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(adjusted revenues minus COGS)</w:t>
            </w:r>
          </w:p>
        </w:tc>
        <w:tc>
          <w:tcPr>
            <w:tcW w:w="1300" w:type="dxa"/>
            <w:vAlign w:val="bottom"/>
            <w:shd w:val="clear" w:color="auto" w:fill="CCCCCC"/>
          </w:tcPr>
          <w:p>
            <w:pPr>
              <w:spacing w:after="0"/>
              <w:rPr>
                <w:sz w:val="24"/>
                <w:szCs w:val="24"/>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$461.3</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$544.6</w:t>
            </w:r>
          </w:p>
        </w:tc>
      </w:tr>
      <w:tr>
        <w:trPr>
          <w:trHeight w:val="153"/>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 (gross margin divided by adjusted revenues)</w:t>
            </w:r>
          </w:p>
        </w:tc>
        <w:tc>
          <w:tcPr>
            <w:tcW w:w="1300" w:type="dxa"/>
            <w:vAlign w:val="bottom"/>
            <w:shd w:val="clear" w:color="auto" w:fill="CCCCCC"/>
          </w:tcPr>
          <w:p>
            <w:pPr>
              <w:spacing w:after="0"/>
              <w:rPr>
                <w:sz w:val="13"/>
                <w:szCs w:val="13"/>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0"/>
              </w:rPr>
              <w:t>46%</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9"/>
              </w:rPr>
              <w:t>60%</w:t>
            </w:r>
          </w:p>
        </w:tc>
      </w:tr>
      <w:tr>
        <w:trPr>
          <w:trHeight w:val="324"/>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(adjusted revenues minus adjusted COGS)</w:t>
            </w:r>
          </w:p>
        </w:tc>
        <w:tc>
          <w:tcPr>
            <w:tcW w:w="1300" w:type="dxa"/>
            <w:vAlign w:val="bottom"/>
            <w:shd w:val="clear" w:color="auto" w:fill="CCCCCC"/>
          </w:tcPr>
          <w:p>
            <w:pPr>
              <w:spacing w:after="0"/>
              <w:rPr>
                <w:sz w:val="24"/>
                <w:szCs w:val="24"/>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4"/>
              </w:rPr>
              <w:t>$463.9</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$589.7</w:t>
            </w:r>
          </w:p>
        </w:tc>
      </w:tr>
      <w:tr>
        <w:trPr>
          <w:trHeight w:val="157"/>
        </w:trPr>
        <w:tc>
          <w:tcPr>
            <w:tcW w:w="49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 (adjusted gross margin divided by adjusted revenues)</w:t>
            </w:r>
          </w:p>
        </w:tc>
        <w:tc>
          <w:tcPr>
            <w:tcW w:w="1300" w:type="dxa"/>
            <w:vAlign w:val="bottom"/>
            <w:shd w:val="clear" w:color="auto" w:fill="CCCCCC"/>
          </w:tcPr>
          <w:p>
            <w:pPr>
              <w:spacing w:after="0"/>
              <w:rPr>
                <w:sz w:val="13"/>
                <w:szCs w:val="13"/>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0"/>
              </w:rPr>
              <w:t>46%</w:t>
            </w:r>
          </w:p>
        </w:tc>
        <w:tc>
          <w:tcPr>
            <w:tcW w:w="348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9"/>
              </w:rPr>
              <w:t>66%</w:t>
            </w:r>
          </w:p>
        </w:tc>
      </w:tr>
      <w:tr>
        <w:trPr>
          <w:trHeight w:val="590"/>
        </w:trPr>
        <w:tc>
          <w:tcPr>
            <w:tcW w:w="4980" w:type="dxa"/>
            <w:vAlign w:val="bottom"/>
          </w:tcPr>
          <w:p>
            <w:pPr>
              <w:spacing w:after="0"/>
              <w:rPr>
                <w:sz w:val="24"/>
                <w:szCs w:val="24"/>
                <w:color w:val="auto"/>
              </w:rPr>
            </w:pPr>
          </w:p>
        </w:tc>
        <w:tc>
          <w:tcPr>
            <w:tcW w:w="2840" w:type="dxa"/>
            <w:vAlign w:val="bottom"/>
            <w:gridSpan w:val="2"/>
          </w:tcPr>
          <w:p>
            <w:pPr>
              <w:ind w:left="460"/>
              <w:spacing w:after="0"/>
              <w:rPr>
                <w:sz w:val="20"/>
                <w:szCs w:val="20"/>
                <w:color w:val="auto"/>
              </w:rPr>
            </w:pPr>
            <w:r>
              <w:rPr>
                <w:rFonts w:ascii="Arial" w:cs="Arial" w:eastAsia="Arial" w:hAnsi="Arial"/>
                <w:sz w:val="11"/>
                <w:szCs w:val="11"/>
                <w:color w:val="auto"/>
              </w:rPr>
              <w:t>14 of 16</w:t>
            </w:r>
          </w:p>
        </w:tc>
        <w:tc>
          <w:tcPr>
            <w:tcW w:w="3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-2157095</wp:posOffset>
            </wp:positionV>
            <wp:extent cx="7183755" cy="1788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1788795"/>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Reconciliation of Product Margin and Adjusted Product Margin (1)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80" w:type="dxa"/>
            <w:vAlign w:val="bottom"/>
            <w:shd w:val="clear" w:color="auto" w:fill="0F243E"/>
          </w:tcPr>
          <w:p>
            <w:pPr>
              <w:spacing w:after="0"/>
              <w:rPr>
                <w:sz w:val="13"/>
                <w:szCs w:val="13"/>
                <w:color w:val="auto"/>
              </w:rPr>
            </w:pPr>
          </w:p>
        </w:tc>
        <w:tc>
          <w:tcPr>
            <w:tcW w:w="1500" w:type="dxa"/>
            <w:vAlign w:val="bottom"/>
            <w:shd w:val="clear" w:color="auto" w:fill="0F243E"/>
          </w:tcPr>
          <w:p>
            <w:pPr>
              <w:spacing w:after="0"/>
              <w:rPr>
                <w:sz w:val="13"/>
                <w:szCs w:val="13"/>
                <w:color w:val="auto"/>
              </w:rPr>
            </w:pPr>
          </w:p>
        </w:tc>
        <w:tc>
          <w:tcPr>
            <w:tcW w:w="3520" w:type="dxa"/>
            <w:vAlign w:val="bottom"/>
            <w:shd w:val="clear" w:color="auto" w:fill="0F243E"/>
          </w:tcPr>
          <w:p>
            <w:pPr>
              <w:jc w:val="center"/>
              <w:ind w:right="1426"/>
              <w:spacing w:after="0"/>
              <w:rPr>
                <w:sz w:val="20"/>
                <w:szCs w:val="20"/>
                <w:color w:val="auto"/>
              </w:rPr>
            </w:pPr>
            <w:r>
              <w:rPr>
                <w:rFonts w:ascii="Arial" w:cs="Arial" w:eastAsia="Arial" w:hAnsi="Arial"/>
                <w:sz w:val="11"/>
                <w:szCs w:val="11"/>
                <w:b w:val="1"/>
                <w:bCs w:val="1"/>
                <w:color w:val="FFFFFF"/>
                <w:w w:val="98"/>
              </w:rPr>
              <w:t>Three Months Ended September 30,</w:t>
            </w:r>
          </w:p>
        </w:tc>
      </w:tr>
      <w:tr>
        <w:trPr>
          <w:trHeight w:val="153"/>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500" w:type="dxa"/>
            <w:vAlign w:val="bottom"/>
            <w:shd w:val="clear" w:color="auto" w:fill="0F243E"/>
          </w:tcPr>
          <w:p>
            <w:pPr>
              <w:jc w:val="center"/>
              <w:ind w:left="966"/>
              <w:spacing w:after="0"/>
              <w:rPr>
                <w:sz w:val="20"/>
                <w:szCs w:val="20"/>
                <w:color w:val="auto"/>
              </w:rPr>
            </w:pPr>
            <w:r>
              <w:rPr>
                <w:rFonts w:ascii="Arial" w:cs="Arial" w:eastAsia="Arial" w:hAnsi="Arial"/>
                <w:sz w:val="11"/>
                <w:szCs w:val="11"/>
                <w:b w:val="1"/>
                <w:bCs w:val="1"/>
                <w:color w:val="FFFFFF"/>
                <w:w w:val="97"/>
              </w:rPr>
              <w:t>2021</w:t>
            </w:r>
          </w:p>
        </w:tc>
        <w:tc>
          <w:tcPr>
            <w:tcW w:w="3520" w:type="dxa"/>
            <w:vAlign w:val="bottom"/>
            <w:shd w:val="clear" w:color="auto" w:fill="0F243E"/>
          </w:tcPr>
          <w:p>
            <w:pPr>
              <w:jc w:val="center"/>
              <w:ind w:left="94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Product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$270.5</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$202.2</w:t>
            </w: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 (COPS)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$103.2</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$120.2</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(0.9)</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(30.2)</w:t>
            </w: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Inventory reserves related to Travel Health vaccines</w:t>
            </w:r>
          </w:p>
        </w:tc>
        <w:tc>
          <w:tcPr>
            <w:tcW w:w="150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rPr>
              <w:t>—</w:t>
            </w:r>
          </w:p>
        </w:tc>
        <w:tc>
          <w:tcPr>
            <w:tcW w:w="3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7"/>
              </w:rPr>
              <w:t>(13.8)</w:t>
            </w:r>
          </w:p>
        </w:tc>
      </w:tr>
      <w:tr>
        <w:trPr>
          <w:trHeight w:val="131"/>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cost of product sales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$102.3</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$76.2</w:t>
            </w: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Product margin (product revenues minus COPS)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$167.3</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$82.0</w:t>
            </w: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Product margin % (product margin divided by product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0"/>
              </w:rPr>
              <w:t>62%</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9"/>
              </w:rPr>
              <w:t>41%</w:t>
            </w: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(product revenues minus adjusted COPS)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$168.2</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$126.0</w:t>
            </w:r>
          </w:p>
        </w:tc>
      </w:tr>
      <w:tr>
        <w:trPr>
          <w:trHeight w:val="15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gross margin % (adjusted product margin divided by product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0"/>
              </w:rPr>
              <w:t>62%</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9"/>
              </w:rPr>
              <w:t>62%</w:t>
            </w:r>
          </w:p>
        </w:tc>
      </w:tr>
      <w:tr>
        <w:trPr>
          <w:trHeight w:val="144"/>
        </w:trPr>
        <w:tc>
          <w:tcPr>
            <w:tcW w:w="6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49"/>
        </w:trPr>
        <w:tc>
          <w:tcPr>
            <w:tcW w:w="6280" w:type="dxa"/>
            <w:vAlign w:val="bottom"/>
            <w:shd w:val="clear" w:color="auto" w:fill="0F243E"/>
          </w:tcPr>
          <w:p>
            <w:pPr>
              <w:spacing w:after="0"/>
              <w:rPr>
                <w:sz w:val="12"/>
                <w:szCs w:val="12"/>
                <w:color w:val="auto"/>
              </w:rPr>
            </w:pPr>
          </w:p>
        </w:tc>
        <w:tc>
          <w:tcPr>
            <w:tcW w:w="1500" w:type="dxa"/>
            <w:vAlign w:val="bottom"/>
            <w:shd w:val="clear" w:color="auto" w:fill="0F243E"/>
          </w:tcPr>
          <w:p>
            <w:pPr>
              <w:spacing w:after="0"/>
              <w:rPr>
                <w:sz w:val="12"/>
                <w:szCs w:val="12"/>
                <w:color w:val="auto"/>
              </w:rPr>
            </w:pPr>
          </w:p>
        </w:tc>
        <w:tc>
          <w:tcPr>
            <w:tcW w:w="3520" w:type="dxa"/>
            <w:vAlign w:val="bottom"/>
            <w:shd w:val="clear" w:color="auto" w:fill="0F243E"/>
          </w:tcPr>
          <w:p>
            <w:pPr>
              <w:jc w:val="center"/>
              <w:ind w:right="1446"/>
              <w:spacing w:after="0"/>
              <w:rPr>
                <w:sz w:val="20"/>
                <w:szCs w:val="20"/>
                <w:color w:val="auto"/>
              </w:rPr>
            </w:pPr>
            <w:r>
              <w:rPr>
                <w:rFonts w:ascii="Arial" w:cs="Arial" w:eastAsia="Arial" w:hAnsi="Arial"/>
                <w:sz w:val="11"/>
                <w:szCs w:val="11"/>
                <w:b w:val="1"/>
                <w:bCs w:val="1"/>
                <w:color w:val="FFFFFF"/>
                <w:w w:val="98"/>
              </w:rPr>
              <w:t>Nine Months Ended September 30,</w:t>
            </w:r>
          </w:p>
        </w:tc>
      </w:tr>
      <w:tr>
        <w:trPr>
          <w:trHeight w:val="157"/>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500" w:type="dxa"/>
            <w:vAlign w:val="bottom"/>
            <w:shd w:val="clear" w:color="auto" w:fill="0F243E"/>
          </w:tcPr>
          <w:p>
            <w:pPr>
              <w:jc w:val="center"/>
              <w:ind w:left="966"/>
              <w:spacing w:after="0"/>
              <w:rPr>
                <w:sz w:val="20"/>
                <w:szCs w:val="20"/>
                <w:color w:val="auto"/>
              </w:rPr>
            </w:pPr>
            <w:r>
              <w:rPr>
                <w:rFonts w:ascii="Arial" w:cs="Arial" w:eastAsia="Arial" w:hAnsi="Arial"/>
                <w:sz w:val="11"/>
                <w:szCs w:val="11"/>
                <w:b w:val="1"/>
                <w:bCs w:val="1"/>
                <w:color w:val="FFFFFF"/>
                <w:w w:val="97"/>
              </w:rPr>
              <w:t>2021</w:t>
            </w:r>
          </w:p>
        </w:tc>
        <w:tc>
          <w:tcPr>
            <w:tcW w:w="3520" w:type="dxa"/>
            <w:vAlign w:val="bottom"/>
            <w:shd w:val="clear" w:color="auto" w:fill="0F243E"/>
          </w:tcPr>
          <w:p>
            <w:pPr>
              <w:jc w:val="center"/>
              <w:ind w:left="94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Product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$589.6</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$648.9</w:t>
            </w: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$237.0</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$287.6</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(2.6)</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7"/>
              </w:rPr>
              <w:t>(31.3)</w:t>
            </w: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Inventory reserves related to Travel Health vaccines</w:t>
            </w:r>
          </w:p>
        </w:tc>
        <w:tc>
          <w:tcPr>
            <w:tcW w:w="150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rPr>
              <w:t>—</w:t>
            </w:r>
          </w:p>
        </w:tc>
        <w:tc>
          <w:tcPr>
            <w:tcW w:w="3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7"/>
              </w:rPr>
              <w:t>(13.8)</w:t>
            </w:r>
          </w:p>
        </w:tc>
      </w:tr>
      <w:tr>
        <w:trPr>
          <w:trHeight w:val="131"/>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COPS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$234.4</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$242.5</w:t>
            </w: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(product revenues minus COPS)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$352.6</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$361.3</w:t>
            </w: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 (product margin divided by product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0"/>
              </w:rPr>
              <w:t>60%</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9"/>
              </w:rPr>
              <w:t>56%</w:t>
            </w: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product margin (product revenues minus adjusted COPS)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$355.2</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$406.4</w:t>
            </w:r>
          </w:p>
        </w:tc>
      </w:tr>
      <w:tr>
        <w:trPr>
          <w:trHeight w:val="15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product margin % (adjusted product margin divided by product revenues)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0"/>
              </w:rPr>
              <w:t>60%</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9"/>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-2879725</wp:posOffset>
            </wp:positionV>
            <wp:extent cx="7183755" cy="2886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288607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CDMO Margin and Adjusted CDMO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130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130302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80" w:type="dxa"/>
            <w:vAlign w:val="bottom"/>
            <w:shd w:val="clear" w:color="auto" w:fill="0F243E"/>
          </w:tcPr>
          <w:p>
            <w:pPr>
              <w:spacing w:after="0"/>
              <w:rPr>
                <w:sz w:val="13"/>
                <w:szCs w:val="13"/>
                <w:color w:val="auto"/>
              </w:rPr>
            </w:pPr>
          </w:p>
        </w:tc>
        <w:tc>
          <w:tcPr>
            <w:tcW w:w="1200" w:type="dxa"/>
            <w:vAlign w:val="bottom"/>
            <w:shd w:val="clear" w:color="auto" w:fill="0F243E"/>
          </w:tcPr>
          <w:p>
            <w:pPr>
              <w:spacing w:after="0"/>
              <w:rPr>
                <w:sz w:val="13"/>
                <w:szCs w:val="13"/>
                <w:color w:val="auto"/>
              </w:rPr>
            </w:pPr>
          </w:p>
        </w:tc>
        <w:tc>
          <w:tcPr>
            <w:tcW w:w="1500" w:type="dxa"/>
            <w:vAlign w:val="bottom"/>
            <w:shd w:val="clear" w:color="auto" w:fill="0F243E"/>
          </w:tcPr>
          <w:p>
            <w:pPr>
              <w:spacing w:after="0"/>
              <w:rPr>
                <w:sz w:val="13"/>
                <w:szCs w:val="13"/>
                <w:color w:val="auto"/>
              </w:rPr>
            </w:pPr>
          </w:p>
        </w:tc>
        <w:tc>
          <w:tcPr>
            <w:tcW w:w="3520" w:type="dxa"/>
            <w:vAlign w:val="bottom"/>
            <w:shd w:val="clear" w:color="auto" w:fill="0F243E"/>
          </w:tcPr>
          <w:p>
            <w:pPr>
              <w:ind w:left="100"/>
              <w:spacing w:after="0"/>
              <w:rPr>
                <w:sz w:val="20"/>
                <w:szCs w:val="20"/>
                <w:color w:val="auto"/>
              </w:rPr>
            </w:pPr>
            <w:r>
              <w:rPr>
                <w:rFonts w:ascii="Arial" w:cs="Arial" w:eastAsia="Arial" w:hAnsi="Arial"/>
                <w:sz w:val="11"/>
                <w:szCs w:val="11"/>
                <w:b w:val="1"/>
                <w:bCs w:val="1"/>
                <w:color w:val="FFFFFF"/>
              </w:rPr>
              <w:t>Three Months Ended September 30,</w:t>
            </w:r>
          </w:p>
        </w:tc>
      </w:tr>
      <w:tr>
        <w:trPr>
          <w:trHeight w:val="153"/>
        </w:trPr>
        <w:tc>
          <w:tcPr>
            <w:tcW w:w="50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200" w:type="dxa"/>
            <w:vAlign w:val="bottom"/>
            <w:shd w:val="clear" w:color="auto" w:fill="0F243E"/>
          </w:tcPr>
          <w:p>
            <w:pPr>
              <w:spacing w:after="0"/>
              <w:rPr>
                <w:sz w:val="13"/>
                <w:szCs w:val="13"/>
                <w:color w:val="auto"/>
              </w:rPr>
            </w:pPr>
          </w:p>
        </w:tc>
        <w:tc>
          <w:tcPr>
            <w:tcW w:w="1500" w:type="dxa"/>
            <w:vAlign w:val="bottom"/>
            <w:shd w:val="clear" w:color="auto" w:fill="0F243E"/>
          </w:tcPr>
          <w:p>
            <w:pPr>
              <w:jc w:val="center"/>
              <w:ind w:left="966"/>
              <w:spacing w:after="0"/>
              <w:rPr>
                <w:sz w:val="20"/>
                <w:szCs w:val="20"/>
                <w:color w:val="auto"/>
              </w:rPr>
            </w:pPr>
            <w:r>
              <w:rPr>
                <w:rFonts w:ascii="Arial" w:cs="Arial" w:eastAsia="Arial" w:hAnsi="Arial"/>
                <w:sz w:val="11"/>
                <w:szCs w:val="11"/>
                <w:b w:val="1"/>
                <w:bCs w:val="1"/>
                <w:color w:val="FFFFFF"/>
                <w:w w:val="97"/>
              </w:rPr>
              <w:t>2021</w:t>
            </w:r>
          </w:p>
        </w:tc>
        <w:tc>
          <w:tcPr>
            <w:tcW w:w="3520" w:type="dxa"/>
            <w:vAlign w:val="bottom"/>
            <w:shd w:val="clear" w:color="auto" w:fill="0F243E"/>
          </w:tcPr>
          <w:p>
            <w:pPr>
              <w:jc w:val="center"/>
              <w:ind w:left="94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5080" w:type="dxa"/>
            <w:vAlign w:val="bottom"/>
            <w:shd w:val="clear" w:color="auto" w:fill="CCCCCC"/>
          </w:tcPr>
          <w:p>
            <w:pPr>
              <w:spacing w:after="0"/>
              <w:rPr>
                <w:sz w:val="20"/>
                <w:szCs w:val="20"/>
                <w:color w:val="auto"/>
              </w:rPr>
            </w:pPr>
            <w:r>
              <w:rPr>
                <w:rFonts w:ascii="Arial" w:cs="Arial" w:eastAsia="Arial" w:hAnsi="Arial"/>
                <w:sz w:val="11"/>
                <w:szCs w:val="11"/>
                <w:color w:val="auto"/>
              </w:rPr>
              <w:t>CDMO services revenues</w:t>
            </w:r>
          </w:p>
        </w:tc>
        <w:tc>
          <w:tcPr>
            <w:tcW w:w="1200" w:type="dxa"/>
            <w:vAlign w:val="bottom"/>
            <w:shd w:val="clear" w:color="auto" w:fill="CCCCCC"/>
          </w:tcPr>
          <w:p>
            <w:pPr>
              <w:spacing w:after="0"/>
              <w:rPr>
                <w:sz w:val="12"/>
                <w:szCs w:val="12"/>
                <w:color w:val="auto"/>
              </w:rPr>
            </w:pP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$112.6</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$53.1</w:t>
            </w:r>
          </w:p>
        </w:tc>
      </w:tr>
      <w:tr>
        <w:trPr>
          <w:trHeight w:val="155"/>
        </w:trPr>
        <w:tc>
          <w:tcPr>
            <w:tcW w:w="508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1"/>
                <w:szCs w:val="11"/>
                <w:color w:val="auto"/>
              </w:rPr>
              <w:t>+ Non-USG lease revenue</w:t>
            </w:r>
          </w:p>
        </w:tc>
        <w:tc>
          <w:tcPr>
            <w:tcW w:w="1200" w:type="dxa"/>
            <w:vAlign w:val="bottom"/>
            <w:tcBorders>
              <w:bottom w:val="single" w:sz="8" w:color="CCCCCC"/>
            </w:tcBorders>
            <w:shd w:val="clear" w:color="auto" w:fill="CCCCCC"/>
          </w:tcPr>
          <w:p>
            <w:pPr>
              <w:spacing w:after="0"/>
              <w:rPr>
                <w:sz w:val="13"/>
                <w:szCs w:val="13"/>
                <w:color w:val="auto"/>
              </w:rPr>
            </w:pPr>
          </w:p>
        </w:tc>
        <w:tc>
          <w:tcPr>
            <w:tcW w:w="150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w w:val="93"/>
              </w:rPr>
              <w:t>15.0</w:t>
            </w:r>
          </w:p>
        </w:tc>
        <w:tc>
          <w:tcPr>
            <w:tcW w:w="352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rPr>
              <w:t>18.1</w:t>
            </w:r>
          </w:p>
        </w:tc>
      </w:tr>
      <w:tr>
        <w:trPr>
          <w:trHeight w:val="131"/>
        </w:trPr>
        <w:tc>
          <w:tcPr>
            <w:tcW w:w="5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service revenues</w:t>
            </w:r>
          </w:p>
        </w:tc>
        <w:tc>
          <w:tcPr>
            <w:tcW w:w="1200" w:type="dxa"/>
            <w:vAlign w:val="bottom"/>
            <w:shd w:val="clear" w:color="auto" w:fill="CCCCCC"/>
          </w:tcPr>
          <w:p>
            <w:pPr>
              <w:spacing w:after="0"/>
              <w:rPr>
                <w:sz w:val="11"/>
                <w:szCs w:val="11"/>
                <w:color w:val="auto"/>
              </w:rPr>
            </w:pP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$127.6</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$71.2</w:t>
            </w:r>
          </w:p>
        </w:tc>
      </w:tr>
      <w:tr>
        <w:trPr>
          <w:trHeight w:val="324"/>
        </w:trPr>
        <w:tc>
          <w:tcPr>
            <w:tcW w:w="5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CDMO services</w:t>
            </w:r>
          </w:p>
        </w:tc>
        <w:tc>
          <w:tcPr>
            <w:tcW w:w="1200" w:type="dxa"/>
            <w:vAlign w:val="bottom"/>
            <w:shd w:val="clear" w:color="auto" w:fill="CCCCCC"/>
          </w:tcPr>
          <w:p>
            <w:pPr>
              <w:spacing w:after="0"/>
              <w:rPr>
                <w:sz w:val="24"/>
                <w:szCs w:val="24"/>
                <w:color w:val="auto"/>
              </w:rPr>
            </w:pP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4"/>
              </w:rPr>
              <w:t>$114.3</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$28.8</w:t>
            </w:r>
          </w:p>
        </w:tc>
      </w:tr>
      <w:tr>
        <w:trPr>
          <w:trHeight w:val="324"/>
        </w:trPr>
        <w:tc>
          <w:tcPr>
            <w:tcW w:w="5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margin (CDMO service revenues minus Cost of CDMO services)</w:t>
            </w:r>
          </w:p>
        </w:tc>
        <w:tc>
          <w:tcPr>
            <w:tcW w:w="1200" w:type="dxa"/>
            <w:vAlign w:val="bottom"/>
            <w:shd w:val="clear" w:color="auto" w:fill="CCCCCC"/>
          </w:tcPr>
          <w:p>
            <w:pPr>
              <w:spacing w:after="0"/>
              <w:rPr>
                <w:sz w:val="24"/>
                <w:szCs w:val="24"/>
                <w:color w:val="auto"/>
              </w:rPr>
            </w:pP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7"/>
              </w:rPr>
              <w:t>$(1.7)</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$24.3</w:t>
            </w:r>
          </w:p>
        </w:tc>
      </w:tr>
      <w:tr>
        <w:trPr>
          <w:trHeight w:val="153"/>
        </w:trPr>
        <w:tc>
          <w:tcPr>
            <w:tcW w:w="5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margin % (CDMO margin divided by CDMO services revenues)</w:t>
            </w:r>
          </w:p>
        </w:tc>
        <w:tc>
          <w:tcPr>
            <w:tcW w:w="1200" w:type="dxa"/>
            <w:vAlign w:val="bottom"/>
            <w:shd w:val="clear" w:color="auto" w:fill="CCCCCC"/>
          </w:tcPr>
          <w:p>
            <w:pPr>
              <w:spacing w:after="0"/>
              <w:rPr>
                <w:sz w:val="13"/>
                <w:szCs w:val="13"/>
                <w:color w:val="auto"/>
              </w:rPr>
            </w:pP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(2)%</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9"/>
              </w:rPr>
              <w:t>46%</w:t>
            </w:r>
          </w:p>
        </w:tc>
      </w:tr>
      <w:tr>
        <w:trPr>
          <w:trHeight w:val="324"/>
        </w:trPr>
        <w:tc>
          <w:tcPr>
            <w:tcW w:w="5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margin (adjusted CDMO services revenues minus Cost of CDMO services)</w:t>
            </w:r>
          </w:p>
        </w:tc>
        <w:tc>
          <w:tcPr>
            <w:tcW w:w="1200" w:type="dxa"/>
            <w:vAlign w:val="bottom"/>
            <w:shd w:val="clear" w:color="auto" w:fill="CCCCCC"/>
          </w:tcPr>
          <w:p>
            <w:pPr>
              <w:spacing w:after="0"/>
              <w:rPr>
                <w:sz w:val="24"/>
                <w:szCs w:val="24"/>
                <w:color w:val="auto"/>
              </w:rPr>
            </w:pP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$13.3</w:t>
            </w:r>
          </w:p>
        </w:tc>
        <w:tc>
          <w:tcPr>
            <w:tcW w:w="3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$42.4</w:t>
            </w:r>
          </w:p>
        </w:tc>
      </w:tr>
      <w:tr>
        <w:trPr>
          <w:trHeight w:val="157"/>
        </w:trPr>
        <w:tc>
          <w:tcPr>
            <w:tcW w:w="5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margin % (adjusted CDMO margin divided by adjusted CDMO services revenues)</w:t>
            </w:r>
          </w:p>
        </w:tc>
        <w:tc>
          <w:tcPr>
            <w:tcW w:w="1200" w:type="dxa"/>
            <w:vAlign w:val="bottom"/>
            <w:shd w:val="clear" w:color="auto" w:fill="CCCCCC"/>
          </w:tcPr>
          <w:p>
            <w:pPr>
              <w:spacing w:after="0"/>
              <w:rPr>
                <w:sz w:val="13"/>
                <w:szCs w:val="13"/>
                <w:color w:val="auto"/>
              </w:rPr>
            </w:pP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0"/>
              </w:rPr>
              <w:t>10%</w:t>
            </w:r>
          </w:p>
        </w:tc>
        <w:tc>
          <w:tcPr>
            <w:tcW w:w="352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9"/>
              </w:rPr>
              <w:t>60%</w:t>
            </w:r>
          </w:p>
        </w:tc>
      </w:tr>
      <w:tr>
        <w:trPr>
          <w:trHeight w:val="752"/>
        </w:trPr>
        <w:tc>
          <w:tcPr>
            <w:tcW w:w="5080" w:type="dxa"/>
            <w:vAlign w:val="bottom"/>
          </w:tcPr>
          <w:p>
            <w:pPr>
              <w:spacing w:after="0"/>
              <w:rPr>
                <w:sz w:val="24"/>
                <w:szCs w:val="24"/>
                <w:color w:val="auto"/>
              </w:rPr>
            </w:pPr>
          </w:p>
        </w:tc>
        <w:tc>
          <w:tcPr>
            <w:tcW w:w="2700" w:type="dxa"/>
            <w:vAlign w:val="bottom"/>
            <w:gridSpan w:val="2"/>
          </w:tcPr>
          <w:p>
            <w:pPr>
              <w:ind w:left="360"/>
              <w:spacing w:after="0"/>
              <w:rPr>
                <w:sz w:val="20"/>
                <w:szCs w:val="20"/>
                <w:color w:val="auto"/>
              </w:rPr>
            </w:pPr>
            <w:r>
              <w:rPr>
                <w:rFonts w:ascii="Arial" w:cs="Arial" w:eastAsia="Arial" w:hAnsi="Arial"/>
                <w:sz w:val="11"/>
                <w:szCs w:val="11"/>
                <w:color w:val="auto"/>
              </w:rPr>
              <w:t>15 of 16</w:t>
            </w:r>
          </w:p>
        </w:tc>
        <w:tc>
          <w:tcPr>
            <w:tcW w:w="3520" w:type="dxa"/>
            <w:vAlign w:val="bottom"/>
          </w:tcPr>
          <w:p>
            <w:pPr>
              <w:spacing w:after="0"/>
              <w:rPr>
                <w:sz w:val="24"/>
                <w:szCs w:val="24"/>
                <w:color w:val="auto"/>
              </w:rPr>
            </w:pPr>
          </w:p>
        </w:tc>
      </w:tr>
    </w:tbl>
    <w:p>
      <w:pPr>
        <w:sectPr>
          <w:pgSz w:w="11900" w:h="16838" w:orient="portrait"/>
          <w:cols w:equalWidth="0" w:num="1">
            <w:col w:w="11300"/>
          </w:cols>
          <w:pgMar w:left="300" w:top="701" w:right="2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80" w:type="dxa"/>
            <w:vAlign w:val="bottom"/>
            <w:shd w:val="clear" w:color="auto" w:fill="0F243E"/>
          </w:tcPr>
          <w:p>
            <w:pPr>
              <w:spacing w:after="0"/>
              <w:rPr>
                <w:sz w:val="13"/>
                <w:szCs w:val="13"/>
                <w:color w:val="auto"/>
              </w:rPr>
            </w:pPr>
          </w:p>
        </w:tc>
        <w:tc>
          <w:tcPr>
            <w:tcW w:w="1520" w:type="dxa"/>
            <w:vAlign w:val="bottom"/>
            <w:shd w:val="clear" w:color="auto" w:fill="0F243E"/>
          </w:tcPr>
          <w:p>
            <w:pPr>
              <w:spacing w:after="0"/>
              <w:rPr>
                <w:sz w:val="13"/>
                <w:szCs w:val="13"/>
                <w:color w:val="auto"/>
              </w:rPr>
            </w:pPr>
          </w:p>
        </w:tc>
        <w:tc>
          <w:tcPr>
            <w:tcW w:w="3500" w:type="dxa"/>
            <w:vAlign w:val="bottom"/>
            <w:shd w:val="clear" w:color="auto" w:fill="0F243E"/>
          </w:tcPr>
          <w:p>
            <w:pPr>
              <w:ind w:left="100"/>
              <w:spacing w:after="0"/>
              <w:rPr>
                <w:sz w:val="20"/>
                <w:szCs w:val="20"/>
                <w:color w:val="auto"/>
              </w:rPr>
            </w:pPr>
            <w:r>
              <w:rPr>
                <w:rFonts w:ascii="Arial" w:cs="Arial" w:eastAsia="Arial" w:hAnsi="Arial"/>
                <w:sz w:val="11"/>
                <w:szCs w:val="11"/>
                <w:b w:val="1"/>
                <w:bCs w:val="1"/>
                <w:color w:val="FFFFFF"/>
              </w:rPr>
              <w:t>Nine Months Ended September 30,</w:t>
            </w:r>
          </w:p>
        </w:tc>
      </w:tr>
      <w:tr>
        <w:trPr>
          <w:trHeight w:val="153"/>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520" w:type="dxa"/>
            <w:vAlign w:val="bottom"/>
            <w:shd w:val="clear" w:color="auto" w:fill="0F243E"/>
          </w:tcPr>
          <w:p>
            <w:pPr>
              <w:jc w:val="center"/>
              <w:ind w:left="946"/>
              <w:spacing w:after="0"/>
              <w:rPr>
                <w:sz w:val="20"/>
                <w:szCs w:val="20"/>
                <w:color w:val="auto"/>
              </w:rPr>
            </w:pPr>
            <w:r>
              <w:rPr>
                <w:rFonts w:ascii="Arial" w:cs="Arial" w:eastAsia="Arial" w:hAnsi="Arial"/>
                <w:sz w:val="11"/>
                <w:szCs w:val="11"/>
                <w:b w:val="1"/>
                <w:bCs w:val="1"/>
                <w:color w:val="FFFFFF"/>
                <w:w w:val="97"/>
              </w:rPr>
              <w:t>2021</w:t>
            </w:r>
          </w:p>
        </w:tc>
        <w:tc>
          <w:tcPr>
            <w:tcW w:w="3500" w:type="dxa"/>
            <w:vAlign w:val="bottom"/>
            <w:shd w:val="clear" w:color="auto" w:fill="0F243E"/>
          </w:tcPr>
          <w:p>
            <w:pPr>
              <w:jc w:val="center"/>
              <w:ind w:left="92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CDMO services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$283.7</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$102.7</w:t>
            </w:r>
          </w:p>
        </w:tc>
      </w:tr>
      <w:tr>
        <w:trPr>
          <w:trHeight w:val="155"/>
        </w:trPr>
        <w:tc>
          <w:tcPr>
            <w:tcW w:w="628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1"/>
                <w:szCs w:val="11"/>
                <w:color w:val="auto"/>
              </w:rPr>
              <w:t>+ Non-USG lease revenue</w:t>
            </w:r>
          </w:p>
        </w:tc>
        <w:tc>
          <w:tcPr>
            <w:tcW w:w="152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w w:val="93"/>
              </w:rPr>
              <w:t>50.7</w:t>
            </w:r>
          </w:p>
        </w:tc>
        <w:tc>
          <w:tcPr>
            <w:tcW w:w="3500" w:type="dxa"/>
            <w:vAlign w:val="bottom"/>
            <w:tcBorders>
              <w:bottom w:val="single" w:sz="8" w:color="auto"/>
            </w:tcBorders>
            <w:shd w:val="clear" w:color="auto" w:fill="CCCCCC"/>
          </w:tcPr>
          <w:p>
            <w:pPr>
              <w:jc w:val="center"/>
              <w:ind w:left="946"/>
              <w:spacing w:after="0"/>
              <w:rPr>
                <w:sz w:val="20"/>
                <w:szCs w:val="20"/>
                <w:color w:val="auto"/>
              </w:rPr>
            </w:pPr>
            <w:r>
              <w:rPr>
                <w:rFonts w:ascii="Arial" w:cs="Arial" w:eastAsia="Arial" w:hAnsi="Arial"/>
                <w:sz w:val="11"/>
                <w:szCs w:val="11"/>
                <w:color w:val="auto"/>
              </w:rPr>
              <w:t>18.2</w:t>
            </w:r>
          </w:p>
        </w:tc>
      </w:tr>
      <w:tr>
        <w:trPr>
          <w:trHeight w:val="131"/>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service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$334.4</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$120.9</w:t>
            </w:r>
          </w:p>
        </w:tc>
      </w:tr>
      <w:tr>
        <w:trPr>
          <w:trHeight w:val="29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CDMO services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4"/>
              </w:rPr>
              <w:t>$307.6</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$68.1</w:t>
            </w:r>
          </w:p>
        </w:tc>
      </w:tr>
      <w:tr>
        <w:trPr>
          <w:trHeight w:val="29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margin (CDMO service revenues minus Cost of CDMO services)</w:t>
            </w:r>
          </w:p>
        </w:tc>
        <w:tc>
          <w:tcPr>
            <w:tcW w:w="152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$(23.9)</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$34.6</w:t>
            </w: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CDMO margin % (CDMO margin divided by CDMO services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(8)%</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34%</w:t>
            </w:r>
          </w:p>
        </w:tc>
      </w:tr>
      <w:tr>
        <w:trPr>
          <w:trHeight w:val="29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margin (adjusted CDMO services revenues minus Cost of CDMO services)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$26.8</w:t>
            </w:r>
          </w:p>
        </w:tc>
        <w:tc>
          <w:tcPr>
            <w:tcW w:w="350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$52.8</w:t>
            </w:r>
          </w:p>
        </w:tc>
      </w:tr>
      <w:tr>
        <w:trPr>
          <w:trHeight w:val="15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CDMO margin % (adjusted CDMO margin divided by adjusted CDMO services revenues)</w:t>
            </w:r>
          </w:p>
        </w:tc>
        <w:tc>
          <w:tcPr>
            <w:tcW w:w="152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rPr>
              <w:t>8%</w:t>
            </w:r>
          </w:p>
        </w:tc>
        <w:tc>
          <w:tcPr>
            <w:tcW w:w="3500" w:type="dxa"/>
            <w:vAlign w:val="bottom"/>
            <w:shd w:val="clear" w:color="auto" w:fill="CCCCCC"/>
          </w:tcPr>
          <w:p>
            <w:pPr>
              <w:jc w:val="center"/>
              <w:ind w:left="946"/>
              <w:spacing w:after="0"/>
              <w:rPr>
                <w:sz w:val="20"/>
                <w:szCs w:val="20"/>
                <w:color w:val="auto"/>
              </w:rPr>
            </w:pPr>
            <w:r>
              <w:rPr>
                <w:rFonts w:ascii="Arial" w:cs="Arial" w:eastAsia="Arial" w:hAnsi="Arial"/>
                <w:sz w:val="11"/>
                <w:szCs w:val="11"/>
                <w:color w:val="auto"/>
                <w:w w:val="99"/>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-1245235</wp:posOffset>
            </wp:positionV>
            <wp:extent cx="7183755" cy="1251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12515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Net Research and Development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948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9486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80" w:type="dxa"/>
            <w:vAlign w:val="bottom"/>
            <w:shd w:val="clear" w:color="auto" w:fill="0F243E"/>
          </w:tcPr>
          <w:p>
            <w:pPr>
              <w:spacing w:after="0"/>
              <w:rPr>
                <w:sz w:val="13"/>
                <w:szCs w:val="13"/>
                <w:color w:val="auto"/>
              </w:rPr>
            </w:pPr>
          </w:p>
        </w:tc>
        <w:tc>
          <w:tcPr>
            <w:tcW w:w="1500" w:type="dxa"/>
            <w:vAlign w:val="bottom"/>
            <w:shd w:val="clear" w:color="auto" w:fill="0F243E"/>
          </w:tcPr>
          <w:p>
            <w:pPr>
              <w:spacing w:after="0"/>
              <w:rPr>
                <w:sz w:val="13"/>
                <w:szCs w:val="13"/>
                <w:color w:val="auto"/>
              </w:rPr>
            </w:pPr>
          </w:p>
        </w:tc>
        <w:tc>
          <w:tcPr>
            <w:tcW w:w="3520" w:type="dxa"/>
            <w:vAlign w:val="bottom"/>
            <w:gridSpan w:val="2"/>
            <w:shd w:val="clear" w:color="auto" w:fill="0F243E"/>
          </w:tcPr>
          <w:p>
            <w:pPr>
              <w:ind w:left="100"/>
              <w:spacing w:after="0"/>
              <w:rPr>
                <w:sz w:val="20"/>
                <w:szCs w:val="20"/>
                <w:color w:val="auto"/>
              </w:rPr>
            </w:pPr>
            <w:r>
              <w:rPr>
                <w:rFonts w:ascii="Arial" w:cs="Arial" w:eastAsia="Arial" w:hAnsi="Arial"/>
                <w:sz w:val="11"/>
                <w:szCs w:val="11"/>
                <w:b w:val="1"/>
                <w:bCs w:val="1"/>
                <w:color w:val="FFFFFF"/>
              </w:rPr>
              <w:t>Three Months Ended September 30,</w:t>
            </w:r>
          </w:p>
        </w:tc>
        <w:tc>
          <w:tcPr>
            <w:tcW w:w="0" w:type="dxa"/>
            <w:vAlign w:val="bottom"/>
          </w:tcPr>
          <w:p>
            <w:pPr>
              <w:spacing w:after="0"/>
              <w:rPr>
                <w:sz w:val="1"/>
                <w:szCs w:val="1"/>
                <w:color w:val="auto"/>
              </w:rPr>
            </w:pPr>
          </w:p>
        </w:tc>
      </w:tr>
      <w:tr>
        <w:trPr>
          <w:trHeight w:val="153"/>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500" w:type="dxa"/>
            <w:vAlign w:val="bottom"/>
            <w:shd w:val="clear" w:color="auto" w:fill="0F243E"/>
          </w:tcPr>
          <w:p>
            <w:pPr>
              <w:jc w:val="center"/>
              <w:ind w:left="966"/>
              <w:spacing w:after="0"/>
              <w:rPr>
                <w:sz w:val="20"/>
                <w:szCs w:val="20"/>
                <w:color w:val="auto"/>
              </w:rPr>
            </w:pPr>
            <w:r>
              <w:rPr>
                <w:rFonts w:ascii="Arial" w:cs="Arial" w:eastAsia="Arial" w:hAnsi="Arial"/>
                <w:sz w:val="11"/>
                <w:szCs w:val="11"/>
                <w:b w:val="1"/>
                <w:bCs w:val="1"/>
                <w:color w:val="FFFFFF"/>
                <w:w w:val="97"/>
              </w:rPr>
              <w:t>2021</w:t>
            </w:r>
          </w:p>
        </w:tc>
        <w:tc>
          <w:tcPr>
            <w:tcW w:w="3520" w:type="dxa"/>
            <w:vAlign w:val="bottom"/>
            <w:gridSpan w:val="2"/>
            <w:shd w:val="clear" w:color="auto" w:fill="0F243E"/>
          </w:tcPr>
          <w:p>
            <w:pPr>
              <w:jc w:val="center"/>
              <w:ind w:left="94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Research and Development Expenses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rPr>
              <w:t>$49.6</w:t>
            </w:r>
          </w:p>
        </w:tc>
        <w:tc>
          <w:tcPr>
            <w:tcW w:w="3520" w:type="dxa"/>
            <w:vAlign w:val="bottom"/>
            <w:gridSpan w:val="2"/>
            <w:shd w:val="clear" w:color="auto" w:fill="CCCCCC"/>
          </w:tcPr>
          <w:p>
            <w:pPr>
              <w:jc w:val="center"/>
              <w:ind w:left="946"/>
              <w:spacing w:after="0"/>
              <w:rPr>
                <w:sz w:val="20"/>
                <w:szCs w:val="20"/>
                <w:color w:val="auto"/>
              </w:rPr>
            </w:pPr>
            <w:r>
              <w:rPr>
                <w:rFonts w:ascii="Arial" w:cs="Arial" w:eastAsia="Arial" w:hAnsi="Arial"/>
                <w:sz w:val="11"/>
                <w:szCs w:val="11"/>
                <w:color w:val="auto"/>
              </w:rPr>
              <w:t>$84.4</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1500" w:type="dxa"/>
            <w:vAlign w:val="bottom"/>
            <w:shd w:val="clear" w:color="auto" w:fill="CCCCCC"/>
          </w:tcPr>
          <w:p>
            <w:pPr>
              <w:spacing w:after="0"/>
              <w:rPr>
                <w:sz w:val="13"/>
                <w:szCs w:val="13"/>
                <w:color w:val="auto"/>
              </w:rPr>
            </w:pPr>
          </w:p>
        </w:tc>
        <w:tc>
          <w:tcPr>
            <w:tcW w:w="1000" w:type="dxa"/>
            <w:vAlign w:val="bottom"/>
            <w:shd w:val="clear" w:color="auto" w:fill="CCCCCC"/>
          </w:tcPr>
          <w:p>
            <w:pPr>
              <w:spacing w:after="0"/>
              <w:rPr>
                <w:sz w:val="13"/>
                <w:szCs w:val="13"/>
                <w:color w:val="auto"/>
              </w:rPr>
            </w:pPr>
          </w:p>
        </w:tc>
        <w:tc>
          <w:tcPr>
            <w:tcW w:w="25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Contracts and Grants Revenue</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7"/>
              </w:rPr>
              <w:t>(16.9)</w:t>
            </w:r>
          </w:p>
        </w:tc>
        <w:tc>
          <w:tcPr>
            <w:tcW w:w="3520" w:type="dxa"/>
            <w:vAlign w:val="bottom"/>
            <w:gridSpan w:val="2"/>
            <w:shd w:val="clear" w:color="auto" w:fill="CCCCCC"/>
          </w:tcPr>
          <w:p>
            <w:pPr>
              <w:jc w:val="center"/>
              <w:ind w:left="966"/>
              <w:spacing w:after="0"/>
              <w:rPr>
                <w:sz w:val="20"/>
                <w:szCs w:val="20"/>
                <w:color w:val="auto"/>
              </w:rPr>
            </w:pPr>
            <w:r>
              <w:rPr>
                <w:rFonts w:ascii="Arial" w:cs="Arial" w:eastAsia="Arial" w:hAnsi="Arial"/>
                <w:sz w:val="11"/>
                <w:szCs w:val="11"/>
                <w:color w:val="auto"/>
                <w:w w:val="97"/>
              </w:rPr>
              <w:t>($25.9)</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Impairment of IPR&amp;D intangible asset</w:t>
            </w:r>
          </w:p>
        </w:tc>
        <w:tc>
          <w:tcPr>
            <w:tcW w:w="1500" w:type="dxa"/>
            <w:vAlign w:val="bottom"/>
            <w:tcBorders>
              <w:bottom w:val="single" w:sz="8" w:color="auto"/>
            </w:tcBorders>
            <w:shd w:val="clear" w:color="auto" w:fill="CCCCCC"/>
          </w:tcPr>
          <w:p>
            <w:pPr>
              <w:jc w:val="center"/>
              <w:ind w:left="96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CCCCCC"/>
          </w:tcPr>
          <w:p>
            <w:pPr>
              <w:spacing w:after="0"/>
              <w:rPr>
                <w:sz w:val="13"/>
                <w:szCs w:val="13"/>
                <w:color w:val="auto"/>
              </w:rPr>
            </w:pPr>
          </w:p>
        </w:tc>
        <w:tc>
          <w:tcPr>
            <w:tcW w:w="25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w w:val="97"/>
              </w:rPr>
              <w:t>(29.0)</w:t>
            </w:r>
          </w:p>
        </w:tc>
        <w:tc>
          <w:tcPr>
            <w:tcW w:w="0" w:type="dxa"/>
            <w:vAlign w:val="bottom"/>
          </w:tcPr>
          <w:p>
            <w:pPr>
              <w:spacing w:after="0"/>
              <w:rPr>
                <w:sz w:val="1"/>
                <w:szCs w:val="1"/>
                <w:color w:val="auto"/>
              </w:rPr>
            </w:pPr>
          </w:p>
        </w:tc>
      </w:tr>
      <w:tr>
        <w:trPr>
          <w:trHeight w:val="131"/>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Net Research and Development Expenses</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3"/>
              </w:rPr>
              <w:t>32.7</w:t>
            </w:r>
          </w:p>
        </w:tc>
        <w:tc>
          <w:tcPr>
            <w:tcW w:w="1000" w:type="dxa"/>
            <w:vAlign w:val="bottom"/>
            <w:shd w:val="clear" w:color="auto" w:fill="CCCCCC"/>
          </w:tcPr>
          <w:p>
            <w:pPr>
              <w:spacing w:after="0"/>
              <w:rPr>
                <w:sz w:val="11"/>
                <w:szCs w:val="11"/>
                <w:color w:val="auto"/>
              </w:rPr>
            </w:pPr>
          </w:p>
        </w:tc>
        <w:tc>
          <w:tcPr>
            <w:tcW w:w="252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131"/>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Adjusted Revenue</w:t>
            </w:r>
          </w:p>
        </w:tc>
        <w:tc>
          <w:tcPr>
            <w:tcW w:w="1500" w:type="dxa"/>
            <w:vAlign w:val="bottom"/>
            <w:vMerge w:val="restart"/>
            <w:shd w:val="clear" w:color="auto" w:fill="CCCCCC"/>
          </w:tcPr>
          <w:p>
            <w:pPr>
              <w:jc w:val="center"/>
              <w:ind w:left="966"/>
              <w:spacing w:after="0"/>
              <w:rPr>
                <w:sz w:val="20"/>
                <w:szCs w:val="20"/>
                <w:color w:val="auto"/>
              </w:rPr>
            </w:pPr>
            <w:r>
              <w:rPr>
                <w:rFonts w:ascii="Arial" w:cs="Arial" w:eastAsia="Arial" w:hAnsi="Arial"/>
                <w:sz w:val="11"/>
                <w:szCs w:val="11"/>
                <w:color w:val="auto"/>
              </w:rPr>
              <w:t>312.1</w:t>
            </w:r>
          </w:p>
        </w:tc>
        <w:tc>
          <w:tcPr>
            <w:tcW w:w="1000" w:type="dxa"/>
            <w:vAlign w:val="bottom"/>
            <w:shd w:val="clear" w:color="auto" w:fill="CCCCCC"/>
          </w:tcPr>
          <w:p>
            <w:pPr>
              <w:spacing w:after="0"/>
              <w:rPr>
                <w:sz w:val="11"/>
                <w:szCs w:val="11"/>
                <w:color w:val="auto"/>
              </w:rPr>
            </w:pPr>
          </w:p>
        </w:tc>
        <w:tc>
          <w:tcPr>
            <w:tcW w:w="252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rPr>
              <w:t>$359.3</w:t>
            </w:r>
          </w:p>
        </w:tc>
        <w:tc>
          <w:tcPr>
            <w:tcW w:w="0" w:type="dxa"/>
            <w:vAlign w:val="bottom"/>
          </w:tcPr>
          <w:p>
            <w:pPr>
              <w:spacing w:after="0"/>
              <w:rPr>
                <w:sz w:val="1"/>
                <w:szCs w:val="1"/>
                <w:color w:val="auto"/>
              </w:rPr>
            </w:pPr>
          </w:p>
        </w:tc>
      </w:tr>
      <w:tr>
        <w:trPr>
          <w:trHeight w:val="76"/>
        </w:trPr>
        <w:tc>
          <w:tcPr>
            <w:tcW w:w="6280" w:type="dxa"/>
            <w:vAlign w:val="bottom"/>
            <w:vMerge w:val="restart"/>
            <w:shd w:val="clear" w:color="auto" w:fill="CCCCCC"/>
          </w:tcPr>
          <w:p>
            <w:pPr>
              <w:spacing w:after="0"/>
              <w:rPr>
                <w:sz w:val="20"/>
                <w:szCs w:val="20"/>
                <w:color w:val="auto"/>
              </w:rPr>
            </w:pPr>
            <w:r>
              <w:rPr>
                <w:rFonts w:ascii="Arial" w:cs="Arial" w:eastAsia="Arial" w:hAnsi="Arial"/>
                <w:sz w:val="11"/>
                <w:szCs w:val="11"/>
                <w:color w:val="auto"/>
              </w:rPr>
              <w:t>(Total Revenue less Contracts and Grants Revenue)</w:t>
            </w:r>
          </w:p>
        </w:tc>
        <w:tc>
          <w:tcPr>
            <w:tcW w:w="1500" w:type="dxa"/>
            <w:vAlign w:val="bottom"/>
            <w:vMerge w:val="continue"/>
            <w:shd w:val="clear" w:color="auto" w:fill="CCCCCC"/>
          </w:tcPr>
          <w:p>
            <w:pPr>
              <w:spacing w:after="0"/>
              <w:rPr>
                <w:sz w:val="6"/>
                <w:szCs w:val="6"/>
                <w:color w:val="auto"/>
              </w:rPr>
            </w:pPr>
          </w:p>
        </w:tc>
        <w:tc>
          <w:tcPr>
            <w:tcW w:w="1000" w:type="dxa"/>
            <w:vAlign w:val="bottom"/>
            <w:shd w:val="clear" w:color="auto" w:fill="CCCCCC"/>
          </w:tcPr>
          <w:p>
            <w:pPr>
              <w:spacing w:after="0"/>
              <w:rPr>
                <w:sz w:val="6"/>
                <w:szCs w:val="6"/>
                <w:color w:val="auto"/>
              </w:rPr>
            </w:pPr>
          </w:p>
        </w:tc>
        <w:tc>
          <w:tcPr>
            <w:tcW w:w="2520" w:type="dxa"/>
            <w:vAlign w:val="bottom"/>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6280" w:type="dxa"/>
            <w:vAlign w:val="bottom"/>
            <w:vMerge w:val="continue"/>
            <w:shd w:val="clear" w:color="auto" w:fill="CCCCCC"/>
          </w:tcPr>
          <w:p>
            <w:pPr>
              <w:spacing w:after="0"/>
              <w:rPr>
                <w:sz w:val="4"/>
                <w:szCs w:val="4"/>
                <w:color w:val="auto"/>
              </w:rPr>
            </w:pPr>
          </w:p>
        </w:tc>
        <w:tc>
          <w:tcPr>
            <w:tcW w:w="1500" w:type="dxa"/>
            <w:vAlign w:val="bottom"/>
            <w:shd w:val="clear" w:color="auto" w:fill="CCCCCC"/>
          </w:tcPr>
          <w:p>
            <w:pPr>
              <w:spacing w:after="0"/>
              <w:rPr>
                <w:sz w:val="4"/>
                <w:szCs w:val="4"/>
                <w:color w:val="auto"/>
              </w:rPr>
            </w:pPr>
          </w:p>
        </w:tc>
        <w:tc>
          <w:tcPr>
            <w:tcW w:w="1000" w:type="dxa"/>
            <w:vAlign w:val="bottom"/>
            <w:shd w:val="clear" w:color="auto" w:fill="CCCCCC"/>
          </w:tcPr>
          <w:p>
            <w:pPr>
              <w:spacing w:after="0"/>
              <w:rPr>
                <w:sz w:val="4"/>
                <w:szCs w:val="4"/>
                <w:color w:val="auto"/>
              </w:rPr>
            </w:pPr>
          </w:p>
        </w:tc>
        <w:tc>
          <w:tcPr>
            <w:tcW w:w="2520" w:type="dxa"/>
            <w:vAlign w:val="bottom"/>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Net R&amp;D as % of Adjusted Revenue (Net R&amp;D Margin)</w:t>
            </w:r>
          </w:p>
        </w:tc>
        <w:tc>
          <w:tcPr>
            <w:tcW w:w="1500" w:type="dxa"/>
            <w:vAlign w:val="bottom"/>
            <w:shd w:val="clear" w:color="auto" w:fill="CCCCCC"/>
          </w:tcPr>
          <w:p>
            <w:pPr>
              <w:jc w:val="center"/>
              <w:ind w:left="966"/>
              <w:spacing w:after="0"/>
              <w:rPr>
                <w:sz w:val="20"/>
                <w:szCs w:val="20"/>
                <w:color w:val="auto"/>
              </w:rPr>
            </w:pPr>
            <w:r>
              <w:rPr>
                <w:rFonts w:ascii="Arial" w:cs="Arial" w:eastAsia="Arial" w:hAnsi="Arial"/>
                <w:sz w:val="11"/>
                <w:szCs w:val="11"/>
                <w:color w:val="auto"/>
                <w:w w:val="90"/>
              </w:rPr>
              <w:t>10%</w:t>
            </w:r>
          </w:p>
        </w:tc>
        <w:tc>
          <w:tcPr>
            <w:tcW w:w="1000" w:type="dxa"/>
            <w:vAlign w:val="bottom"/>
            <w:shd w:val="clear" w:color="auto" w:fill="CCCCCC"/>
          </w:tcPr>
          <w:p>
            <w:pPr>
              <w:spacing w:after="0"/>
              <w:rPr>
                <w:sz w:val="13"/>
                <w:szCs w:val="13"/>
                <w:color w:val="auto"/>
              </w:rPr>
            </w:pPr>
          </w:p>
        </w:tc>
        <w:tc>
          <w:tcPr>
            <w:tcW w:w="252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183755" cy="948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9486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shd w:val="clear" w:color="auto" w:fill="0F243E"/>
          </w:tcPr>
          <w:p>
            <w:pPr>
              <w:spacing w:after="0"/>
              <w:rPr>
                <w:sz w:val="13"/>
                <w:szCs w:val="13"/>
                <w:color w:val="auto"/>
              </w:rPr>
            </w:pPr>
          </w:p>
        </w:tc>
        <w:tc>
          <w:tcPr>
            <w:tcW w:w="2240" w:type="dxa"/>
            <w:vAlign w:val="bottom"/>
            <w:shd w:val="clear" w:color="auto" w:fill="0F243E"/>
          </w:tcPr>
          <w:p>
            <w:pPr>
              <w:spacing w:after="0"/>
              <w:rPr>
                <w:sz w:val="13"/>
                <w:szCs w:val="13"/>
                <w:color w:val="auto"/>
              </w:rPr>
            </w:pPr>
          </w:p>
        </w:tc>
        <w:tc>
          <w:tcPr>
            <w:tcW w:w="1540" w:type="dxa"/>
            <w:vAlign w:val="bottom"/>
            <w:shd w:val="clear" w:color="auto" w:fill="0F243E"/>
          </w:tcPr>
          <w:p>
            <w:pPr>
              <w:spacing w:after="0"/>
              <w:rPr>
                <w:sz w:val="13"/>
                <w:szCs w:val="13"/>
                <w:color w:val="auto"/>
              </w:rPr>
            </w:pPr>
          </w:p>
        </w:tc>
        <w:tc>
          <w:tcPr>
            <w:tcW w:w="3480" w:type="dxa"/>
            <w:vAlign w:val="bottom"/>
            <w:gridSpan w:val="2"/>
            <w:shd w:val="clear" w:color="auto" w:fill="0F243E"/>
          </w:tcPr>
          <w:p>
            <w:pPr>
              <w:ind w:left="80"/>
              <w:spacing w:after="0"/>
              <w:rPr>
                <w:sz w:val="20"/>
                <w:szCs w:val="20"/>
                <w:color w:val="auto"/>
              </w:rPr>
            </w:pPr>
            <w:r>
              <w:rPr>
                <w:rFonts w:ascii="Arial" w:cs="Arial" w:eastAsia="Arial" w:hAnsi="Arial"/>
                <w:sz w:val="11"/>
                <w:szCs w:val="11"/>
                <w:b w:val="1"/>
                <w:bCs w:val="1"/>
                <w:color w:val="FFFFFF"/>
              </w:rPr>
              <w:t>Nine Months Ended September 30,</w:t>
            </w:r>
          </w:p>
        </w:tc>
        <w:tc>
          <w:tcPr>
            <w:tcW w:w="0" w:type="dxa"/>
            <w:vAlign w:val="bottom"/>
          </w:tcPr>
          <w:p>
            <w:pPr>
              <w:spacing w:after="0"/>
              <w:rPr>
                <w:sz w:val="1"/>
                <w:szCs w:val="1"/>
                <w:color w:val="auto"/>
              </w:rPr>
            </w:pPr>
          </w:p>
        </w:tc>
      </w:tr>
      <w:tr>
        <w:trPr>
          <w:trHeight w:val="153"/>
        </w:trPr>
        <w:tc>
          <w:tcPr>
            <w:tcW w:w="404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2240" w:type="dxa"/>
            <w:vAlign w:val="bottom"/>
            <w:shd w:val="clear" w:color="auto" w:fill="0F243E"/>
          </w:tcPr>
          <w:p>
            <w:pPr>
              <w:spacing w:after="0"/>
              <w:rPr>
                <w:sz w:val="13"/>
                <w:szCs w:val="13"/>
                <w:color w:val="auto"/>
              </w:rPr>
            </w:pPr>
          </w:p>
        </w:tc>
        <w:tc>
          <w:tcPr>
            <w:tcW w:w="1540" w:type="dxa"/>
            <w:vAlign w:val="bottom"/>
            <w:shd w:val="clear" w:color="auto" w:fill="0F243E"/>
          </w:tcPr>
          <w:p>
            <w:pPr>
              <w:jc w:val="center"/>
              <w:ind w:left="926"/>
              <w:spacing w:after="0"/>
              <w:rPr>
                <w:sz w:val="20"/>
                <w:szCs w:val="20"/>
                <w:color w:val="auto"/>
              </w:rPr>
            </w:pPr>
            <w:r>
              <w:rPr>
                <w:rFonts w:ascii="Arial" w:cs="Arial" w:eastAsia="Arial" w:hAnsi="Arial"/>
                <w:sz w:val="11"/>
                <w:szCs w:val="11"/>
                <w:b w:val="1"/>
                <w:bCs w:val="1"/>
                <w:color w:val="FFFFFF"/>
                <w:w w:val="97"/>
              </w:rPr>
              <w:t>2021</w:t>
            </w:r>
          </w:p>
        </w:tc>
        <w:tc>
          <w:tcPr>
            <w:tcW w:w="3480" w:type="dxa"/>
            <w:vAlign w:val="bottom"/>
            <w:gridSpan w:val="2"/>
            <w:shd w:val="clear" w:color="auto" w:fill="0F243E"/>
          </w:tcPr>
          <w:p>
            <w:pPr>
              <w:jc w:val="center"/>
              <w:ind w:left="90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149"/>
        </w:trPr>
        <w:tc>
          <w:tcPr>
            <w:tcW w:w="4040" w:type="dxa"/>
            <w:vAlign w:val="bottom"/>
            <w:shd w:val="clear" w:color="auto" w:fill="CCCCCC"/>
          </w:tcPr>
          <w:p>
            <w:pPr>
              <w:ind w:left="20"/>
              <w:spacing w:after="0"/>
              <w:rPr>
                <w:sz w:val="20"/>
                <w:szCs w:val="20"/>
                <w:color w:val="auto"/>
              </w:rPr>
            </w:pPr>
            <w:r>
              <w:rPr>
                <w:rFonts w:ascii="Arial" w:cs="Arial" w:eastAsia="Arial" w:hAnsi="Arial"/>
                <w:sz w:val="11"/>
                <w:szCs w:val="11"/>
                <w:color w:val="auto"/>
              </w:rPr>
              <w:t>Research and Development Expenses</w:t>
            </w:r>
          </w:p>
        </w:tc>
        <w:tc>
          <w:tcPr>
            <w:tcW w:w="3780" w:type="dxa"/>
            <w:vAlign w:val="bottom"/>
            <w:gridSpan w:val="2"/>
            <w:shd w:val="clear" w:color="auto" w:fill="CCCCCC"/>
          </w:tcPr>
          <w:p>
            <w:pPr>
              <w:jc w:val="center"/>
              <w:ind w:left="3166"/>
              <w:spacing w:after="0"/>
              <w:rPr>
                <w:sz w:val="20"/>
                <w:szCs w:val="20"/>
                <w:color w:val="auto"/>
              </w:rPr>
            </w:pPr>
            <w:r>
              <w:rPr>
                <w:rFonts w:ascii="Arial" w:cs="Arial" w:eastAsia="Arial" w:hAnsi="Arial"/>
                <w:sz w:val="11"/>
                <w:szCs w:val="11"/>
                <w:color w:val="auto"/>
                <w:w w:val="94"/>
              </w:rPr>
              <w:t>$151.0</w:t>
            </w:r>
          </w:p>
        </w:tc>
        <w:tc>
          <w:tcPr>
            <w:tcW w:w="3480" w:type="dxa"/>
            <w:vAlign w:val="bottom"/>
            <w:gridSpan w:val="2"/>
            <w:shd w:val="clear" w:color="auto" w:fill="CCCCCC"/>
          </w:tcPr>
          <w:p>
            <w:pPr>
              <w:jc w:val="center"/>
              <w:ind w:left="926"/>
              <w:spacing w:after="0"/>
              <w:rPr>
                <w:sz w:val="20"/>
                <w:szCs w:val="20"/>
                <w:color w:val="auto"/>
              </w:rPr>
            </w:pPr>
            <w:r>
              <w:rPr>
                <w:rFonts w:ascii="Arial" w:cs="Arial" w:eastAsia="Arial" w:hAnsi="Arial"/>
                <w:sz w:val="11"/>
                <w:szCs w:val="11"/>
                <w:color w:val="auto"/>
              </w:rPr>
              <w:t>$175.0</w:t>
            </w:r>
          </w:p>
        </w:tc>
        <w:tc>
          <w:tcPr>
            <w:tcW w:w="0" w:type="dxa"/>
            <w:vAlign w:val="bottom"/>
          </w:tcPr>
          <w:p>
            <w:pPr>
              <w:spacing w:after="0"/>
              <w:rPr>
                <w:sz w:val="1"/>
                <w:szCs w:val="1"/>
                <w:color w:val="auto"/>
              </w:rPr>
            </w:pPr>
          </w:p>
        </w:tc>
      </w:tr>
      <w:tr>
        <w:trPr>
          <w:trHeight w:val="153"/>
        </w:trPr>
        <w:tc>
          <w:tcPr>
            <w:tcW w:w="404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240" w:type="dxa"/>
            <w:vAlign w:val="bottom"/>
            <w:shd w:val="clear" w:color="auto" w:fill="CCCCCC"/>
          </w:tcPr>
          <w:p>
            <w:pPr>
              <w:spacing w:after="0"/>
              <w:rPr>
                <w:sz w:val="13"/>
                <w:szCs w:val="13"/>
                <w:color w:val="auto"/>
              </w:rPr>
            </w:pPr>
          </w:p>
        </w:tc>
        <w:tc>
          <w:tcPr>
            <w:tcW w:w="1540" w:type="dxa"/>
            <w:vAlign w:val="bottom"/>
            <w:shd w:val="clear" w:color="auto" w:fill="CCCCCC"/>
          </w:tcPr>
          <w:p>
            <w:pPr>
              <w:spacing w:after="0"/>
              <w:rPr>
                <w:sz w:val="13"/>
                <w:szCs w:val="13"/>
                <w:color w:val="auto"/>
              </w:rPr>
            </w:pPr>
          </w:p>
        </w:tc>
        <w:tc>
          <w:tcPr>
            <w:tcW w:w="960" w:type="dxa"/>
            <w:vAlign w:val="bottom"/>
            <w:shd w:val="clear" w:color="auto" w:fill="CCCCCC"/>
          </w:tcPr>
          <w:p>
            <w:pPr>
              <w:spacing w:after="0"/>
              <w:rPr>
                <w:sz w:val="13"/>
                <w:szCs w:val="13"/>
                <w:color w:val="auto"/>
              </w:rPr>
            </w:pPr>
          </w:p>
        </w:tc>
        <w:tc>
          <w:tcPr>
            <w:tcW w:w="25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Contracts and Grants Revenue</w:t>
            </w:r>
          </w:p>
        </w:tc>
        <w:tc>
          <w:tcPr>
            <w:tcW w:w="2240" w:type="dxa"/>
            <w:vAlign w:val="bottom"/>
            <w:shd w:val="clear" w:color="auto" w:fill="CCCCCC"/>
          </w:tcPr>
          <w:p>
            <w:pPr>
              <w:spacing w:after="0"/>
              <w:rPr>
                <w:sz w:val="13"/>
                <w:szCs w:val="13"/>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7"/>
              </w:rPr>
              <w:t>(63.6)</w:t>
            </w:r>
          </w:p>
        </w:tc>
        <w:tc>
          <w:tcPr>
            <w:tcW w:w="3480" w:type="dxa"/>
            <w:vAlign w:val="bottom"/>
            <w:gridSpan w:val="2"/>
            <w:shd w:val="clear" w:color="auto" w:fill="CCCCCC"/>
          </w:tcPr>
          <w:p>
            <w:pPr>
              <w:jc w:val="center"/>
              <w:ind w:left="926"/>
              <w:spacing w:after="0"/>
              <w:rPr>
                <w:sz w:val="20"/>
                <w:szCs w:val="20"/>
                <w:color w:val="auto"/>
              </w:rPr>
            </w:pPr>
            <w:r>
              <w:rPr>
                <w:rFonts w:ascii="Arial" w:cs="Arial" w:eastAsia="Arial" w:hAnsi="Arial"/>
                <w:sz w:val="11"/>
                <w:szCs w:val="11"/>
                <w:color w:val="auto"/>
                <w:w w:val="97"/>
              </w:rPr>
              <w:t>($72.1)</w:t>
            </w:r>
          </w:p>
        </w:tc>
        <w:tc>
          <w:tcPr>
            <w:tcW w:w="0" w:type="dxa"/>
            <w:vAlign w:val="bottom"/>
          </w:tcPr>
          <w:p>
            <w:pPr>
              <w:spacing w:after="0"/>
              <w:rPr>
                <w:sz w:val="1"/>
                <w:szCs w:val="1"/>
                <w:color w:val="auto"/>
              </w:rPr>
            </w:pPr>
          </w:p>
        </w:tc>
      </w:tr>
      <w:tr>
        <w:trPr>
          <w:trHeight w:val="155"/>
        </w:trPr>
        <w:tc>
          <w:tcPr>
            <w:tcW w:w="404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Impairment of IPR&amp;D intangible asset</w:t>
            </w:r>
          </w:p>
        </w:tc>
        <w:tc>
          <w:tcPr>
            <w:tcW w:w="2240" w:type="dxa"/>
            <w:vAlign w:val="bottom"/>
            <w:tcBorders>
              <w:bottom w:val="single" w:sz="8" w:color="CCCCCC"/>
            </w:tcBorders>
            <w:shd w:val="clear" w:color="auto" w:fill="CCCCCC"/>
          </w:tcPr>
          <w:p>
            <w:pPr>
              <w:spacing w:after="0"/>
              <w:rPr>
                <w:sz w:val="13"/>
                <w:szCs w:val="13"/>
                <w:color w:val="auto"/>
              </w:rPr>
            </w:pPr>
          </w:p>
        </w:tc>
        <w:tc>
          <w:tcPr>
            <w:tcW w:w="1540" w:type="dxa"/>
            <w:vAlign w:val="bottom"/>
            <w:tcBorders>
              <w:bottom w:val="single" w:sz="8" w:color="auto"/>
            </w:tcBorders>
            <w:shd w:val="clear" w:color="auto" w:fill="CCCCCC"/>
          </w:tcPr>
          <w:p>
            <w:pPr>
              <w:jc w:val="center"/>
              <w:ind w:left="92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CCCC"/>
          </w:tcPr>
          <w:p>
            <w:pPr>
              <w:spacing w:after="0"/>
              <w:rPr>
                <w:sz w:val="13"/>
                <w:szCs w:val="13"/>
                <w:color w:val="auto"/>
              </w:rPr>
            </w:pPr>
          </w:p>
        </w:tc>
        <w:tc>
          <w:tcPr>
            <w:tcW w:w="25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w w:val="97"/>
              </w:rPr>
              <w:t>(29.0)</w:t>
            </w:r>
          </w:p>
        </w:tc>
        <w:tc>
          <w:tcPr>
            <w:tcW w:w="0" w:type="dxa"/>
            <w:vAlign w:val="bottom"/>
          </w:tcPr>
          <w:p>
            <w:pPr>
              <w:spacing w:after="0"/>
              <w:rPr>
                <w:sz w:val="1"/>
                <w:szCs w:val="1"/>
                <w:color w:val="auto"/>
              </w:rPr>
            </w:pPr>
          </w:p>
        </w:tc>
      </w:tr>
      <w:tr>
        <w:trPr>
          <w:trHeight w:val="131"/>
        </w:trPr>
        <w:tc>
          <w:tcPr>
            <w:tcW w:w="4040" w:type="dxa"/>
            <w:vAlign w:val="bottom"/>
            <w:shd w:val="clear" w:color="auto" w:fill="CCCCCC"/>
          </w:tcPr>
          <w:p>
            <w:pPr>
              <w:spacing w:after="0"/>
              <w:rPr>
                <w:sz w:val="20"/>
                <w:szCs w:val="20"/>
                <w:color w:val="auto"/>
              </w:rPr>
            </w:pPr>
            <w:r>
              <w:rPr>
                <w:rFonts w:ascii="Arial" w:cs="Arial" w:eastAsia="Arial" w:hAnsi="Arial"/>
                <w:sz w:val="11"/>
                <w:szCs w:val="11"/>
                <w:color w:val="auto"/>
              </w:rPr>
              <w:t>Net Research and Development Expenses</w:t>
            </w:r>
          </w:p>
        </w:tc>
        <w:tc>
          <w:tcPr>
            <w:tcW w:w="2240" w:type="dxa"/>
            <w:vAlign w:val="bottom"/>
            <w:shd w:val="clear" w:color="auto" w:fill="CCCCCC"/>
          </w:tcPr>
          <w:p>
            <w:pPr>
              <w:spacing w:after="0"/>
              <w:rPr>
                <w:sz w:val="11"/>
                <w:szCs w:val="11"/>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w w:val="93"/>
              </w:rPr>
              <w:t>87.4</w:t>
            </w:r>
          </w:p>
        </w:tc>
        <w:tc>
          <w:tcPr>
            <w:tcW w:w="960" w:type="dxa"/>
            <w:vAlign w:val="bottom"/>
            <w:shd w:val="clear" w:color="auto" w:fill="CCCCCC"/>
          </w:tcPr>
          <w:p>
            <w:pPr>
              <w:spacing w:after="0"/>
              <w:rPr>
                <w:sz w:val="11"/>
                <w:szCs w:val="11"/>
                <w:color w:val="auto"/>
              </w:rPr>
            </w:pPr>
          </w:p>
        </w:tc>
        <w:tc>
          <w:tcPr>
            <w:tcW w:w="252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73.9</w:t>
            </w:r>
          </w:p>
        </w:tc>
        <w:tc>
          <w:tcPr>
            <w:tcW w:w="0" w:type="dxa"/>
            <w:vAlign w:val="bottom"/>
          </w:tcPr>
          <w:p>
            <w:pPr>
              <w:spacing w:after="0"/>
              <w:rPr>
                <w:sz w:val="1"/>
                <w:szCs w:val="1"/>
                <w:color w:val="auto"/>
              </w:rPr>
            </w:pPr>
          </w:p>
        </w:tc>
      </w:tr>
      <w:tr>
        <w:trPr>
          <w:trHeight w:val="131"/>
        </w:trPr>
        <w:tc>
          <w:tcPr>
            <w:tcW w:w="4040" w:type="dxa"/>
            <w:vAlign w:val="bottom"/>
            <w:shd w:val="clear" w:color="auto" w:fill="CCCCCC"/>
          </w:tcPr>
          <w:p>
            <w:pPr>
              <w:spacing w:after="0"/>
              <w:rPr>
                <w:sz w:val="20"/>
                <w:szCs w:val="20"/>
                <w:color w:val="auto"/>
              </w:rPr>
            </w:pPr>
            <w:r>
              <w:rPr>
                <w:rFonts w:ascii="Arial" w:cs="Arial" w:eastAsia="Arial" w:hAnsi="Arial"/>
                <w:sz w:val="11"/>
                <w:szCs w:val="11"/>
                <w:color w:val="auto"/>
              </w:rPr>
              <w:t>Adjusted Revenue</w:t>
            </w:r>
          </w:p>
        </w:tc>
        <w:tc>
          <w:tcPr>
            <w:tcW w:w="2240" w:type="dxa"/>
            <w:vAlign w:val="bottom"/>
            <w:shd w:val="clear" w:color="auto" w:fill="CCCCCC"/>
          </w:tcPr>
          <w:p>
            <w:pPr>
              <w:spacing w:after="0"/>
              <w:rPr>
                <w:sz w:val="11"/>
                <w:szCs w:val="11"/>
                <w:color w:val="auto"/>
              </w:rPr>
            </w:pPr>
          </w:p>
        </w:tc>
        <w:tc>
          <w:tcPr>
            <w:tcW w:w="1540" w:type="dxa"/>
            <w:vAlign w:val="bottom"/>
            <w:vMerge w:val="restart"/>
            <w:shd w:val="clear" w:color="auto" w:fill="CCCCCC"/>
          </w:tcPr>
          <w:p>
            <w:pPr>
              <w:jc w:val="center"/>
              <w:ind w:left="926"/>
              <w:spacing w:after="0"/>
              <w:rPr>
                <w:sz w:val="20"/>
                <w:szCs w:val="20"/>
                <w:color w:val="auto"/>
              </w:rPr>
            </w:pPr>
            <w:r>
              <w:rPr>
                <w:rFonts w:ascii="Arial" w:cs="Arial" w:eastAsia="Arial" w:hAnsi="Arial"/>
                <w:sz w:val="11"/>
                <w:szCs w:val="11"/>
                <w:color w:val="auto"/>
                <w:w w:val="97"/>
              </w:rPr>
              <w:t>1,005.9</w:t>
            </w:r>
          </w:p>
        </w:tc>
        <w:tc>
          <w:tcPr>
            <w:tcW w:w="960" w:type="dxa"/>
            <w:vAlign w:val="bottom"/>
            <w:shd w:val="clear" w:color="auto" w:fill="CCCCCC"/>
          </w:tcPr>
          <w:p>
            <w:pPr>
              <w:spacing w:after="0"/>
              <w:rPr>
                <w:sz w:val="11"/>
                <w:szCs w:val="11"/>
                <w:color w:val="auto"/>
              </w:rPr>
            </w:pPr>
          </w:p>
        </w:tc>
        <w:tc>
          <w:tcPr>
            <w:tcW w:w="252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rPr>
              <w:t>$900.3</w:t>
            </w:r>
          </w:p>
        </w:tc>
        <w:tc>
          <w:tcPr>
            <w:tcW w:w="0" w:type="dxa"/>
            <w:vAlign w:val="bottom"/>
          </w:tcPr>
          <w:p>
            <w:pPr>
              <w:spacing w:after="0"/>
              <w:rPr>
                <w:sz w:val="1"/>
                <w:szCs w:val="1"/>
                <w:color w:val="auto"/>
              </w:rPr>
            </w:pPr>
          </w:p>
        </w:tc>
      </w:tr>
      <w:tr>
        <w:trPr>
          <w:trHeight w:val="76"/>
        </w:trPr>
        <w:tc>
          <w:tcPr>
            <w:tcW w:w="4040" w:type="dxa"/>
            <w:vAlign w:val="bottom"/>
            <w:vMerge w:val="restart"/>
            <w:shd w:val="clear" w:color="auto" w:fill="CCCCCC"/>
          </w:tcPr>
          <w:p>
            <w:pPr>
              <w:spacing w:after="0"/>
              <w:rPr>
                <w:sz w:val="20"/>
                <w:szCs w:val="20"/>
                <w:color w:val="auto"/>
              </w:rPr>
            </w:pPr>
            <w:r>
              <w:rPr>
                <w:rFonts w:ascii="Arial" w:cs="Arial" w:eastAsia="Arial" w:hAnsi="Arial"/>
                <w:sz w:val="11"/>
                <w:szCs w:val="11"/>
                <w:color w:val="auto"/>
              </w:rPr>
              <w:t>(Total Revenue less Contracts and Grants Revenue)</w:t>
            </w:r>
          </w:p>
        </w:tc>
        <w:tc>
          <w:tcPr>
            <w:tcW w:w="2240" w:type="dxa"/>
            <w:vAlign w:val="bottom"/>
            <w:shd w:val="clear" w:color="auto" w:fill="CCCCCC"/>
          </w:tcPr>
          <w:p>
            <w:pPr>
              <w:spacing w:after="0"/>
              <w:rPr>
                <w:sz w:val="6"/>
                <w:szCs w:val="6"/>
                <w:color w:val="auto"/>
              </w:rPr>
            </w:pPr>
          </w:p>
        </w:tc>
        <w:tc>
          <w:tcPr>
            <w:tcW w:w="1540" w:type="dxa"/>
            <w:vAlign w:val="bottom"/>
            <w:vMerge w:val="continue"/>
            <w:shd w:val="clear" w:color="auto" w:fill="CCCCCC"/>
          </w:tcPr>
          <w:p>
            <w:pPr>
              <w:spacing w:after="0"/>
              <w:rPr>
                <w:sz w:val="6"/>
                <w:szCs w:val="6"/>
                <w:color w:val="auto"/>
              </w:rPr>
            </w:pPr>
          </w:p>
        </w:tc>
        <w:tc>
          <w:tcPr>
            <w:tcW w:w="960" w:type="dxa"/>
            <w:vAlign w:val="bottom"/>
            <w:shd w:val="clear" w:color="auto" w:fill="CCCCCC"/>
          </w:tcPr>
          <w:p>
            <w:pPr>
              <w:spacing w:after="0"/>
              <w:rPr>
                <w:sz w:val="6"/>
                <w:szCs w:val="6"/>
                <w:color w:val="auto"/>
              </w:rPr>
            </w:pPr>
          </w:p>
        </w:tc>
        <w:tc>
          <w:tcPr>
            <w:tcW w:w="2520" w:type="dxa"/>
            <w:vAlign w:val="bottom"/>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040" w:type="dxa"/>
            <w:vAlign w:val="bottom"/>
            <w:vMerge w:val="continue"/>
            <w:shd w:val="clear" w:color="auto" w:fill="CCCCCC"/>
          </w:tcPr>
          <w:p>
            <w:pPr>
              <w:spacing w:after="0"/>
              <w:rPr>
                <w:sz w:val="4"/>
                <w:szCs w:val="4"/>
                <w:color w:val="auto"/>
              </w:rPr>
            </w:pPr>
          </w:p>
        </w:tc>
        <w:tc>
          <w:tcPr>
            <w:tcW w:w="2240" w:type="dxa"/>
            <w:vAlign w:val="bottom"/>
            <w:shd w:val="clear" w:color="auto" w:fill="CCCCCC"/>
          </w:tcPr>
          <w:p>
            <w:pPr>
              <w:spacing w:after="0"/>
              <w:rPr>
                <w:sz w:val="4"/>
                <w:szCs w:val="4"/>
                <w:color w:val="auto"/>
              </w:rPr>
            </w:pPr>
          </w:p>
        </w:tc>
        <w:tc>
          <w:tcPr>
            <w:tcW w:w="1540" w:type="dxa"/>
            <w:vAlign w:val="bottom"/>
            <w:shd w:val="clear" w:color="auto" w:fill="CCCCCC"/>
          </w:tcPr>
          <w:p>
            <w:pPr>
              <w:spacing w:after="0"/>
              <w:rPr>
                <w:sz w:val="4"/>
                <w:szCs w:val="4"/>
                <w:color w:val="auto"/>
              </w:rPr>
            </w:pPr>
          </w:p>
        </w:tc>
        <w:tc>
          <w:tcPr>
            <w:tcW w:w="960" w:type="dxa"/>
            <w:vAlign w:val="bottom"/>
            <w:shd w:val="clear" w:color="auto" w:fill="CCCCCC"/>
          </w:tcPr>
          <w:p>
            <w:pPr>
              <w:spacing w:after="0"/>
              <w:rPr>
                <w:sz w:val="4"/>
                <w:szCs w:val="4"/>
                <w:color w:val="auto"/>
              </w:rPr>
            </w:pPr>
          </w:p>
        </w:tc>
        <w:tc>
          <w:tcPr>
            <w:tcW w:w="2520" w:type="dxa"/>
            <w:vAlign w:val="bottom"/>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40" w:type="dxa"/>
            <w:vAlign w:val="bottom"/>
            <w:shd w:val="clear" w:color="auto" w:fill="CCCCCC"/>
          </w:tcPr>
          <w:p>
            <w:pPr>
              <w:spacing w:after="0"/>
              <w:rPr>
                <w:sz w:val="20"/>
                <w:szCs w:val="20"/>
                <w:color w:val="auto"/>
              </w:rPr>
            </w:pPr>
            <w:r>
              <w:rPr>
                <w:rFonts w:ascii="Arial" w:cs="Arial" w:eastAsia="Arial" w:hAnsi="Arial"/>
                <w:sz w:val="11"/>
                <w:szCs w:val="11"/>
                <w:color w:val="auto"/>
              </w:rPr>
              <w:t>Net R&amp;D as % of Adjusted Revenue (Net R&amp;D Margin)</w:t>
            </w:r>
          </w:p>
        </w:tc>
        <w:tc>
          <w:tcPr>
            <w:tcW w:w="2240" w:type="dxa"/>
            <w:vAlign w:val="bottom"/>
            <w:shd w:val="clear" w:color="auto" w:fill="CCCCCC"/>
          </w:tcPr>
          <w:p>
            <w:pPr>
              <w:spacing w:after="0"/>
              <w:rPr>
                <w:sz w:val="13"/>
                <w:szCs w:val="13"/>
                <w:color w:val="auto"/>
              </w:rPr>
            </w:pPr>
          </w:p>
        </w:tc>
        <w:tc>
          <w:tcPr>
            <w:tcW w:w="1540" w:type="dxa"/>
            <w:vAlign w:val="bottom"/>
            <w:shd w:val="clear" w:color="auto" w:fill="CCCCCC"/>
          </w:tcPr>
          <w:p>
            <w:pPr>
              <w:jc w:val="center"/>
              <w:ind w:left="926"/>
              <w:spacing w:after="0"/>
              <w:rPr>
                <w:sz w:val="20"/>
                <w:szCs w:val="20"/>
                <w:color w:val="auto"/>
              </w:rPr>
            </w:pPr>
            <w:r>
              <w:rPr>
                <w:rFonts w:ascii="Arial" w:cs="Arial" w:eastAsia="Arial" w:hAnsi="Arial"/>
                <w:sz w:val="11"/>
                <w:szCs w:val="11"/>
                <w:color w:val="auto"/>
              </w:rPr>
              <w:t>9%</w:t>
            </w:r>
          </w:p>
        </w:tc>
        <w:tc>
          <w:tcPr>
            <w:tcW w:w="960" w:type="dxa"/>
            <w:vAlign w:val="bottom"/>
            <w:shd w:val="clear" w:color="auto" w:fill="CCCCCC"/>
          </w:tcPr>
          <w:p>
            <w:pPr>
              <w:spacing w:after="0"/>
              <w:rPr>
                <w:sz w:val="13"/>
                <w:szCs w:val="13"/>
                <w:color w:val="auto"/>
              </w:rPr>
            </w:pPr>
          </w:p>
        </w:tc>
        <w:tc>
          <w:tcPr>
            <w:tcW w:w="252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752"/>
        </w:trPr>
        <w:tc>
          <w:tcPr>
            <w:tcW w:w="4040" w:type="dxa"/>
            <w:vAlign w:val="bottom"/>
          </w:tcPr>
          <w:p>
            <w:pPr>
              <w:spacing w:after="0"/>
              <w:rPr>
                <w:sz w:val="24"/>
                <w:szCs w:val="24"/>
                <w:color w:val="auto"/>
              </w:rPr>
            </w:pPr>
          </w:p>
        </w:tc>
        <w:tc>
          <w:tcPr>
            <w:tcW w:w="3780" w:type="dxa"/>
            <w:vAlign w:val="bottom"/>
            <w:gridSpan w:val="2"/>
          </w:tcPr>
          <w:p>
            <w:pPr>
              <w:ind w:left="1400"/>
              <w:spacing w:after="0"/>
              <w:rPr>
                <w:sz w:val="20"/>
                <w:szCs w:val="20"/>
                <w:color w:val="auto"/>
              </w:rPr>
            </w:pPr>
            <w:r>
              <w:rPr>
                <w:rFonts w:ascii="Arial" w:cs="Arial" w:eastAsia="Arial" w:hAnsi="Arial"/>
                <w:sz w:val="11"/>
                <w:szCs w:val="11"/>
                <w:color w:val="auto"/>
              </w:rPr>
              <w:t>16 of 16</w:t>
            </w:r>
          </w:p>
        </w:tc>
        <w:tc>
          <w:tcPr>
            <w:tcW w:w="9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71" w:right="299" w:bottom="1440"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9"/>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2021-11-04T15:51:19Z</dcterms:created>
  <dcterms:modified xsi:type="dcterms:W3CDTF">2021-11-04T15:51:19Z</dcterms:modified>
</cp:coreProperties>
</file>