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567055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Date of Report (Date of earliest event reported): May 15, 2023</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EMERGENT BIOSOLUTIONS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2460" w:type="dxa"/>
            <w:vAlign w:val="bottom"/>
          </w:tcPr>
          <w:p>
            <w:pPr>
              <w:jc w:val="center"/>
              <w:ind w:right="889"/>
              <w:spacing w:after="0"/>
              <w:rPr>
                <w:sz w:val="20"/>
                <w:szCs w:val="20"/>
                <w:color w:val="auto"/>
              </w:rPr>
            </w:pPr>
            <w:r>
              <w:rPr>
                <w:rFonts w:ascii="Arial" w:cs="Arial" w:eastAsia="Arial" w:hAnsi="Arial"/>
                <w:sz w:val="14"/>
                <w:szCs w:val="14"/>
                <w:b w:val="1"/>
                <w:bCs w:val="1"/>
                <w:color w:val="auto"/>
                <w:w w:val="94"/>
              </w:rPr>
              <w:t>Delaware</w:t>
            </w:r>
          </w:p>
        </w:tc>
        <w:tc>
          <w:tcPr>
            <w:tcW w:w="3580" w:type="dxa"/>
            <w:vAlign w:val="bottom"/>
          </w:tcPr>
          <w:p>
            <w:pPr>
              <w:jc w:val="right"/>
              <w:ind w:right="1469"/>
              <w:spacing w:after="0"/>
              <w:rPr>
                <w:sz w:val="20"/>
                <w:szCs w:val="20"/>
                <w:color w:val="auto"/>
              </w:rPr>
            </w:pPr>
            <w:r>
              <w:rPr>
                <w:rFonts w:ascii="Arial" w:cs="Arial" w:eastAsia="Arial" w:hAnsi="Arial"/>
                <w:sz w:val="14"/>
                <w:szCs w:val="14"/>
                <w:b w:val="1"/>
                <w:bCs w:val="1"/>
                <w:color w:val="auto"/>
              </w:rPr>
              <w:t>001-33137</w:t>
            </w:r>
          </w:p>
        </w:tc>
        <w:tc>
          <w:tcPr>
            <w:tcW w:w="214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14-1902018</w:t>
            </w:r>
          </w:p>
        </w:tc>
      </w:tr>
      <w:tr>
        <w:trPr>
          <w:trHeight w:val="180"/>
        </w:trPr>
        <w:tc>
          <w:tcPr>
            <w:tcW w:w="2460" w:type="dxa"/>
            <w:vAlign w:val="bottom"/>
          </w:tcPr>
          <w:p>
            <w:pPr>
              <w:jc w:val="center"/>
              <w:ind w:right="889"/>
              <w:spacing w:after="0"/>
              <w:rPr>
                <w:sz w:val="20"/>
                <w:szCs w:val="20"/>
                <w:color w:val="auto"/>
              </w:rPr>
            </w:pPr>
            <w:r>
              <w:rPr>
                <w:rFonts w:ascii="Arial" w:cs="Arial" w:eastAsia="Arial" w:hAnsi="Arial"/>
                <w:sz w:val="14"/>
                <w:szCs w:val="14"/>
                <w:color w:val="auto"/>
                <w:w w:val="94"/>
              </w:rPr>
              <w:t>(State or other jurisdiction</w:t>
            </w:r>
          </w:p>
        </w:tc>
        <w:tc>
          <w:tcPr>
            <w:tcW w:w="3580" w:type="dxa"/>
            <w:vAlign w:val="bottom"/>
          </w:tcPr>
          <w:p>
            <w:pPr>
              <w:jc w:val="center"/>
              <w:ind w:right="29"/>
              <w:spacing w:after="0"/>
              <w:rPr>
                <w:sz w:val="20"/>
                <w:szCs w:val="20"/>
                <w:color w:val="auto"/>
              </w:rPr>
            </w:pPr>
            <w:r>
              <w:rPr>
                <w:rFonts w:ascii="Arial" w:cs="Arial" w:eastAsia="Arial" w:hAnsi="Arial"/>
                <w:sz w:val="14"/>
                <w:szCs w:val="14"/>
                <w:color w:val="auto"/>
                <w:w w:val="93"/>
              </w:rPr>
              <w:t>(Commission File Number)</w:t>
            </w:r>
          </w:p>
        </w:tc>
        <w:tc>
          <w:tcPr>
            <w:tcW w:w="2140" w:type="dxa"/>
            <w:vAlign w:val="bottom"/>
          </w:tcPr>
          <w:p>
            <w:pPr>
              <w:jc w:val="center"/>
              <w:ind w:left="1009"/>
              <w:spacing w:after="0"/>
              <w:rPr>
                <w:sz w:val="20"/>
                <w:szCs w:val="20"/>
                <w:color w:val="auto"/>
              </w:rPr>
            </w:pPr>
            <w:r>
              <w:rPr>
                <w:rFonts w:ascii="Arial" w:cs="Arial" w:eastAsia="Arial" w:hAnsi="Arial"/>
                <w:sz w:val="14"/>
                <w:szCs w:val="14"/>
                <w:color w:val="auto"/>
                <w:w w:val="94"/>
              </w:rPr>
              <w:t>(IRS Employer</w:t>
            </w:r>
          </w:p>
        </w:tc>
      </w:tr>
      <w:tr>
        <w:trPr>
          <w:trHeight w:val="191"/>
        </w:trPr>
        <w:tc>
          <w:tcPr>
            <w:tcW w:w="2460" w:type="dxa"/>
            <w:vAlign w:val="bottom"/>
          </w:tcPr>
          <w:p>
            <w:pPr>
              <w:jc w:val="center"/>
              <w:ind w:right="869"/>
              <w:spacing w:after="0"/>
              <w:rPr>
                <w:sz w:val="20"/>
                <w:szCs w:val="20"/>
                <w:color w:val="auto"/>
              </w:rPr>
            </w:pPr>
            <w:r>
              <w:rPr>
                <w:rFonts w:ascii="Arial" w:cs="Arial" w:eastAsia="Arial" w:hAnsi="Arial"/>
                <w:sz w:val="14"/>
                <w:szCs w:val="14"/>
                <w:color w:val="auto"/>
                <w:w w:val="94"/>
              </w:rPr>
              <w:t>of incorporation)</w:t>
            </w:r>
          </w:p>
        </w:tc>
        <w:tc>
          <w:tcPr>
            <w:tcW w:w="3580" w:type="dxa"/>
            <w:vAlign w:val="bottom"/>
          </w:tcPr>
          <w:p>
            <w:pPr>
              <w:spacing w:after="0"/>
              <w:rPr>
                <w:sz w:val="16"/>
                <w:szCs w:val="16"/>
                <w:color w:val="auto"/>
              </w:rPr>
            </w:pPr>
          </w:p>
        </w:tc>
        <w:tc>
          <w:tcPr>
            <w:tcW w:w="2140" w:type="dxa"/>
            <w:vAlign w:val="bottom"/>
          </w:tcPr>
          <w:p>
            <w:pPr>
              <w:jc w:val="center"/>
              <w:ind w:left="1009"/>
              <w:spacing w:after="0"/>
              <w:rPr>
                <w:sz w:val="20"/>
                <w:szCs w:val="20"/>
                <w:color w:val="auto"/>
              </w:rPr>
            </w:pPr>
            <w:r>
              <w:rPr>
                <w:rFonts w:ascii="Arial" w:cs="Arial" w:eastAsia="Arial" w:hAnsi="Arial"/>
                <w:sz w:val="14"/>
                <w:szCs w:val="14"/>
                <w:color w:val="auto"/>
                <w:w w:val="97"/>
              </w:rPr>
              <w:t>Identification No.)</w:t>
            </w:r>
          </w:p>
        </w:tc>
      </w:tr>
    </w:tbl>
    <w:p>
      <w:pPr>
        <w:spacing w:after="0" w:line="65"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680" w:firstLine="5"/>
        <w:spacing w:after="0" w:line="506"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71"/>
        </w:trPr>
        <w:tc>
          <w:tcPr>
            <w:tcW w:w="4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176"/>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EBS</w:t>
            </w:r>
          </w:p>
        </w:tc>
        <w:tc>
          <w:tcPr>
            <w:tcW w:w="4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180" w:lineRule="exact"/>
        <w:rPr>
          <w:sz w:val="24"/>
          <w:szCs w:val="24"/>
          <w:color w:val="auto"/>
        </w:rPr>
      </w:pPr>
    </w:p>
    <w:p>
      <w:pPr>
        <w:ind w:right="46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1" w:lineRule="exact"/>
        <w:rPr>
          <w:sz w:val="24"/>
          <w:szCs w:val="24"/>
          <w:color w:val="auto"/>
        </w:rPr>
      </w:pPr>
    </w:p>
    <w:p>
      <w:pPr>
        <w:ind w:right="1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667385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160"/>
          </w:cols>
          <w:pgMar w:left="300" w:top="956" w:right="4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2.01 Completion of Acquisition or Disposition of Assets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May 15, 2023, pursuant to the Purchase and Sale Agreement (the “Purchase and Sale Agreement”), by and between Emergent BioSolutions Inc., through its wholly owned subsidiaries Emergent International Inc. and Emergent Travel Health Inc. (collectively, “Emergent” or “Company”) and Bavarian Nordic (the “Buyer”), the Company completed the previously announced sale of the Company’s travel health business (the “Business”), including rights to Vivotif®, the licensed typhoid vaccine; Vaxchora®, the licensed cholera vaccine; the development-stage chikungunya vaccine candidate CHIKV VLP; the Company’s manufacturing site in Bern, Switzerland; and certain of its development facilities in San Diego, California.</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At the closing, Buyer paid a cash purchase price of $270 million, exclusive of customary closing adjustments for cash, indebtedness, working capital and transaction expenses of the business at closing (the "Purchase Price"). Bavarian Nordic may also be required to pay milestone payments of up to $80 million related to the development of CHIKV VLP and receipt of marketing approval and authorization in the U.S. and Europe, and earn-out payments of up to $30 million based on aggregate net sales of Vaxchora and Vivotif in calendar year 2026.</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description of the Transaction does not purport to be complete and is qualified in its entirety by reference to the full text of the Purchase and Sale Agreement which was attached as Exhibit 10.204 to the Company's Annual Report on Form 10-K for the year ended December 31, 2022 filed on March 1, 2023, and is incorporated herein by reference as Exhibit 2.1. The Purchase and Sale Agreement is intended to provide investors with information regarding its material terms. It is not intended to provide any other financial information about the Company or its subsidiaries or affiliates. The representations, warranties, and covenants contained in the Purchase and Sale Agreement were made only for purposes of that agreement and as of specific dates, are solely for the benefit of the parties to the Purchase and Sale Agreement, may be subject to limitations agreed upon by the parties, including being qualified by confidential disclosures made for the purposes of allocating contractual risk between the parties to the Purchase and Sale Agreement instead of establishing these matters as facts, and may be subject to standards of materiality applicable to the parties that differ from those applicable to investors. Investors should not rely on the representations, warranties, or covenants or any description thereof as characterizations of the actual state of facts or condition of the entities being acquired or any of their subsidiaries or affiliates. Moreover, information concerning the subject matter of the representations, warranties, and covenants may have changed after the date of the Purchase and Sale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On May 15, 2023, Emergent issued a press release announcing the closing of the Transaction, which is furnished as Exhibit 99.1 hereto.</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contained in this Item 7.01 shall not be deemed "filed" for the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Pro Forma Financial Information.</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unaudited pro forma condensed consolidated financial information of Emergent BioSolutions Inc. in connection with the Transaction, including the notes thereto, is filed as Exhibit 99.2 hereto and incorporated herein by reference:</w:t>
      </w:r>
    </w:p>
    <w:p>
      <w:pPr>
        <w:spacing w:after="0" w:line="153"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Unaudited pro forma condensed consolidated balance sheet as of March 31,2023</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Unaudited pro forma condensed consolidated statements of operations for the three months ended March 31, 2023 and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673735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jc w:val="right"/>
              <w:ind w:right="489"/>
              <w:spacing w:after="0"/>
              <w:rPr>
                <w:sz w:val="20"/>
                <w:szCs w:val="20"/>
                <w:color w:val="auto"/>
              </w:rPr>
            </w:pPr>
            <w:r>
              <w:rPr>
                <w:rFonts w:ascii="Arial" w:cs="Arial" w:eastAsia="Arial" w:hAnsi="Arial"/>
                <w:sz w:val="14"/>
                <w:szCs w:val="14"/>
                <w:i w:val="1"/>
                <w:iCs w:val="1"/>
                <w:color w:val="auto"/>
                <w:w w:val="91"/>
              </w:rPr>
              <w:t>(d) Exhibits.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920" w:type="dxa"/>
            <w:vAlign w:val="bottom"/>
          </w:tcPr>
          <w:p>
            <w:pPr>
              <w:spacing w:after="0"/>
              <w:rPr>
                <w:sz w:val="15"/>
                <w:szCs w:val="15"/>
                <w:color w:val="auto"/>
              </w:rPr>
            </w:pPr>
          </w:p>
        </w:tc>
      </w:tr>
      <w:tr>
        <w:trPr>
          <w:trHeight w:val="329"/>
        </w:trPr>
        <w:tc>
          <w:tcPr>
            <w:tcW w:w="20" w:type="dxa"/>
            <w:vAlign w:val="bottom"/>
          </w:tcPr>
          <w:p>
            <w:pPr>
              <w:spacing w:after="0"/>
              <w:rPr>
                <w:sz w:val="24"/>
                <w:szCs w:val="24"/>
                <w:color w:val="auto"/>
              </w:rPr>
            </w:pPr>
          </w:p>
        </w:tc>
        <w:tc>
          <w:tcPr>
            <w:tcW w:w="12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w w:val="92"/>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ind w:left="2560"/>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20" w:type="dxa"/>
            <w:vAlign w:val="bottom"/>
          </w:tcPr>
          <w:p>
            <w:pPr>
              <w:spacing w:after="0"/>
              <w:rPr>
                <w:sz w:val="12"/>
                <w:szCs w:val="12"/>
                <w:color w:val="auto"/>
              </w:rPr>
            </w:pPr>
          </w:p>
        </w:tc>
        <w:tc>
          <w:tcPr>
            <w:tcW w:w="1240" w:type="dxa"/>
            <w:vAlign w:val="bottom"/>
          </w:tcPr>
          <w:p>
            <w:pPr>
              <w:spacing w:after="0" w:line="139"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
          </w:tcPr>
          <w:p>
            <w:pPr>
              <w:spacing w:after="0" w:line="139" w:lineRule="exact"/>
              <w:rPr>
                <w:sz w:val="20"/>
                <w:szCs w:val="20"/>
                <w:color w:val="auto"/>
              </w:rPr>
            </w:pPr>
            <w:r>
              <w:rPr>
                <w:rFonts w:ascii="Arial" w:cs="Arial" w:eastAsia="Arial" w:hAnsi="Arial"/>
                <w:sz w:val="14"/>
                <w:szCs w:val="14"/>
                <w:color w:val="auto"/>
                <w:w w:val="91"/>
              </w:rPr>
              <w:t>Purchase and Sale Agreement, dated February 15, 2023 by and between Emergent BioSolutions Inc., through its wholly owned subsidiaries Emergent International Inc. and</w:t>
            </w:r>
          </w:p>
        </w:tc>
      </w:tr>
      <w:tr>
        <w:trPr>
          <w:trHeight w:val="13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
          </w:tcPr>
          <w:p>
            <w:pPr>
              <w:spacing w:after="0" w:line="138" w:lineRule="exact"/>
              <w:rPr>
                <w:sz w:val="20"/>
                <w:szCs w:val="20"/>
                <w:color w:val="auto"/>
              </w:rPr>
            </w:pPr>
            <w:r>
              <w:rPr>
                <w:rFonts w:ascii="Arial" w:cs="Arial" w:eastAsia="Arial" w:hAnsi="Arial"/>
                <w:sz w:val="14"/>
                <w:szCs w:val="14"/>
                <w:color w:val="auto"/>
                <w:w w:val="97"/>
              </w:rPr>
              <w:t>Emergent Travel Health Inc. and Bavarian Nordic (incorporated by reference to Exhibit 10.204 of the Company’s Annual Report on Form 10-K for the year ended</w:t>
            </w: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
          </w:tcPr>
          <w:p>
            <w:pPr>
              <w:spacing w:after="0"/>
              <w:rPr>
                <w:sz w:val="20"/>
                <w:szCs w:val="20"/>
                <w:color w:val="auto"/>
              </w:rPr>
            </w:pPr>
            <w:r>
              <w:rPr>
                <w:rFonts w:ascii="Arial" w:cs="Arial" w:eastAsia="Arial" w:hAnsi="Arial"/>
                <w:sz w:val="14"/>
                <w:szCs w:val="14"/>
                <w:color w:val="auto"/>
              </w:rPr>
              <w:t>December 31, 2022, filed on March 1, 2023).</w:t>
            </w:r>
          </w:p>
        </w:tc>
      </w:tr>
      <w:tr>
        <w:trPr>
          <w:trHeight w:val="149"/>
        </w:trPr>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99.1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
          </w:tcPr>
          <w:p>
            <w:pPr>
              <w:spacing w:after="0" w:line="149" w:lineRule="exact"/>
              <w:rPr>
                <w:sz w:val="20"/>
                <w:szCs w:val="20"/>
                <w:color w:val="auto"/>
              </w:rPr>
            </w:pPr>
            <w:r>
              <w:rPr>
                <w:rFonts w:ascii="Arial" w:cs="Arial" w:eastAsia="Arial" w:hAnsi="Arial"/>
                <w:sz w:val="14"/>
                <w:szCs w:val="14"/>
                <w:color w:val="0000FF"/>
              </w:rPr>
              <w:t>Press release, dated May 15, 2023.</w:t>
            </w:r>
          </w:p>
        </w:tc>
      </w:tr>
      <w:tr>
        <w:trPr>
          <w:trHeight w:val="20"/>
        </w:trPr>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71"/>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2"/>
              </w:rPr>
              <w:t>Unaudited pro forma condensed financial information of Emergent BioSolutions Inc.</w:t>
            </w:r>
          </w:p>
        </w:tc>
        <w:tc>
          <w:tcPr>
            <w:tcW w:w="4920" w:type="dxa"/>
            <w:vAlign w:val="bottom"/>
          </w:tcPr>
          <w:p>
            <w:pPr>
              <w:spacing w:after="0"/>
              <w:rPr>
                <w:sz w:val="14"/>
                <w:szCs w:val="14"/>
                <w:color w:val="auto"/>
              </w:rPr>
            </w:pPr>
          </w:p>
        </w:tc>
      </w:tr>
      <w:tr>
        <w:trPr>
          <w:trHeight w:val="192"/>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191" w:lineRule="exact"/>
        <w:rPr>
          <w:sz w:val="20"/>
          <w:szCs w:val="20"/>
          <w:color w:val="auto"/>
        </w:rPr>
      </w:pPr>
    </w:p>
    <w:p>
      <w:pPr>
        <w:ind w:firstLine="5"/>
        <w:spacing w:after="0" w:line="281" w:lineRule="auto"/>
        <w:tabs>
          <w:tab w:leader="none" w:pos="109" w:val="left"/>
        </w:tabs>
        <w:numPr>
          <w:ilvl w:val="0"/>
          <w:numId w:val="3"/>
        </w:numPr>
        <w:rPr>
          <w:rFonts w:ascii="Arial" w:cs="Arial" w:eastAsia="Arial" w:hAnsi="Arial"/>
          <w:sz w:val="14"/>
          <w:szCs w:val="14"/>
          <w:color w:val="auto"/>
        </w:rPr>
      </w:pPr>
      <w:r>
        <w:rPr>
          <w:rFonts w:ascii="Arial" w:cs="Arial" w:eastAsia="Arial" w:hAnsi="Arial"/>
          <w:sz w:val="14"/>
          <w:szCs w:val="14"/>
          <w:color w:val="auto"/>
        </w:rPr>
        <w:t>Schedules and exhibits to the Purchase and Sale Agreement have been omitted pursuant to Item 601(a)(5) of Regulation S-K. A copy of any omitted schedule and/or exhibit will be furnished to the Securities and Exchange Commission upon request.</w:t>
      </w:r>
    </w:p>
    <w:p>
      <w:pPr>
        <w:spacing w:after="0" w:line="90" w:lineRule="exact"/>
        <w:rPr>
          <w:sz w:val="20"/>
          <w:szCs w:val="20"/>
          <w:color w:val="auto"/>
        </w:rPr>
      </w:pPr>
    </w:p>
    <w:p>
      <w:pPr>
        <w:ind w:firstLine="5"/>
        <w:spacing w:after="0" w:line="281" w:lineRule="auto"/>
        <w:tabs>
          <w:tab w:leader="none" w:pos="133"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408305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 w:name="page4"/>
    <w:bookmarkEnd w:id="3"/>
    <w:p>
      <w:pPr>
        <w:jc w:val="center"/>
        <w:ind w:right="24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jc w:val="center"/>
        <w:ind w:right="7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EMERGENT BIOSOLUTIONS INC.</w:t>
      </w:r>
    </w:p>
    <w:p>
      <w:pPr>
        <w:spacing w:after="0" w:line="214" w:lineRule="exact"/>
        <w:rPr>
          <w:sz w:val="20"/>
          <w:szCs w:val="20"/>
          <w:color w:val="auto"/>
        </w:rPr>
      </w:pPr>
    </w:p>
    <w:p>
      <w:pPr>
        <w:jc w:val="right"/>
        <w:spacing w:after="0"/>
        <w:tabs>
          <w:tab w:leader="none" w:pos="4000" w:val="left"/>
          <w:tab w:leader="none" w:pos="1580" w:val="left"/>
        </w:tabs>
        <w:rPr>
          <w:sz w:val="20"/>
          <w:szCs w:val="20"/>
          <w:color w:val="auto"/>
        </w:rPr>
      </w:pPr>
      <w:r>
        <w:rPr>
          <w:rFonts w:ascii="Arial" w:cs="Arial" w:eastAsia="Arial" w:hAnsi="Arial"/>
          <w:sz w:val="14"/>
          <w:szCs w:val="14"/>
          <w:color w:val="auto"/>
        </w:rPr>
        <w:t>Dated: May 15,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12065</wp:posOffset>
            </wp:positionV>
            <wp:extent cx="2425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Name: Richard S. Lindahl</w:t>
      </w:r>
    </w:p>
    <w:p>
      <w:pPr>
        <w:jc w:val="right"/>
        <w:spacing w:after="0" w:line="221" w:lineRule="auto"/>
        <w:rPr>
          <w:sz w:val="20"/>
          <w:szCs w:val="20"/>
          <w:color w:val="auto"/>
        </w:rPr>
      </w:pPr>
      <w:r>
        <w:rPr>
          <w:rFonts w:ascii="Arial" w:cs="Arial" w:eastAsia="Arial" w:hAnsi="Arial"/>
          <w:sz w:val="14"/>
          <w:szCs w:val="14"/>
          <w:color w:val="auto"/>
        </w:rPr>
        <w:t>Title: Executive Vice President, Chief Financial</w:t>
      </w:r>
    </w:p>
    <w:p>
      <w:pPr>
        <w:jc w:val="right"/>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1000"/>
          </w:cols>
          <w:pgMar w:left="560" w:top="730" w:right="339" w:bottom="1440"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19415E"/>
        </w:rPr>
        <w:t>Emergent BioSolutions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9415E"/>
        </w:rPr>
        <w:t>Unaudited Pro Forma Condensed Consolidated Financial Information</w:t>
      </w:r>
    </w:p>
    <w:p>
      <w:pPr>
        <w:spacing w:after="0" w:line="347" w:lineRule="exact"/>
        <w:rPr>
          <w:sz w:val="20"/>
          <w:szCs w:val="20"/>
          <w:color w:val="auto"/>
        </w:rPr>
      </w:pPr>
    </w:p>
    <w:p>
      <w:pPr>
        <w:jc w:val="both"/>
        <w:ind w:firstLine="255"/>
        <w:spacing w:after="0" w:line="285" w:lineRule="auto"/>
        <w:rPr>
          <w:sz w:val="20"/>
          <w:szCs w:val="20"/>
          <w:color w:val="auto"/>
        </w:rPr>
      </w:pPr>
      <w:r>
        <w:rPr>
          <w:rFonts w:ascii="Arial" w:cs="Arial" w:eastAsia="Arial" w:hAnsi="Arial"/>
          <w:sz w:val="14"/>
          <w:szCs w:val="14"/>
          <w:color w:val="auto"/>
        </w:rPr>
        <w:t>On February 15, 2023, Emergent BioSolutions Inc. (“Emergent”), through its wholly owned subsidiaries Emergent International Inc. and Emergent Travel Health Inc. (collectively the “Company”) entered into a Purchase and Sale Agreement (the “Definitive Agreement”) with Bavarian Nordic (“Bavarian”) for the sale of the Company’s travel health business (the “Travel Health” or the “Business”), including rights to (i) Vivotif®, the licensed typhoid vaccine, (ii) Vaxchora®, the licensed cholera vaccine, (iii) the development-stage chikungunya vaccine candidate CHIKV VLP, and (iv) the Company’s manufacturing site in Bern, Switzerland and certain of its development facilities in San Diego, California — (collectively, the “Business Disposition”). Under the Definitive Agreement, Bavarian will pay a cash purchase price of $270.0 million at closing, subject to customary adjustments for cash, indebtedness, working capital and transaction expenses of the business at closing; Bavarian will also pay milestone payments of up to $80.0 million related to the development of CHIKV VLP and receipt of marketing approval and authorization in the US and Europe, as well as earnout payments of up to $30.0 million based on aggregate net sales of Vaxchora and Vivotif in calendar year 2026. On May 15, 2023, the Company successfully completed the Business Disposition and, after closing adjustments, received approximately $270.0 million in gross cash proceeds from Bavarian, subject to limited post-closing adjustments.</w:t>
      </w:r>
    </w:p>
    <w:p>
      <w:pPr>
        <w:spacing w:after="0" w:line="8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4"/>
          <w:szCs w:val="14"/>
          <w:color w:val="auto"/>
        </w:rPr>
        <w:t>The following unaudited pro forma consolidated financial information is presented in accordance with the rules specified by Article 11 of Regulation S-X promulgated by the U.S. Securities and Exchange Commission (the “SEC”) and has been prepared subject to the assumptions and adjustments as described in the notes thereto. Specifically, the unaudited pro forma consolidated financial information set forth below reflects the effects of the Business Disposition on Emergent’s (i) Condensed Consolidated Balance Sheet as of March 31, 2023 as if the Business disposition had occurred on that date, and (ii) Condensed Consolidated Statement of Operations for the three months ended March 31, 2023 and year ended December 31, 2022, as if the Business Disposition had occurred on January 1, 2023 and January 1, 2022, respectively. Management believes that the assumptions used and adjustments made are reasonable under the circumstances and given the information available.</w:t>
      </w:r>
    </w:p>
    <w:p>
      <w:pPr>
        <w:spacing w:after="0" w:line="93" w:lineRule="exact"/>
        <w:rPr>
          <w:sz w:val="20"/>
          <w:szCs w:val="20"/>
          <w:color w:val="auto"/>
        </w:rPr>
      </w:pPr>
    </w:p>
    <w:p>
      <w:pPr>
        <w:jc w:val="both"/>
        <w:ind w:firstLine="255"/>
        <w:spacing w:after="0" w:line="290" w:lineRule="auto"/>
        <w:rPr>
          <w:sz w:val="20"/>
          <w:szCs w:val="20"/>
          <w:color w:val="auto"/>
        </w:rPr>
      </w:pPr>
      <w:r>
        <w:rPr>
          <w:rFonts w:ascii="Arial" w:cs="Arial" w:eastAsia="Arial" w:hAnsi="Arial"/>
          <w:sz w:val="14"/>
          <w:szCs w:val="14"/>
          <w:color w:val="auto"/>
        </w:rPr>
        <w:t>The following unaudited pro forma consolidated financial information is for illustrative and informational purposes only and is not necessarily indicative of the financial condition or results of operations of the Company that would have occurred if the Business Disposition had occurred on the dates indicated, nor is it indicative of the future financial condition or results of operations of the Company. The unaudited Pro Forma Consolidated Statements of Operations also do not reflect the gain from the Business Disposition, potential actions to reduce corporate overhead, potential tax or hedging strategies in the Business Disposition. In addition, the unaudited Pro Forma Consolidated Statements of Operations do not include any adjustments with respect to certain expenses recorded that were related to non-recurring events both related and unrelated to the Business Disposition.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consolidated financial information should be read in conjunction with:</w:t>
      </w:r>
    </w:p>
    <w:p>
      <w:pPr>
        <w:spacing w:after="0" w:line="124"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accompanying notes to the unaudited pro forma condensed consolidated financial statements;</w:t>
      </w:r>
    </w:p>
    <w:p>
      <w:pPr>
        <w:spacing w:after="0" w:line="49" w:lineRule="exact"/>
        <w:rPr>
          <w:rFonts w:ascii="Arial" w:cs="Arial" w:eastAsia="Arial" w:hAnsi="Arial"/>
          <w:sz w:val="16"/>
          <w:szCs w:val="16"/>
          <w:color w:val="auto"/>
        </w:rPr>
      </w:pPr>
    </w:p>
    <w:p>
      <w:pPr>
        <w:ind w:left="520" w:hanging="260"/>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Emergent’s audited consolidated financial statements included in the Company’s Annual Report on Form 10-K for the year ended December 31, 2022;</w:t>
      </w:r>
    </w:p>
    <w:p>
      <w:pPr>
        <w:spacing w:after="0" w:line="49" w:lineRule="exact"/>
        <w:rPr>
          <w:rFonts w:ascii="Arial" w:cs="Arial" w:eastAsia="Arial" w:hAnsi="Arial"/>
          <w:sz w:val="16"/>
          <w:szCs w:val="16"/>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Emergent’s unaudited consolidated financial statements included in the Company’s Quarterly Report on Form 10-Q for the quarter ended March 31, 2023; and</w:t>
      </w:r>
    </w:p>
    <w:p>
      <w:pPr>
        <w:spacing w:after="0" w:line="61" w:lineRule="exact"/>
        <w:rPr>
          <w:rFonts w:ascii="Arial" w:cs="Arial" w:eastAsia="Arial" w:hAnsi="Arial"/>
          <w:sz w:val="14"/>
          <w:szCs w:val="14"/>
          <w:color w:val="auto"/>
        </w:rPr>
      </w:pPr>
    </w:p>
    <w:p>
      <w:pPr>
        <w:ind w:left="520" w:right="20" w:hanging="260"/>
        <w:spacing w:after="0" w:line="250"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risks described under "Cautionary Note Regarding Forward-Looking Statements" and under “Risk Factors” in the Company’s Annual Report on Form 10-K for the year ended December 31, 2022, and any updates to those risks or new risks contained in the Company’s subsequent Quarterly Reports on Form 10-Q and Current Reports on Form 8-K filed with the SEC.</w:t>
      </w:r>
    </w:p>
    <w:p>
      <w:pPr>
        <w:spacing w:after="0" w:line="115" w:lineRule="exact"/>
        <w:rPr>
          <w:sz w:val="20"/>
          <w:szCs w:val="20"/>
          <w:color w:val="auto"/>
        </w:rPr>
      </w:pPr>
    </w:p>
    <w:p>
      <w:pPr>
        <w:jc w:val="both"/>
        <w:ind w:firstLine="255"/>
        <w:spacing w:after="0" w:line="290" w:lineRule="auto"/>
        <w:rPr>
          <w:sz w:val="20"/>
          <w:szCs w:val="20"/>
          <w:color w:val="auto"/>
        </w:rPr>
      </w:pPr>
      <w:r>
        <w:rPr>
          <w:rFonts w:ascii="Arial" w:cs="Arial" w:eastAsia="Arial" w:hAnsi="Arial"/>
          <w:sz w:val="14"/>
          <w:szCs w:val="14"/>
          <w:color w:val="auto"/>
        </w:rPr>
        <w:t>Capitalized terms used and not defined in the Company’s unaudited Pro Forma Condensed Consolidated Balance Sheet as of March 31, 2023 and the accompanying notes thereto and in the Company’s unaudited Pro Forma Condensed Consolidated statement of operations for the three months ended March 31, 2023 and the accompanying notes thereto have the meanings ascribed to them in the Company’s Quarterly Report on Form 10-Q for the period ended March 31, 2023 filed with the SEC. Capitalized terms used and not defined in the Company’s unaudited pro forma condensed consolidated statement of operations for the year ended December 31, 2022 and the accompanying notes thereto have the meanings ascribed to them in the Company’s Annual Report on Form 10-K for the year ended December 31, 2022 filed with the SEC.</w:t>
      </w:r>
    </w:p>
    <w:p>
      <w:pPr>
        <w:sectPr>
          <w:pgSz w:w="11900" w:h="16838" w:orient="portrait"/>
          <w:cols w:equalWidth="0" w:num="1">
            <w:col w:w="11280"/>
          </w:cols>
          <w:pgMar w:left="300" w:top="129"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19415E"/>
        </w:rPr>
        <w:t>Pro Forma Condensed Consolidated Balance Sheet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19415E"/>
        </w:rPr>
        <w:t>As of March 31, 2023</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9415E"/>
        </w:rPr>
        <w:t>(in millions, except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9415E"/>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shd w:val="clear" w:color="auto" w:fill="19415E"/>
          </w:tcPr>
          <w:p>
            <w:pPr>
              <w:spacing w:after="0"/>
              <w:rPr>
                <w:sz w:val="15"/>
                <w:szCs w:val="15"/>
                <w:color w:val="auto"/>
              </w:rPr>
            </w:pPr>
          </w:p>
        </w:tc>
        <w:tc>
          <w:tcPr>
            <w:tcW w:w="170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0"/>
              </w:rPr>
              <w:t>Emergent BioSolutions Inc.</w:t>
            </w:r>
          </w:p>
        </w:tc>
        <w:tc>
          <w:tcPr>
            <w:tcW w:w="80" w:type="dxa"/>
            <w:vAlign w:val="bottom"/>
            <w:shd w:val="clear" w:color="auto" w:fill="19415E"/>
          </w:tcPr>
          <w:p>
            <w:pPr>
              <w:spacing w:after="0"/>
              <w:rPr>
                <w:sz w:val="15"/>
                <w:szCs w:val="15"/>
                <w:color w:val="auto"/>
              </w:rPr>
            </w:pPr>
          </w:p>
        </w:tc>
        <w:tc>
          <w:tcPr>
            <w:tcW w:w="1560" w:type="dxa"/>
            <w:vAlign w:val="bottom"/>
            <w:shd w:val="clear" w:color="auto" w:fill="19415E"/>
          </w:tcPr>
          <w:p>
            <w:pPr>
              <w:jc w:val="center"/>
              <w:ind w:right="11"/>
              <w:spacing w:after="0"/>
              <w:rPr>
                <w:sz w:val="20"/>
                <w:szCs w:val="20"/>
                <w:color w:val="auto"/>
              </w:rPr>
            </w:pPr>
            <w:r>
              <w:rPr>
                <w:rFonts w:ascii="Arial" w:cs="Arial" w:eastAsia="Arial" w:hAnsi="Arial"/>
                <w:sz w:val="14"/>
                <w:szCs w:val="14"/>
                <w:b w:val="1"/>
                <w:bCs w:val="1"/>
                <w:color w:val="FFFFFF"/>
                <w:w w:val="90"/>
              </w:rPr>
              <w:t>Travel Health Business</w:t>
            </w:r>
          </w:p>
        </w:tc>
        <w:tc>
          <w:tcPr>
            <w:tcW w:w="600" w:type="dxa"/>
            <w:vAlign w:val="bottom"/>
            <w:shd w:val="clear" w:color="auto" w:fill="19415E"/>
          </w:tcPr>
          <w:p>
            <w:pPr>
              <w:spacing w:after="0"/>
              <w:rPr>
                <w:sz w:val="15"/>
                <w:szCs w:val="15"/>
                <w:color w:val="auto"/>
              </w:rPr>
            </w:pPr>
          </w:p>
        </w:tc>
        <w:tc>
          <w:tcPr>
            <w:tcW w:w="920" w:type="dxa"/>
            <w:vAlign w:val="bottom"/>
            <w:shd w:val="clear" w:color="auto" w:fill="19415E"/>
          </w:tcPr>
          <w:p>
            <w:pPr>
              <w:spacing w:after="0"/>
              <w:rPr>
                <w:sz w:val="15"/>
                <w:szCs w:val="15"/>
                <w:color w:val="auto"/>
              </w:rPr>
            </w:pPr>
          </w:p>
        </w:tc>
        <w:tc>
          <w:tcPr>
            <w:tcW w:w="440" w:type="dxa"/>
            <w:vAlign w:val="bottom"/>
            <w:shd w:val="clear" w:color="auto" w:fill="19415E"/>
          </w:tcPr>
          <w:p>
            <w:pPr>
              <w:spacing w:after="0"/>
              <w:rPr>
                <w:sz w:val="15"/>
                <w:szCs w:val="15"/>
                <w:color w:val="auto"/>
              </w:rPr>
            </w:pPr>
          </w:p>
        </w:tc>
        <w:tc>
          <w:tcPr>
            <w:tcW w:w="172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1"/>
              </w:rPr>
              <w:t>Emergent BioSolutions Inc.</w:t>
            </w:r>
          </w:p>
        </w:tc>
        <w:tc>
          <w:tcPr>
            <w:tcW w:w="0" w:type="dxa"/>
            <w:vAlign w:val="bottom"/>
          </w:tcPr>
          <w:p>
            <w:pPr>
              <w:spacing w:after="0"/>
              <w:rPr>
                <w:sz w:val="1"/>
                <w:szCs w:val="1"/>
                <w:color w:val="auto"/>
              </w:rPr>
            </w:pPr>
          </w:p>
        </w:tc>
      </w:tr>
      <w:tr>
        <w:trPr>
          <w:trHeight w:val="144"/>
        </w:trPr>
        <w:tc>
          <w:tcPr>
            <w:tcW w:w="4240" w:type="dxa"/>
            <w:vAlign w:val="bottom"/>
            <w:shd w:val="clear" w:color="auto" w:fill="19415E"/>
          </w:tcPr>
          <w:p>
            <w:pPr>
              <w:spacing w:after="0"/>
              <w:rPr>
                <w:sz w:val="12"/>
                <w:szCs w:val="12"/>
                <w:color w:val="auto"/>
              </w:rPr>
            </w:pPr>
          </w:p>
        </w:tc>
        <w:tc>
          <w:tcPr>
            <w:tcW w:w="260" w:type="dxa"/>
            <w:vAlign w:val="bottom"/>
            <w:shd w:val="clear" w:color="auto" w:fill="19415E"/>
          </w:tcPr>
          <w:p>
            <w:pPr>
              <w:spacing w:after="0"/>
              <w:rPr>
                <w:sz w:val="12"/>
                <w:szCs w:val="12"/>
                <w:color w:val="auto"/>
              </w:rPr>
            </w:pPr>
          </w:p>
        </w:tc>
        <w:tc>
          <w:tcPr>
            <w:tcW w:w="1440" w:type="dxa"/>
            <w:vAlign w:val="bottom"/>
            <w:shd w:val="clear" w:color="auto" w:fill="19415E"/>
          </w:tcPr>
          <w:p>
            <w:pPr>
              <w:spacing w:after="0"/>
              <w:rPr>
                <w:sz w:val="12"/>
                <w:szCs w:val="12"/>
                <w:color w:val="auto"/>
              </w:rPr>
            </w:pPr>
          </w:p>
        </w:tc>
        <w:tc>
          <w:tcPr>
            <w:tcW w:w="80" w:type="dxa"/>
            <w:vAlign w:val="bottom"/>
            <w:shd w:val="clear" w:color="auto" w:fill="19415E"/>
          </w:tcPr>
          <w:p>
            <w:pPr>
              <w:spacing w:after="0"/>
              <w:rPr>
                <w:sz w:val="12"/>
                <w:szCs w:val="12"/>
                <w:color w:val="auto"/>
              </w:rPr>
            </w:pPr>
          </w:p>
        </w:tc>
        <w:tc>
          <w:tcPr>
            <w:tcW w:w="1560" w:type="dxa"/>
            <w:vAlign w:val="bottom"/>
            <w:shd w:val="clear" w:color="auto" w:fill="19415E"/>
          </w:tcPr>
          <w:p>
            <w:pPr>
              <w:jc w:val="center"/>
              <w:ind w:right="11"/>
              <w:spacing w:after="0" w:line="145" w:lineRule="exact"/>
              <w:rPr>
                <w:sz w:val="20"/>
                <w:szCs w:val="20"/>
                <w:color w:val="auto"/>
              </w:rPr>
            </w:pPr>
            <w:r>
              <w:rPr>
                <w:rFonts w:ascii="Arial" w:cs="Arial" w:eastAsia="Arial" w:hAnsi="Arial"/>
                <w:sz w:val="14"/>
                <w:szCs w:val="14"/>
                <w:b w:val="1"/>
                <w:bCs w:val="1"/>
                <w:color w:val="FFFFFF"/>
                <w:w w:val="89"/>
              </w:rPr>
              <w:t>Disposition Adjustments</w:t>
            </w:r>
          </w:p>
        </w:tc>
        <w:tc>
          <w:tcPr>
            <w:tcW w:w="600" w:type="dxa"/>
            <w:vAlign w:val="bottom"/>
            <w:shd w:val="clear" w:color="auto" w:fill="19415E"/>
          </w:tcPr>
          <w:p>
            <w:pPr>
              <w:spacing w:after="0"/>
              <w:rPr>
                <w:sz w:val="12"/>
                <w:szCs w:val="12"/>
                <w:color w:val="auto"/>
              </w:rPr>
            </w:pPr>
          </w:p>
        </w:tc>
        <w:tc>
          <w:tcPr>
            <w:tcW w:w="920" w:type="dxa"/>
            <w:vAlign w:val="bottom"/>
            <w:shd w:val="clear" w:color="auto" w:fill="19415E"/>
          </w:tcPr>
          <w:p>
            <w:pPr>
              <w:spacing w:after="0"/>
              <w:rPr>
                <w:sz w:val="12"/>
                <w:szCs w:val="12"/>
                <w:color w:val="auto"/>
              </w:rPr>
            </w:pPr>
          </w:p>
        </w:tc>
        <w:tc>
          <w:tcPr>
            <w:tcW w:w="440" w:type="dxa"/>
            <w:vAlign w:val="bottom"/>
            <w:shd w:val="clear" w:color="auto" w:fill="19415E"/>
          </w:tcPr>
          <w:p>
            <w:pPr>
              <w:spacing w:after="0"/>
              <w:rPr>
                <w:sz w:val="12"/>
                <w:szCs w:val="12"/>
                <w:color w:val="auto"/>
              </w:rPr>
            </w:pPr>
          </w:p>
        </w:tc>
        <w:tc>
          <w:tcPr>
            <w:tcW w:w="300" w:type="dxa"/>
            <w:vAlign w:val="bottom"/>
            <w:shd w:val="clear" w:color="auto" w:fill="19415E"/>
          </w:tcPr>
          <w:p>
            <w:pPr>
              <w:spacing w:after="0"/>
              <w:rPr>
                <w:sz w:val="12"/>
                <w:szCs w:val="12"/>
                <w:color w:val="auto"/>
              </w:rPr>
            </w:pPr>
          </w:p>
        </w:tc>
        <w:tc>
          <w:tcPr>
            <w:tcW w:w="1420" w:type="dxa"/>
            <w:vAlign w:val="bottom"/>
            <w:shd w:val="clear" w:color="auto" w:fill="19415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40" w:type="dxa"/>
            <w:vAlign w:val="bottom"/>
            <w:tcBorders>
              <w:bottom w:val="single" w:sz="8" w:color="auto"/>
            </w:tcBorders>
            <w:shd w:val="clear" w:color="auto" w:fill="19415E"/>
          </w:tcPr>
          <w:p>
            <w:pPr>
              <w:spacing w:after="0"/>
              <w:rPr>
                <w:sz w:val="16"/>
                <w:szCs w:val="16"/>
                <w:color w:val="auto"/>
              </w:rPr>
            </w:pPr>
          </w:p>
        </w:tc>
        <w:tc>
          <w:tcPr>
            <w:tcW w:w="260" w:type="dxa"/>
            <w:vAlign w:val="bottom"/>
            <w:tcBorders>
              <w:bottom w:val="single" w:sz="8" w:color="auto"/>
            </w:tcBorders>
            <w:shd w:val="clear" w:color="auto" w:fill="19415E"/>
          </w:tcPr>
          <w:p>
            <w:pPr>
              <w:spacing w:after="0"/>
              <w:rPr>
                <w:sz w:val="16"/>
                <w:szCs w:val="16"/>
                <w:color w:val="auto"/>
              </w:rPr>
            </w:pPr>
          </w:p>
        </w:tc>
        <w:tc>
          <w:tcPr>
            <w:tcW w:w="1440" w:type="dxa"/>
            <w:vAlign w:val="bottom"/>
            <w:tcBorders>
              <w:bottom w:val="single" w:sz="8" w:color="auto"/>
            </w:tcBorders>
            <w:shd w:val="clear" w:color="auto" w:fill="19415E"/>
          </w:tcPr>
          <w:p>
            <w:pPr>
              <w:jc w:val="right"/>
              <w:ind w:right="371"/>
              <w:spacing w:after="0"/>
              <w:rPr>
                <w:sz w:val="20"/>
                <w:szCs w:val="20"/>
                <w:color w:val="auto"/>
              </w:rPr>
            </w:pPr>
            <w:r>
              <w:rPr>
                <w:rFonts w:ascii="Arial" w:cs="Arial" w:eastAsia="Arial" w:hAnsi="Arial"/>
                <w:sz w:val="14"/>
                <w:szCs w:val="14"/>
                <w:b w:val="1"/>
                <w:bCs w:val="1"/>
                <w:color w:val="FFFFFF"/>
              </w:rPr>
              <w:t>Historical (A)</w:t>
            </w:r>
          </w:p>
        </w:tc>
        <w:tc>
          <w:tcPr>
            <w:tcW w:w="80" w:type="dxa"/>
            <w:vAlign w:val="bottom"/>
            <w:tcBorders>
              <w:bottom w:val="single" w:sz="8" w:color="auto"/>
            </w:tcBorders>
            <w:shd w:val="clear" w:color="auto" w:fill="19415E"/>
          </w:tcPr>
          <w:p>
            <w:pPr>
              <w:spacing w:after="0"/>
              <w:rPr>
                <w:sz w:val="16"/>
                <w:szCs w:val="16"/>
                <w:color w:val="auto"/>
              </w:rPr>
            </w:pPr>
          </w:p>
        </w:tc>
        <w:tc>
          <w:tcPr>
            <w:tcW w:w="1560" w:type="dxa"/>
            <w:vAlign w:val="bottom"/>
            <w:tcBorders>
              <w:bottom w:val="single" w:sz="8" w:color="auto"/>
            </w:tcBorders>
            <w:shd w:val="clear" w:color="auto" w:fill="19415E"/>
          </w:tcPr>
          <w:p>
            <w:pPr>
              <w:jc w:val="center"/>
              <w:ind w:right="11"/>
              <w:spacing w:after="0"/>
              <w:rPr>
                <w:sz w:val="20"/>
                <w:szCs w:val="20"/>
                <w:color w:val="auto"/>
              </w:rPr>
            </w:pPr>
            <w:r>
              <w:rPr>
                <w:rFonts w:ascii="Arial" w:cs="Arial" w:eastAsia="Arial" w:hAnsi="Arial"/>
                <w:sz w:val="14"/>
                <w:szCs w:val="14"/>
                <w:b w:val="1"/>
                <w:bCs w:val="1"/>
                <w:color w:val="FFFFFF"/>
              </w:rPr>
              <w:t>(B)</w:t>
            </w:r>
          </w:p>
        </w:tc>
        <w:tc>
          <w:tcPr>
            <w:tcW w:w="1520" w:type="dxa"/>
            <w:vAlign w:val="bottom"/>
            <w:tcBorders>
              <w:bottom w:val="single" w:sz="8" w:color="auto"/>
            </w:tcBorders>
            <w:gridSpan w:val="2"/>
            <w:shd w:val="clear" w:color="auto" w:fill="19415E"/>
          </w:tcPr>
          <w:p>
            <w:pPr>
              <w:ind w:left="40"/>
              <w:spacing w:after="0"/>
              <w:rPr>
                <w:sz w:val="20"/>
                <w:szCs w:val="20"/>
                <w:color w:val="auto"/>
              </w:rPr>
            </w:pPr>
            <w:r>
              <w:rPr>
                <w:rFonts w:ascii="Arial" w:cs="Arial" w:eastAsia="Arial" w:hAnsi="Arial"/>
                <w:sz w:val="14"/>
                <w:szCs w:val="14"/>
                <w:b w:val="1"/>
                <w:bCs w:val="1"/>
                <w:color w:val="FFFFFF"/>
                <w:w w:val="91"/>
              </w:rPr>
              <w:t>Pro Forma Adjustments</w:t>
            </w:r>
          </w:p>
        </w:tc>
        <w:tc>
          <w:tcPr>
            <w:tcW w:w="440" w:type="dxa"/>
            <w:vAlign w:val="bottom"/>
            <w:tcBorders>
              <w:bottom w:val="single" w:sz="8" w:color="auto"/>
            </w:tcBorders>
            <w:shd w:val="clear" w:color="auto" w:fill="19415E"/>
          </w:tcPr>
          <w:p>
            <w:pPr>
              <w:spacing w:after="0"/>
              <w:rPr>
                <w:sz w:val="16"/>
                <w:szCs w:val="16"/>
                <w:color w:val="auto"/>
              </w:rPr>
            </w:pPr>
          </w:p>
        </w:tc>
        <w:tc>
          <w:tcPr>
            <w:tcW w:w="300" w:type="dxa"/>
            <w:vAlign w:val="bottom"/>
            <w:tcBorders>
              <w:bottom w:val="single" w:sz="8" w:color="auto"/>
            </w:tcBorders>
            <w:shd w:val="clear" w:color="auto" w:fill="19415E"/>
          </w:tcPr>
          <w:p>
            <w:pPr>
              <w:spacing w:after="0"/>
              <w:rPr>
                <w:sz w:val="16"/>
                <w:szCs w:val="16"/>
                <w:color w:val="auto"/>
              </w:rPr>
            </w:pPr>
          </w:p>
        </w:tc>
        <w:tc>
          <w:tcPr>
            <w:tcW w:w="1420" w:type="dxa"/>
            <w:vAlign w:val="bottom"/>
            <w:tcBorders>
              <w:bottom w:val="single" w:sz="8" w:color="auto"/>
            </w:tcBorders>
            <w:shd w:val="clear" w:color="auto" w:fill="19415E"/>
          </w:tcPr>
          <w:p>
            <w:pPr>
              <w:jc w:val="right"/>
              <w:ind w:right="471"/>
              <w:spacing w:after="0"/>
              <w:rPr>
                <w:sz w:val="20"/>
                <w:szCs w:val="20"/>
                <w:color w:val="auto"/>
              </w:rPr>
            </w:pPr>
            <w:r>
              <w:rPr>
                <w:rFonts w:ascii="Arial" w:cs="Arial" w:eastAsia="Arial" w:hAnsi="Arial"/>
                <w:sz w:val="14"/>
                <w:szCs w:val="14"/>
                <w:b w:val="1"/>
                <w:bCs w:val="1"/>
                <w:color w:val="FFFFFF"/>
              </w:rPr>
              <w:t>Pro Forma</w:t>
            </w:r>
          </w:p>
        </w:tc>
        <w:tc>
          <w:tcPr>
            <w:tcW w:w="0" w:type="dxa"/>
            <w:vAlign w:val="bottom"/>
          </w:tcPr>
          <w:p>
            <w:pPr>
              <w:spacing w:after="0"/>
              <w:rPr>
                <w:sz w:val="1"/>
                <w:szCs w:val="1"/>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430.2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gridSpan w:val="2"/>
          </w:tcPr>
          <w:p>
            <w:pPr>
              <w:ind w:left="136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155.9</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Inventories, net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367.9</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367.9</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41.7</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Assets held for sale</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1,221.3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(225.6)</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995.7</w:t>
            </w:r>
          </w:p>
        </w:tc>
        <w:tc>
          <w:tcPr>
            <w:tcW w:w="0" w:type="dxa"/>
            <w:vAlign w:val="bottom"/>
          </w:tcPr>
          <w:p>
            <w:pPr>
              <w:spacing w:after="0"/>
              <w:rPr>
                <w:sz w:val="1"/>
                <w:szCs w:val="1"/>
                <w:color w:val="auto"/>
              </w:rPr>
            </w:pPr>
          </w:p>
        </w:tc>
      </w:tr>
      <w:tr>
        <w:trPr>
          <w:trHeight w:val="308"/>
        </w:trPr>
        <w:tc>
          <w:tcPr>
            <w:tcW w:w="42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716.8</w:t>
            </w:r>
          </w:p>
        </w:tc>
        <w:tc>
          <w:tcPr>
            <w:tcW w:w="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716.8</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608.9</w:t>
            </w:r>
          </w:p>
        </w:tc>
        <w:tc>
          <w:tcPr>
            <w:tcW w:w="80" w:type="dxa"/>
            <w:vAlign w:val="bottom"/>
          </w:tcPr>
          <w:p>
            <w:pPr>
              <w:spacing w:after="0"/>
              <w:rPr>
                <w:sz w:val="16"/>
                <w:szCs w:val="16"/>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608.9</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218.2</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82"/>
        </w:trPr>
        <w:tc>
          <w:tcPr>
            <w:tcW w:w="42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184.6</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172"/>
        </w:trPr>
        <w:tc>
          <w:tcPr>
            <w:tcW w:w="424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2,724.2</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4"/>
                <w:szCs w:val="14"/>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124.2</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Debt, current portion</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950.7</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(266.0)</w:t>
            </w:r>
          </w:p>
        </w:tc>
        <w:tc>
          <w:tcPr>
            <w:tcW w:w="440" w:type="dxa"/>
            <w:vAlign w:val="bottom"/>
          </w:tcPr>
          <w:p>
            <w:pPr>
              <w:ind w:left="180"/>
              <w:spacing w:after="0"/>
              <w:rPr>
                <w:sz w:val="20"/>
                <w:szCs w:val="20"/>
                <w:color w:val="auto"/>
              </w:rPr>
            </w:pPr>
            <w:r>
              <w:rPr>
                <w:rFonts w:ascii="Arial" w:cs="Arial" w:eastAsia="Arial" w:hAnsi="Arial"/>
                <w:sz w:val="14"/>
                <w:szCs w:val="14"/>
                <w:b w:val="1"/>
                <w:bCs w:val="1"/>
                <w:color w:val="auto"/>
              </w:rPr>
              <w:t>C</w:t>
            </w: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440" w:type="dxa"/>
            <w:vAlign w:val="bottom"/>
          </w:tcPr>
          <w:p>
            <w:pPr>
              <w:ind w:left="180"/>
              <w:spacing w:after="0"/>
              <w:rPr>
                <w:sz w:val="20"/>
                <w:szCs w:val="20"/>
                <w:color w:val="auto"/>
              </w:rPr>
            </w:pPr>
            <w:r>
              <w:rPr>
                <w:rFonts w:ascii="Arial" w:cs="Arial" w:eastAsia="Arial" w:hAnsi="Arial"/>
                <w:sz w:val="14"/>
                <w:szCs w:val="14"/>
                <w:b w:val="1"/>
                <w:bCs w:val="1"/>
                <w:color w:val="auto"/>
              </w:rPr>
              <w:t>D</w:t>
            </w: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Liabilities held for sale</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1,215.7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(37.5)</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350"/>
        </w:trPr>
        <w:tc>
          <w:tcPr>
            <w:tcW w:w="4240" w:type="dxa"/>
            <w:vAlign w:val="bottom"/>
          </w:tcPr>
          <w:p>
            <w:pPr>
              <w:ind w:left="20"/>
              <w:spacing w:after="0"/>
              <w:rPr>
                <w:sz w:val="20"/>
                <w:szCs w:val="20"/>
                <w:color w:val="auto"/>
              </w:rPr>
            </w:pPr>
            <w:r>
              <w:rPr>
                <w:rFonts w:ascii="Arial" w:cs="Arial" w:eastAsia="Arial" w:hAnsi="Arial"/>
                <w:sz w:val="14"/>
                <w:szCs w:val="14"/>
                <w:color w:val="auto"/>
              </w:rPr>
              <w:t>Debt, net of current portion</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447.7</w:t>
            </w:r>
          </w:p>
        </w:tc>
        <w:tc>
          <w:tcPr>
            <w:tcW w:w="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447.7</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71"/>
        </w:trPr>
        <w:tc>
          <w:tcPr>
            <w:tcW w:w="424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1,747.2</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(37.5)</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1,459.7</w:t>
            </w:r>
          </w:p>
        </w:tc>
        <w:tc>
          <w:tcPr>
            <w:tcW w:w="0" w:type="dxa"/>
            <w:vAlign w:val="bottom"/>
          </w:tcPr>
          <w:p>
            <w:pPr>
              <w:spacing w:after="0"/>
              <w:rPr>
                <w:sz w:val="1"/>
                <w:szCs w:val="1"/>
                <w:color w:val="auto"/>
              </w:rPr>
            </w:pPr>
          </w:p>
        </w:tc>
      </w:tr>
      <w:tr>
        <w:trPr>
          <w:trHeight w:val="393"/>
        </w:trPr>
        <w:tc>
          <w:tcPr>
            <w:tcW w:w="42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240" w:type="dxa"/>
            <w:vAlign w:val="bottom"/>
          </w:tcPr>
          <w:p>
            <w:pPr>
              <w:ind w:left="140"/>
              <w:spacing w:after="0" w:line="143" w:lineRule="exact"/>
              <w:rPr>
                <w:sz w:val="20"/>
                <w:szCs w:val="20"/>
                <w:color w:val="auto"/>
              </w:rPr>
            </w:pPr>
            <w:r>
              <w:rPr>
                <w:rFonts w:ascii="Arial" w:cs="Arial" w:eastAsia="Arial" w:hAnsi="Arial"/>
                <w:sz w:val="14"/>
                <w:szCs w:val="14"/>
                <w:color w:val="auto"/>
                <w:w w:val="95"/>
              </w:rPr>
              <w:t>Preferred stock, $0.001 par value; 15.0 shares authorized, no shares</w:t>
            </w:r>
          </w:p>
        </w:tc>
        <w:tc>
          <w:tcPr>
            <w:tcW w:w="2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560" w:type="dxa"/>
            <w:vAlign w:val="bottom"/>
            <w:vMerge w:val="restart"/>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rPr>
                <w:sz w:val="20"/>
                <w:szCs w:val="20"/>
                <w:color w:val="auto"/>
              </w:rPr>
            </w:pPr>
            <w:r>
              <w:rPr>
                <w:rFonts w:ascii="Arial" w:cs="Arial" w:eastAsia="Arial" w:hAnsi="Arial"/>
                <w:sz w:val="14"/>
                <w:szCs w:val="14"/>
                <w:color w:val="auto"/>
              </w:rPr>
              <w:t>issued and outstanding</w:t>
            </w: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40" w:type="dxa"/>
            <w:vAlign w:val="bottom"/>
          </w:tcPr>
          <w:p>
            <w:pPr>
              <w:ind w:left="140"/>
              <w:spacing w:after="0" w:line="143" w:lineRule="exact"/>
              <w:rPr>
                <w:sz w:val="20"/>
                <w:szCs w:val="20"/>
                <w:color w:val="auto"/>
              </w:rPr>
            </w:pPr>
            <w:r>
              <w:rPr>
                <w:rFonts w:ascii="Arial" w:cs="Arial" w:eastAsia="Arial" w:hAnsi="Arial"/>
                <w:sz w:val="14"/>
                <w:szCs w:val="14"/>
                <w:color w:val="auto"/>
                <w:w w:val="91"/>
              </w:rPr>
              <w:t>Common stock, $0.001 par value; 200.0 shares authorized, 56.0 shares</w:t>
            </w:r>
          </w:p>
        </w:tc>
        <w:tc>
          <w:tcPr>
            <w:tcW w:w="2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1560" w:type="dxa"/>
            <w:vAlign w:val="bottom"/>
            <w:vMerge w:val="restart"/>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rPr>
                <w:sz w:val="20"/>
                <w:szCs w:val="20"/>
                <w:color w:val="auto"/>
              </w:rPr>
            </w:pPr>
            <w:r>
              <w:rPr>
                <w:rFonts w:ascii="Arial" w:cs="Arial" w:eastAsia="Arial" w:hAnsi="Arial"/>
                <w:sz w:val="14"/>
                <w:szCs w:val="14"/>
                <w:color w:val="auto"/>
              </w:rPr>
              <w:t>issued; 50.4 shares outstanding, respectively.</w:t>
            </w: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Treasury stock, at cost, 5.6 common shares, respectively</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(227.7)</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878.2</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878.2</w:t>
            </w:r>
          </w:p>
        </w:tc>
        <w:tc>
          <w:tcPr>
            <w:tcW w:w="0" w:type="dxa"/>
            <w:vAlign w:val="bottom"/>
          </w:tcPr>
          <w:p>
            <w:pPr>
              <w:spacing w:after="0"/>
              <w:rPr>
                <w:sz w:val="1"/>
                <w:szCs w:val="1"/>
                <w:color w:val="auto"/>
              </w:rPr>
            </w:pPr>
          </w:p>
        </w:tc>
      </w:tr>
      <w:tr>
        <w:trPr>
          <w:trHeight w:val="180"/>
        </w:trPr>
        <w:tc>
          <w:tcPr>
            <w:tcW w:w="4240" w:type="dxa"/>
            <w:vAlign w:val="bottom"/>
          </w:tcPr>
          <w:p>
            <w:pPr>
              <w:ind w:left="120"/>
              <w:spacing w:after="0"/>
              <w:rPr>
                <w:sz w:val="20"/>
                <w:szCs w:val="20"/>
                <w:color w:val="auto"/>
              </w:rPr>
            </w:pPr>
            <w:r>
              <w:rPr>
                <w:rFonts w:ascii="Arial" w:cs="Arial" w:eastAsia="Arial" w:hAnsi="Arial"/>
                <w:sz w:val="14"/>
                <w:szCs w:val="14"/>
                <w:color w:val="auto"/>
              </w:rPr>
              <w:t>Accumulated other comprehensive income (loss), net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551.0</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440" w:type="dxa"/>
            <w:vAlign w:val="bottom"/>
          </w:tcPr>
          <w:p>
            <w:pPr>
              <w:ind w:left="180"/>
              <w:spacing w:after="0"/>
              <w:rPr>
                <w:sz w:val="20"/>
                <w:szCs w:val="20"/>
                <w:color w:val="auto"/>
              </w:rPr>
            </w:pPr>
            <w:r>
              <w:rPr>
                <w:rFonts w:ascii="Arial" w:cs="Arial" w:eastAsia="Arial" w:hAnsi="Arial"/>
                <w:sz w:val="14"/>
                <w:szCs w:val="14"/>
                <w:b w:val="1"/>
                <w:bCs w:val="1"/>
                <w:color w:val="auto"/>
              </w:rPr>
              <w:t>D</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612.9</w:t>
            </w:r>
          </w:p>
        </w:tc>
        <w:tc>
          <w:tcPr>
            <w:tcW w:w="0" w:type="dxa"/>
            <w:vAlign w:val="bottom"/>
          </w:tcPr>
          <w:p>
            <w:pPr>
              <w:spacing w:after="0"/>
              <w:rPr>
                <w:sz w:val="1"/>
                <w:szCs w:val="1"/>
                <w:color w:val="auto"/>
              </w:rPr>
            </w:pPr>
          </w:p>
        </w:tc>
      </w:tr>
      <w:tr>
        <w:trPr>
          <w:trHeight w:val="171"/>
        </w:trPr>
        <w:tc>
          <w:tcPr>
            <w:tcW w:w="4240" w:type="dxa"/>
            <w:vAlign w:val="bottom"/>
          </w:tcPr>
          <w:p>
            <w:pPr>
              <w:ind w:left="2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1,202.6</w:t>
            </w: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w:t>
            </w: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1,264.5</w:t>
            </w:r>
          </w:p>
        </w:tc>
        <w:tc>
          <w:tcPr>
            <w:tcW w:w="0" w:type="dxa"/>
            <w:vAlign w:val="bottom"/>
          </w:tcPr>
          <w:p>
            <w:pPr>
              <w:spacing w:after="0"/>
              <w:rPr>
                <w:sz w:val="1"/>
                <w:szCs w:val="1"/>
                <w:color w:val="auto"/>
              </w:rPr>
            </w:pPr>
          </w:p>
        </w:tc>
      </w:tr>
      <w:tr>
        <w:trPr>
          <w:trHeight w:val="171"/>
        </w:trPr>
        <w:tc>
          <w:tcPr>
            <w:tcW w:w="4240" w:type="dxa"/>
            <w:vAlign w:val="bottom"/>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unaudited pro forma consolidated financial statements.</w:t>
      </w:r>
    </w:p>
    <w:p>
      <w:pPr>
        <w:sectPr>
          <w:pgSz w:w="11900" w:h="16838" w:orient="portrait"/>
          <w:cols w:equalWidth="0" w:num="1">
            <w:col w:w="11260"/>
          </w:cols>
          <w:pgMar w:left="300" w:top="1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19415E"/>
        </w:rPr>
        <w:t>Pro Forma Condensed Consolidated Statement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9415E"/>
        </w:rPr>
        <w:t>For the Three Months Ended March 31, 2023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(in millions,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shd w:val="clear" w:color="auto" w:fill="19415E"/>
          </w:tcPr>
          <w:p>
            <w:pPr>
              <w:spacing w:after="0"/>
              <w:rPr>
                <w:sz w:val="15"/>
                <w:szCs w:val="15"/>
                <w:color w:val="auto"/>
              </w:rPr>
            </w:pPr>
          </w:p>
        </w:tc>
        <w:tc>
          <w:tcPr>
            <w:tcW w:w="170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0"/>
              </w:rPr>
              <w:t>Emergent BioSolutions Inc.</w:t>
            </w:r>
          </w:p>
        </w:tc>
        <w:tc>
          <w:tcPr>
            <w:tcW w:w="80" w:type="dxa"/>
            <w:vAlign w:val="bottom"/>
            <w:shd w:val="clear" w:color="auto" w:fill="19415E"/>
          </w:tcPr>
          <w:p>
            <w:pPr>
              <w:spacing w:after="0"/>
              <w:rPr>
                <w:sz w:val="15"/>
                <w:szCs w:val="15"/>
                <w:color w:val="auto"/>
              </w:rPr>
            </w:pPr>
          </w:p>
        </w:tc>
        <w:tc>
          <w:tcPr>
            <w:tcW w:w="1560" w:type="dxa"/>
            <w:vAlign w:val="bottom"/>
            <w:shd w:val="clear" w:color="auto" w:fill="19415E"/>
          </w:tcPr>
          <w:p>
            <w:pPr>
              <w:jc w:val="center"/>
              <w:spacing w:after="0"/>
              <w:rPr>
                <w:sz w:val="20"/>
                <w:szCs w:val="20"/>
                <w:color w:val="auto"/>
              </w:rPr>
            </w:pPr>
            <w:r>
              <w:rPr>
                <w:rFonts w:ascii="Arial" w:cs="Arial" w:eastAsia="Arial" w:hAnsi="Arial"/>
                <w:sz w:val="14"/>
                <w:szCs w:val="14"/>
                <w:b w:val="1"/>
                <w:bCs w:val="1"/>
                <w:color w:val="FFFFFF"/>
                <w:w w:val="89"/>
              </w:rPr>
              <w:t>Travel Health Business</w:t>
            </w:r>
          </w:p>
        </w:tc>
        <w:tc>
          <w:tcPr>
            <w:tcW w:w="100" w:type="dxa"/>
            <w:vAlign w:val="bottom"/>
            <w:shd w:val="clear" w:color="auto" w:fill="19415E"/>
          </w:tcPr>
          <w:p>
            <w:pPr>
              <w:spacing w:after="0"/>
              <w:rPr>
                <w:sz w:val="15"/>
                <w:szCs w:val="15"/>
                <w:color w:val="auto"/>
              </w:rPr>
            </w:pPr>
          </w:p>
        </w:tc>
        <w:tc>
          <w:tcPr>
            <w:tcW w:w="1540" w:type="dxa"/>
            <w:vAlign w:val="bottom"/>
            <w:shd w:val="clear" w:color="auto" w:fill="19415E"/>
          </w:tcPr>
          <w:p>
            <w:pPr>
              <w:spacing w:after="0"/>
              <w:rPr>
                <w:sz w:val="15"/>
                <w:szCs w:val="15"/>
                <w:color w:val="auto"/>
              </w:rPr>
            </w:pPr>
          </w:p>
        </w:tc>
        <w:tc>
          <w:tcPr>
            <w:tcW w:w="520" w:type="dxa"/>
            <w:vAlign w:val="bottom"/>
            <w:shd w:val="clear" w:color="auto" w:fill="19415E"/>
          </w:tcPr>
          <w:p>
            <w:pPr>
              <w:spacing w:after="0"/>
              <w:rPr>
                <w:sz w:val="15"/>
                <w:szCs w:val="15"/>
                <w:color w:val="auto"/>
              </w:rPr>
            </w:pPr>
          </w:p>
        </w:tc>
        <w:tc>
          <w:tcPr>
            <w:tcW w:w="170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0"/>
              </w:rPr>
              <w:t>Emergent BioSolutions Inc.</w:t>
            </w:r>
          </w:p>
        </w:tc>
      </w:tr>
      <w:tr>
        <w:trPr>
          <w:trHeight w:val="144"/>
        </w:trPr>
        <w:tc>
          <w:tcPr>
            <w:tcW w:w="4080" w:type="dxa"/>
            <w:vAlign w:val="bottom"/>
            <w:shd w:val="clear" w:color="auto" w:fill="19415E"/>
          </w:tcPr>
          <w:p>
            <w:pPr>
              <w:spacing w:after="0"/>
              <w:rPr>
                <w:sz w:val="12"/>
                <w:szCs w:val="12"/>
                <w:color w:val="auto"/>
              </w:rPr>
            </w:pPr>
          </w:p>
        </w:tc>
        <w:tc>
          <w:tcPr>
            <w:tcW w:w="260" w:type="dxa"/>
            <w:vAlign w:val="bottom"/>
            <w:shd w:val="clear" w:color="auto" w:fill="19415E"/>
          </w:tcPr>
          <w:p>
            <w:pPr>
              <w:spacing w:after="0"/>
              <w:rPr>
                <w:sz w:val="12"/>
                <w:szCs w:val="12"/>
                <w:color w:val="auto"/>
              </w:rPr>
            </w:pPr>
          </w:p>
        </w:tc>
        <w:tc>
          <w:tcPr>
            <w:tcW w:w="1440" w:type="dxa"/>
            <w:vAlign w:val="bottom"/>
            <w:shd w:val="clear" w:color="auto" w:fill="19415E"/>
          </w:tcPr>
          <w:p>
            <w:pPr>
              <w:spacing w:after="0"/>
              <w:rPr>
                <w:sz w:val="12"/>
                <w:szCs w:val="12"/>
                <w:color w:val="auto"/>
              </w:rPr>
            </w:pPr>
          </w:p>
        </w:tc>
        <w:tc>
          <w:tcPr>
            <w:tcW w:w="80" w:type="dxa"/>
            <w:vAlign w:val="bottom"/>
            <w:shd w:val="clear" w:color="auto" w:fill="19415E"/>
          </w:tcPr>
          <w:p>
            <w:pPr>
              <w:spacing w:after="0"/>
              <w:rPr>
                <w:sz w:val="12"/>
                <w:szCs w:val="12"/>
                <w:color w:val="auto"/>
              </w:rPr>
            </w:pPr>
          </w:p>
        </w:tc>
        <w:tc>
          <w:tcPr>
            <w:tcW w:w="1560" w:type="dxa"/>
            <w:vAlign w:val="bottom"/>
            <w:shd w:val="clear" w:color="auto" w:fill="19415E"/>
          </w:tcPr>
          <w:p>
            <w:pPr>
              <w:jc w:val="center"/>
              <w:ind w:right="11"/>
              <w:spacing w:after="0" w:line="145" w:lineRule="exact"/>
              <w:rPr>
                <w:sz w:val="20"/>
                <w:szCs w:val="20"/>
                <w:color w:val="auto"/>
              </w:rPr>
            </w:pPr>
            <w:r>
              <w:rPr>
                <w:rFonts w:ascii="Arial" w:cs="Arial" w:eastAsia="Arial" w:hAnsi="Arial"/>
                <w:sz w:val="14"/>
                <w:szCs w:val="14"/>
                <w:b w:val="1"/>
                <w:bCs w:val="1"/>
                <w:color w:val="FFFFFF"/>
                <w:w w:val="89"/>
              </w:rPr>
              <w:t>Disposition Adjustments</w:t>
            </w:r>
          </w:p>
        </w:tc>
        <w:tc>
          <w:tcPr>
            <w:tcW w:w="100" w:type="dxa"/>
            <w:vAlign w:val="bottom"/>
            <w:shd w:val="clear" w:color="auto" w:fill="19415E"/>
          </w:tcPr>
          <w:p>
            <w:pPr>
              <w:spacing w:after="0"/>
              <w:rPr>
                <w:sz w:val="12"/>
                <w:szCs w:val="12"/>
                <w:color w:val="auto"/>
              </w:rPr>
            </w:pPr>
          </w:p>
        </w:tc>
        <w:tc>
          <w:tcPr>
            <w:tcW w:w="1540" w:type="dxa"/>
            <w:vAlign w:val="bottom"/>
            <w:shd w:val="clear" w:color="auto" w:fill="19415E"/>
          </w:tcPr>
          <w:p>
            <w:pPr>
              <w:spacing w:after="0"/>
              <w:rPr>
                <w:sz w:val="12"/>
                <w:szCs w:val="12"/>
                <w:color w:val="auto"/>
              </w:rPr>
            </w:pPr>
          </w:p>
        </w:tc>
        <w:tc>
          <w:tcPr>
            <w:tcW w:w="520" w:type="dxa"/>
            <w:vAlign w:val="bottom"/>
            <w:shd w:val="clear" w:color="auto" w:fill="19415E"/>
          </w:tcPr>
          <w:p>
            <w:pPr>
              <w:spacing w:after="0"/>
              <w:rPr>
                <w:sz w:val="12"/>
                <w:szCs w:val="12"/>
                <w:color w:val="auto"/>
              </w:rPr>
            </w:pPr>
          </w:p>
        </w:tc>
        <w:tc>
          <w:tcPr>
            <w:tcW w:w="300" w:type="dxa"/>
            <w:vAlign w:val="bottom"/>
            <w:shd w:val="clear" w:color="auto" w:fill="19415E"/>
          </w:tcPr>
          <w:p>
            <w:pPr>
              <w:spacing w:after="0"/>
              <w:rPr>
                <w:sz w:val="12"/>
                <w:szCs w:val="12"/>
                <w:color w:val="auto"/>
              </w:rPr>
            </w:pPr>
          </w:p>
        </w:tc>
        <w:tc>
          <w:tcPr>
            <w:tcW w:w="1400" w:type="dxa"/>
            <w:vAlign w:val="bottom"/>
            <w:shd w:val="clear" w:color="auto" w:fill="19415E"/>
          </w:tcPr>
          <w:p>
            <w:pPr>
              <w:spacing w:after="0"/>
              <w:rPr>
                <w:sz w:val="12"/>
                <w:szCs w:val="12"/>
                <w:color w:val="auto"/>
              </w:rPr>
            </w:pPr>
          </w:p>
        </w:tc>
      </w:tr>
      <w:tr>
        <w:trPr>
          <w:trHeight w:val="184"/>
        </w:trPr>
        <w:tc>
          <w:tcPr>
            <w:tcW w:w="4080" w:type="dxa"/>
            <w:vAlign w:val="bottom"/>
            <w:tcBorders>
              <w:bottom w:val="single" w:sz="8" w:color="auto"/>
            </w:tcBorders>
            <w:shd w:val="clear" w:color="auto" w:fill="19415E"/>
          </w:tcPr>
          <w:p>
            <w:pPr>
              <w:spacing w:after="0"/>
              <w:rPr>
                <w:sz w:val="16"/>
                <w:szCs w:val="16"/>
                <w:color w:val="auto"/>
              </w:rPr>
            </w:pPr>
          </w:p>
        </w:tc>
        <w:tc>
          <w:tcPr>
            <w:tcW w:w="260" w:type="dxa"/>
            <w:vAlign w:val="bottom"/>
            <w:tcBorders>
              <w:bottom w:val="single" w:sz="8" w:color="auto"/>
            </w:tcBorders>
            <w:shd w:val="clear" w:color="auto" w:fill="19415E"/>
          </w:tcPr>
          <w:p>
            <w:pPr>
              <w:spacing w:after="0"/>
              <w:rPr>
                <w:sz w:val="16"/>
                <w:szCs w:val="16"/>
                <w:color w:val="auto"/>
              </w:rPr>
            </w:pPr>
          </w:p>
        </w:tc>
        <w:tc>
          <w:tcPr>
            <w:tcW w:w="1440" w:type="dxa"/>
            <w:vAlign w:val="bottom"/>
            <w:tcBorders>
              <w:bottom w:val="single" w:sz="8" w:color="auto"/>
            </w:tcBorders>
            <w:shd w:val="clear" w:color="auto" w:fill="19415E"/>
          </w:tcPr>
          <w:p>
            <w:pPr>
              <w:jc w:val="right"/>
              <w:ind w:right="371"/>
              <w:spacing w:after="0"/>
              <w:rPr>
                <w:sz w:val="20"/>
                <w:szCs w:val="20"/>
                <w:color w:val="auto"/>
              </w:rPr>
            </w:pPr>
            <w:r>
              <w:rPr>
                <w:rFonts w:ascii="Arial" w:cs="Arial" w:eastAsia="Arial" w:hAnsi="Arial"/>
                <w:sz w:val="14"/>
                <w:szCs w:val="14"/>
                <w:b w:val="1"/>
                <w:bCs w:val="1"/>
                <w:color w:val="FFFFFF"/>
              </w:rPr>
              <w:t>Historical (A)</w:t>
            </w:r>
          </w:p>
        </w:tc>
        <w:tc>
          <w:tcPr>
            <w:tcW w:w="80" w:type="dxa"/>
            <w:vAlign w:val="bottom"/>
            <w:tcBorders>
              <w:bottom w:val="single" w:sz="8" w:color="auto"/>
            </w:tcBorders>
            <w:shd w:val="clear" w:color="auto" w:fill="19415E"/>
          </w:tcPr>
          <w:p>
            <w:pPr>
              <w:spacing w:after="0"/>
              <w:rPr>
                <w:sz w:val="16"/>
                <w:szCs w:val="16"/>
                <w:color w:val="auto"/>
              </w:rPr>
            </w:pPr>
          </w:p>
        </w:tc>
        <w:tc>
          <w:tcPr>
            <w:tcW w:w="156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4"/>
                <w:szCs w:val="14"/>
                <w:b w:val="1"/>
                <w:bCs w:val="1"/>
                <w:color w:val="FFFFFF"/>
                <w:w w:val="92"/>
              </w:rPr>
              <w:t>(B)</w:t>
            </w:r>
          </w:p>
        </w:tc>
        <w:tc>
          <w:tcPr>
            <w:tcW w:w="100" w:type="dxa"/>
            <w:vAlign w:val="bottom"/>
            <w:tcBorders>
              <w:bottom w:val="single" w:sz="8" w:color="auto"/>
            </w:tcBorders>
            <w:shd w:val="clear" w:color="auto" w:fill="19415E"/>
          </w:tcPr>
          <w:p>
            <w:pPr>
              <w:spacing w:after="0"/>
              <w:rPr>
                <w:sz w:val="16"/>
                <w:szCs w:val="16"/>
                <w:color w:val="auto"/>
              </w:rPr>
            </w:pPr>
          </w:p>
        </w:tc>
        <w:tc>
          <w:tcPr>
            <w:tcW w:w="1540" w:type="dxa"/>
            <w:vAlign w:val="bottom"/>
            <w:tcBorders>
              <w:bottom w:val="single" w:sz="8" w:color="auto"/>
            </w:tcBorders>
            <w:shd w:val="clear" w:color="auto" w:fill="19415E"/>
          </w:tcPr>
          <w:p>
            <w:pPr>
              <w:jc w:val="right"/>
              <w:ind w:right="11"/>
              <w:spacing w:after="0"/>
              <w:rPr>
                <w:sz w:val="20"/>
                <w:szCs w:val="20"/>
                <w:color w:val="auto"/>
              </w:rPr>
            </w:pPr>
            <w:r>
              <w:rPr>
                <w:rFonts w:ascii="Arial" w:cs="Arial" w:eastAsia="Arial" w:hAnsi="Arial"/>
                <w:sz w:val="14"/>
                <w:szCs w:val="14"/>
                <w:b w:val="1"/>
                <w:bCs w:val="1"/>
                <w:color w:val="FFFFFF"/>
                <w:w w:val="90"/>
              </w:rPr>
              <w:t>Pro Forma Adjustments</w:t>
            </w:r>
          </w:p>
        </w:tc>
        <w:tc>
          <w:tcPr>
            <w:tcW w:w="520" w:type="dxa"/>
            <w:vAlign w:val="bottom"/>
            <w:tcBorders>
              <w:bottom w:val="single" w:sz="8" w:color="auto"/>
            </w:tcBorders>
            <w:shd w:val="clear" w:color="auto" w:fill="19415E"/>
          </w:tcPr>
          <w:p>
            <w:pPr>
              <w:spacing w:after="0"/>
              <w:rPr>
                <w:sz w:val="16"/>
                <w:szCs w:val="16"/>
                <w:color w:val="auto"/>
              </w:rPr>
            </w:pPr>
          </w:p>
        </w:tc>
        <w:tc>
          <w:tcPr>
            <w:tcW w:w="300" w:type="dxa"/>
            <w:vAlign w:val="bottom"/>
            <w:tcBorders>
              <w:bottom w:val="single" w:sz="8" w:color="auto"/>
            </w:tcBorders>
            <w:shd w:val="clear" w:color="auto" w:fill="19415E"/>
          </w:tcPr>
          <w:p>
            <w:pPr>
              <w:spacing w:after="0"/>
              <w:rPr>
                <w:sz w:val="16"/>
                <w:szCs w:val="16"/>
                <w:color w:val="auto"/>
              </w:rPr>
            </w:pPr>
          </w:p>
        </w:tc>
        <w:tc>
          <w:tcPr>
            <w:tcW w:w="1400" w:type="dxa"/>
            <w:vAlign w:val="bottom"/>
            <w:tcBorders>
              <w:bottom w:val="single" w:sz="8" w:color="auto"/>
            </w:tcBorders>
            <w:shd w:val="clear" w:color="auto" w:fill="19415E"/>
          </w:tcPr>
          <w:p>
            <w:pPr>
              <w:jc w:val="right"/>
              <w:ind w:right="451"/>
              <w:spacing w:after="0"/>
              <w:rPr>
                <w:sz w:val="20"/>
                <w:szCs w:val="20"/>
                <w:color w:val="auto"/>
              </w:rPr>
            </w:pPr>
            <w:r>
              <w:rPr>
                <w:rFonts w:ascii="Arial" w:cs="Arial" w:eastAsia="Arial" w:hAnsi="Arial"/>
                <w:sz w:val="14"/>
                <w:szCs w:val="14"/>
                <w:b w:val="1"/>
                <w:bCs w:val="1"/>
                <w:color w:val="FFFFFF"/>
              </w:rPr>
              <w:t>Pro Forma</w:t>
            </w:r>
          </w:p>
        </w:tc>
      </w:tr>
      <w:tr>
        <w:trPr>
          <w:trHeight w:val="169"/>
        </w:trPr>
        <w:tc>
          <w:tcPr>
            <w:tcW w:w="408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Product sales, net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CDMO:</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080" w:type="dxa"/>
            <w:vAlign w:val="bottom"/>
          </w:tcPr>
          <w:p>
            <w:pPr>
              <w:ind w:left="200"/>
              <w:spacing w:after="0"/>
              <w:rPr>
                <w:sz w:val="20"/>
                <w:szCs w:val="20"/>
                <w:color w:val="auto"/>
              </w:rPr>
            </w:pPr>
            <w:r>
              <w:rPr>
                <w:rFonts w:ascii="Arial" w:cs="Arial" w:eastAsia="Arial" w:hAnsi="Arial"/>
                <w:sz w:val="14"/>
                <w:szCs w:val="14"/>
                <w:color w:val="auto"/>
              </w:rPr>
              <w:t>Services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4080" w:type="dxa"/>
            <w:vAlign w:val="bottom"/>
          </w:tcPr>
          <w:p>
            <w:pPr>
              <w:ind w:left="200"/>
              <w:spacing w:after="0"/>
              <w:rPr>
                <w:sz w:val="20"/>
                <w:szCs w:val="20"/>
                <w:color w:val="auto"/>
              </w:rPr>
            </w:pPr>
            <w:r>
              <w:rPr>
                <w:rFonts w:ascii="Arial" w:cs="Arial" w:eastAsia="Arial" w:hAnsi="Arial"/>
                <w:sz w:val="14"/>
                <w:szCs w:val="14"/>
                <w:color w:val="auto"/>
              </w:rPr>
              <w:t>Leases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4080" w:type="dxa"/>
            <w:vAlign w:val="bottom"/>
          </w:tcPr>
          <w:p>
            <w:pPr>
              <w:ind w:left="280"/>
              <w:spacing w:after="0"/>
              <w:rPr>
                <w:sz w:val="20"/>
                <w:szCs w:val="20"/>
                <w:color w:val="auto"/>
              </w:rPr>
            </w:pPr>
            <w:r>
              <w:rPr>
                <w:rFonts w:ascii="Arial" w:cs="Arial" w:eastAsia="Arial" w:hAnsi="Arial"/>
                <w:sz w:val="14"/>
                <w:szCs w:val="14"/>
                <w:color w:val="auto"/>
              </w:rPr>
              <w:t>Total CDMO</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color w:val="auto"/>
              </w:rPr>
              <w:t>Contracts and grants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169"/>
        </w:trPr>
        <w:tc>
          <w:tcPr>
            <w:tcW w:w="4080" w:type="dxa"/>
            <w:vAlign w:val="bottom"/>
          </w:tcPr>
          <w:p>
            <w:pPr>
              <w:ind w:left="26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165.1</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159.3</w:t>
            </w:r>
          </w:p>
        </w:tc>
      </w:tr>
      <w:tr>
        <w:trPr>
          <w:trHeight w:val="393"/>
        </w:trPr>
        <w:tc>
          <w:tcPr>
            <w:tcW w:w="4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4080" w:type="dxa"/>
            <w:vAlign w:val="bottom"/>
          </w:tcPr>
          <w:p>
            <w:pPr>
              <w:ind w:left="120"/>
              <w:spacing w:after="0"/>
              <w:rPr>
                <w:sz w:val="20"/>
                <w:szCs w:val="20"/>
                <w:color w:val="auto"/>
              </w:rPr>
            </w:pPr>
            <w:r>
              <w:rPr>
                <w:rFonts w:ascii="Arial" w:cs="Arial" w:eastAsia="Arial" w:hAnsi="Arial"/>
                <w:sz w:val="14"/>
                <w:szCs w:val="14"/>
                <w:color w:val="auto"/>
              </w:rPr>
              <w:t>Cost of product sales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102.9</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96.2</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Cost of CDMO</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100.5</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E</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99.7</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171"/>
        </w:trPr>
        <w:tc>
          <w:tcPr>
            <w:tcW w:w="408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313.2</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281.6</w:t>
            </w:r>
          </w:p>
        </w:tc>
      </w:tr>
      <w:tr>
        <w:trPr>
          <w:trHeight w:val="393"/>
        </w:trPr>
        <w:tc>
          <w:tcPr>
            <w:tcW w:w="40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(126.3)</w:t>
            </w:r>
          </w:p>
        </w:tc>
      </w:tr>
      <w:tr>
        <w:trPr>
          <w:trHeight w:val="393"/>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69"/>
        </w:trPr>
        <w:tc>
          <w:tcPr>
            <w:tcW w:w="4080" w:type="dxa"/>
            <w:vAlign w:val="bottom"/>
          </w:tcPr>
          <w:p>
            <w:pPr>
              <w:ind w:left="1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393"/>
        </w:trPr>
        <w:tc>
          <w:tcPr>
            <w:tcW w:w="40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(161.1)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G</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r>
      <w:tr>
        <w:trPr>
          <w:trHeight w:val="171"/>
        </w:trPr>
        <w:tc>
          <w:tcPr>
            <w:tcW w:w="408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5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280"/>
          </w:cols>
          <w:pgMar w:left="300" w:top="129" w:right="319" w:bottom="1440" w:gutter="0" w:footer="0" w:header="0"/>
        </w:sectPr>
      </w:pPr>
    </w:p>
    <w:tbl>
      <w:tblPr>
        <w:tblLayout w:type="fixed"/>
        <w:tblInd w:w="20" w:type="dxa"/>
        <w:tblCellMar>
          <w:top w:w="0" w:type="dxa"/>
          <w:left w:w="0" w:type="dxa"/>
          <w:bottom w:w="0" w:type="dxa"/>
          <w:right w:w="0" w:type="dxa"/>
        </w:tblCellMar>
      </w:tblPr>
      <w:tr>
        <w:trPr>
          <w:trHeight w:val="175"/>
        </w:trPr>
        <w:tc>
          <w:tcPr>
            <w:tcW w:w="3780" w:type="dxa"/>
            <w:vAlign w:val="bottom"/>
          </w:tcPr>
          <w:p>
            <w:pPr>
              <w:spacing w:after="0"/>
              <w:rPr>
                <w:sz w:val="20"/>
                <w:szCs w:val="20"/>
                <w:color w:val="auto"/>
              </w:rPr>
            </w:pPr>
            <w:r>
              <w:rPr>
                <w:rFonts w:ascii="Arial" w:cs="Arial" w:eastAsia="Arial" w:hAnsi="Arial"/>
                <w:sz w:val="14"/>
                <w:szCs w:val="14"/>
                <w:color w:val="auto"/>
              </w:rPr>
              <w:t>Net income (loss) per common share</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Basic</w:t>
            </w:r>
          </w:p>
        </w:tc>
        <w:tc>
          <w:tcPr>
            <w:tcW w:w="100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551"/>
              <w:spacing w:after="0"/>
              <w:rPr>
                <w:sz w:val="20"/>
                <w:szCs w:val="20"/>
                <w:color w:val="auto"/>
              </w:rPr>
            </w:pPr>
            <w:r>
              <w:rPr>
                <w:rFonts w:ascii="Arial" w:cs="Arial" w:eastAsia="Arial" w:hAnsi="Arial"/>
                <w:sz w:val="14"/>
                <w:szCs w:val="14"/>
                <w:color w:val="auto"/>
                <w:w w:val="92"/>
              </w:rPr>
              <w:t>(3.65)</w:t>
            </w:r>
          </w:p>
        </w:tc>
      </w:tr>
      <w:tr>
        <w:trPr>
          <w:trHeight w:val="191"/>
        </w:trPr>
        <w:tc>
          <w:tcPr>
            <w:tcW w:w="3780" w:type="dxa"/>
            <w:vAlign w:val="bottom"/>
          </w:tcPr>
          <w:p>
            <w:pPr>
              <w:ind w:left="60"/>
              <w:spacing w:after="0"/>
              <w:rPr>
                <w:sz w:val="20"/>
                <w:szCs w:val="20"/>
                <w:color w:val="auto"/>
              </w:rPr>
            </w:pPr>
            <w:r>
              <w:rPr>
                <w:rFonts w:ascii="Arial" w:cs="Arial" w:eastAsia="Arial" w:hAnsi="Arial"/>
                <w:sz w:val="14"/>
                <w:szCs w:val="14"/>
                <w:color w:val="auto"/>
              </w:rPr>
              <w:t>Diluted</w:t>
            </w:r>
          </w:p>
        </w:tc>
        <w:tc>
          <w:tcPr>
            <w:tcW w:w="100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551"/>
              <w:spacing w:after="0"/>
              <w:rPr>
                <w:sz w:val="20"/>
                <w:szCs w:val="20"/>
                <w:color w:val="auto"/>
              </w:rPr>
            </w:pPr>
            <w:r>
              <w:rPr>
                <w:rFonts w:ascii="Arial" w:cs="Arial" w:eastAsia="Arial" w:hAnsi="Arial"/>
                <w:sz w:val="14"/>
                <w:szCs w:val="14"/>
                <w:color w:val="auto"/>
                <w:w w:val="92"/>
              </w:rPr>
              <w:t>(3.65)</w:t>
            </w:r>
          </w:p>
        </w:tc>
      </w:tr>
      <w:tr>
        <w:trPr>
          <w:trHeight w:val="393"/>
        </w:trPr>
        <w:tc>
          <w:tcPr>
            <w:tcW w:w="3780" w:type="dxa"/>
            <w:vAlign w:val="bottom"/>
          </w:tcPr>
          <w:p>
            <w:pPr>
              <w:spacing w:after="0"/>
              <w:rPr>
                <w:sz w:val="20"/>
                <w:szCs w:val="20"/>
                <w:color w:val="auto"/>
              </w:rPr>
            </w:pPr>
            <w:r>
              <w:rPr>
                <w:rFonts w:ascii="Arial" w:cs="Arial" w:eastAsia="Arial" w:hAnsi="Arial"/>
                <w:sz w:val="14"/>
                <w:szCs w:val="14"/>
                <w:color w:val="auto"/>
                <w:w w:val="95"/>
              </w:rPr>
              <w:t>Shares used in computing net income (loss) per common share</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Basic</w:t>
            </w:r>
          </w:p>
        </w:tc>
        <w:tc>
          <w:tcPr>
            <w:tcW w:w="1000" w:type="dxa"/>
            <w:vAlign w:val="bottom"/>
          </w:tcPr>
          <w:p>
            <w:pPr>
              <w:spacing w:after="0"/>
              <w:rPr>
                <w:sz w:val="15"/>
                <w:szCs w:val="15"/>
                <w:color w:val="auto"/>
              </w:rPr>
            </w:pPr>
          </w:p>
        </w:tc>
        <w:tc>
          <w:tcPr>
            <w:tcW w:w="960" w:type="dxa"/>
            <w:vAlign w:val="bottom"/>
          </w:tcPr>
          <w:p>
            <w:pPr>
              <w:jc w:val="center"/>
              <w:ind w:left="571"/>
              <w:spacing w:after="0"/>
              <w:rPr>
                <w:sz w:val="20"/>
                <w:szCs w:val="20"/>
                <w:color w:val="auto"/>
              </w:rPr>
            </w:pPr>
            <w:r>
              <w:rPr>
                <w:rFonts w:ascii="Arial" w:cs="Arial" w:eastAsia="Arial" w:hAnsi="Arial"/>
                <w:sz w:val="14"/>
                <w:szCs w:val="14"/>
                <w:color w:val="auto"/>
                <w:w w:val="87"/>
              </w:rPr>
              <w:t>50.2</w:t>
            </w: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Diluted</w:t>
            </w:r>
          </w:p>
        </w:tc>
        <w:tc>
          <w:tcPr>
            <w:tcW w:w="1000" w:type="dxa"/>
            <w:vAlign w:val="bottom"/>
          </w:tcPr>
          <w:p>
            <w:pPr>
              <w:spacing w:after="0"/>
              <w:rPr>
                <w:sz w:val="15"/>
                <w:szCs w:val="15"/>
                <w:color w:val="auto"/>
              </w:rPr>
            </w:pPr>
          </w:p>
        </w:tc>
        <w:tc>
          <w:tcPr>
            <w:tcW w:w="960" w:type="dxa"/>
            <w:vAlign w:val="bottom"/>
          </w:tcPr>
          <w:p>
            <w:pPr>
              <w:jc w:val="center"/>
              <w:ind w:left="571"/>
              <w:spacing w:after="0"/>
              <w:rPr>
                <w:sz w:val="20"/>
                <w:szCs w:val="20"/>
                <w:color w:val="auto"/>
              </w:rPr>
            </w:pPr>
            <w:r>
              <w:rPr>
                <w:rFonts w:ascii="Arial" w:cs="Arial" w:eastAsia="Arial" w:hAnsi="Arial"/>
                <w:sz w:val="14"/>
                <w:szCs w:val="14"/>
                <w:color w:val="auto"/>
                <w:w w:val="87"/>
              </w:rPr>
              <w:t>50.2</w:t>
            </w:r>
          </w:p>
        </w:tc>
      </w:tr>
    </w:tbl>
    <w:p>
      <w:pPr>
        <w:spacing w:after="0" w:line="183" w:lineRule="exact"/>
        <w:rPr>
          <w:sz w:val="20"/>
          <w:szCs w:val="20"/>
          <w:color w:val="auto"/>
        </w:rPr>
      </w:pPr>
    </w:p>
    <w:p>
      <w:pPr>
        <w:jc w:val="right"/>
        <w:ind w:right="133"/>
        <w:spacing w:after="0"/>
        <w:rPr>
          <w:sz w:val="20"/>
          <w:szCs w:val="20"/>
          <w:color w:val="auto"/>
        </w:rPr>
      </w:pPr>
      <w:r>
        <w:rPr>
          <w:rFonts w:ascii="Arial" w:cs="Arial" w:eastAsia="Arial" w:hAnsi="Arial"/>
          <w:sz w:val="14"/>
          <w:szCs w:val="14"/>
          <w:i w:val="1"/>
          <w:iCs w:val="1"/>
          <w:color w:val="auto"/>
        </w:rPr>
        <w:t>The accompanying notes are an integral part of these unaudited pro forma consolidated financial statements.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327" w:hanging="1327"/>
        <w:spacing w:after="0"/>
        <w:tabs>
          <w:tab w:leader="none" w:pos="1327" w:val="left"/>
        </w:tabs>
        <w:numPr>
          <w:ilvl w:val="0"/>
          <w:numId w:val="6"/>
        </w:numPr>
        <w:rPr>
          <w:rFonts w:ascii="Arial" w:cs="Arial" w:eastAsia="Arial" w:hAnsi="Arial"/>
          <w:sz w:val="13"/>
          <w:szCs w:val="13"/>
          <w:color w:val="auto"/>
        </w:rPr>
      </w:pPr>
      <w:r>
        <w:rPr>
          <w:rFonts w:ascii="Arial" w:cs="Arial" w:eastAsia="Arial" w:hAnsi="Arial"/>
          <w:sz w:val="13"/>
          <w:szCs w:val="13"/>
          <w:color w:val="auto"/>
        </w:rPr>
        <w:t>(3.50)</w:t>
      </w:r>
    </w:p>
    <w:p>
      <w:pPr>
        <w:spacing w:after="0" w:line="41" w:lineRule="exact"/>
        <w:rPr>
          <w:sz w:val="20"/>
          <w:szCs w:val="20"/>
          <w:color w:val="auto"/>
        </w:rPr>
      </w:pPr>
    </w:p>
    <w:p>
      <w:pPr>
        <w:ind w:left="1327" w:hanging="1327"/>
        <w:spacing w:after="0"/>
        <w:tabs>
          <w:tab w:leader="none" w:pos="1327" w:val="left"/>
        </w:tabs>
        <w:numPr>
          <w:ilvl w:val="0"/>
          <w:numId w:val="7"/>
        </w:numPr>
        <w:rPr>
          <w:rFonts w:ascii="Arial" w:cs="Arial" w:eastAsia="Arial" w:hAnsi="Arial"/>
          <w:sz w:val="13"/>
          <w:szCs w:val="13"/>
          <w:color w:val="auto"/>
        </w:rPr>
      </w:pPr>
      <w:r>
        <w:rPr>
          <w:rFonts w:ascii="Arial" w:cs="Arial" w:eastAsia="Arial" w:hAnsi="Arial"/>
          <w:sz w:val="13"/>
          <w:szCs w:val="13"/>
          <w:color w:val="auto"/>
        </w:rPr>
        <w:t>(3.50)</w:t>
      </w:r>
    </w:p>
    <w:p>
      <w:pPr>
        <w:spacing w:after="0" w:line="200" w:lineRule="exact"/>
        <w:rPr>
          <w:sz w:val="20"/>
          <w:szCs w:val="20"/>
          <w:color w:val="auto"/>
        </w:rPr>
      </w:pPr>
    </w:p>
    <w:p>
      <w:pPr>
        <w:spacing w:after="0" w:line="223" w:lineRule="exact"/>
        <w:rPr>
          <w:sz w:val="20"/>
          <w:szCs w:val="20"/>
          <w:color w:val="auto"/>
        </w:rPr>
      </w:pPr>
    </w:p>
    <w:p>
      <w:pPr>
        <w:ind w:left="1387"/>
        <w:spacing w:after="0"/>
        <w:rPr>
          <w:sz w:val="20"/>
          <w:szCs w:val="20"/>
          <w:color w:val="auto"/>
        </w:rPr>
      </w:pPr>
      <w:r>
        <w:rPr>
          <w:rFonts w:ascii="Arial" w:cs="Arial" w:eastAsia="Arial" w:hAnsi="Arial"/>
          <w:sz w:val="14"/>
          <w:szCs w:val="14"/>
          <w:color w:val="auto"/>
        </w:rPr>
        <w:t>50.2</w:t>
      </w:r>
    </w:p>
    <w:p>
      <w:pPr>
        <w:spacing w:after="0" w:line="19" w:lineRule="exact"/>
        <w:rPr>
          <w:sz w:val="20"/>
          <w:szCs w:val="20"/>
          <w:color w:val="auto"/>
        </w:rPr>
      </w:pPr>
    </w:p>
    <w:p>
      <w:pPr>
        <w:ind w:left="1387"/>
        <w:spacing w:after="0"/>
        <w:rPr>
          <w:sz w:val="20"/>
          <w:szCs w:val="20"/>
          <w:color w:val="auto"/>
        </w:rPr>
      </w:pPr>
      <w:r>
        <w:rPr>
          <w:rFonts w:ascii="Arial" w:cs="Arial" w:eastAsia="Arial" w:hAnsi="Arial"/>
          <w:sz w:val="14"/>
          <w:szCs w:val="14"/>
          <w:color w:val="auto"/>
        </w:rPr>
        <w:t>50.2</w:t>
      </w:r>
    </w:p>
    <w:p>
      <w:pPr>
        <w:sectPr>
          <w:pgSz w:w="11900" w:h="16838" w:orient="portrait"/>
          <w:cols w:equalWidth="0" w:num="2">
            <w:col w:w="8873" w:space="720"/>
            <w:col w:w="1687"/>
          </w:cols>
          <w:pgMar w:left="300" w:top="129" w:right="31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19415E"/>
        </w:rPr>
        <w:t>Pro Forma Consolidated Statement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9415E"/>
        </w:rPr>
        <w:t>For the Year Ended December 31,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(in millions,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shd w:val="clear" w:color="auto" w:fill="19415E"/>
          </w:tcPr>
          <w:p>
            <w:pPr>
              <w:spacing w:after="0"/>
              <w:rPr>
                <w:sz w:val="15"/>
                <w:szCs w:val="15"/>
                <w:color w:val="auto"/>
              </w:rPr>
            </w:pPr>
          </w:p>
        </w:tc>
        <w:tc>
          <w:tcPr>
            <w:tcW w:w="170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0"/>
              </w:rPr>
              <w:t>Emergent BioSolutions Inc.</w:t>
            </w:r>
          </w:p>
        </w:tc>
        <w:tc>
          <w:tcPr>
            <w:tcW w:w="80" w:type="dxa"/>
            <w:vAlign w:val="bottom"/>
            <w:shd w:val="clear" w:color="auto" w:fill="19415E"/>
          </w:tcPr>
          <w:p>
            <w:pPr>
              <w:spacing w:after="0"/>
              <w:rPr>
                <w:sz w:val="15"/>
                <w:szCs w:val="15"/>
                <w:color w:val="auto"/>
              </w:rPr>
            </w:pPr>
          </w:p>
        </w:tc>
        <w:tc>
          <w:tcPr>
            <w:tcW w:w="1560" w:type="dxa"/>
            <w:vAlign w:val="bottom"/>
            <w:shd w:val="clear" w:color="auto" w:fill="19415E"/>
          </w:tcPr>
          <w:p>
            <w:pPr>
              <w:jc w:val="center"/>
              <w:spacing w:after="0"/>
              <w:rPr>
                <w:sz w:val="20"/>
                <w:szCs w:val="20"/>
                <w:color w:val="auto"/>
              </w:rPr>
            </w:pPr>
            <w:r>
              <w:rPr>
                <w:rFonts w:ascii="Arial" w:cs="Arial" w:eastAsia="Arial" w:hAnsi="Arial"/>
                <w:sz w:val="14"/>
                <w:szCs w:val="14"/>
                <w:b w:val="1"/>
                <w:bCs w:val="1"/>
                <w:color w:val="FFFFFF"/>
                <w:w w:val="89"/>
              </w:rPr>
              <w:t>Travel Health Business</w:t>
            </w:r>
          </w:p>
        </w:tc>
        <w:tc>
          <w:tcPr>
            <w:tcW w:w="100" w:type="dxa"/>
            <w:vAlign w:val="bottom"/>
            <w:shd w:val="clear" w:color="auto" w:fill="19415E"/>
          </w:tcPr>
          <w:p>
            <w:pPr>
              <w:spacing w:after="0"/>
              <w:rPr>
                <w:sz w:val="15"/>
                <w:szCs w:val="15"/>
                <w:color w:val="auto"/>
              </w:rPr>
            </w:pPr>
          </w:p>
        </w:tc>
        <w:tc>
          <w:tcPr>
            <w:tcW w:w="1540" w:type="dxa"/>
            <w:vAlign w:val="bottom"/>
            <w:shd w:val="clear" w:color="auto" w:fill="19415E"/>
          </w:tcPr>
          <w:p>
            <w:pPr>
              <w:spacing w:after="0"/>
              <w:rPr>
                <w:sz w:val="15"/>
                <w:szCs w:val="15"/>
                <w:color w:val="auto"/>
              </w:rPr>
            </w:pPr>
          </w:p>
        </w:tc>
        <w:tc>
          <w:tcPr>
            <w:tcW w:w="520" w:type="dxa"/>
            <w:vAlign w:val="bottom"/>
            <w:shd w:val="clear" w:color="auto" w:fill="19415E"/>
          </w:tcPr>
          <w:p>
            <w:pPr>
              <w:spacing w:after="0"/>
              <w:rPr>
                <w:sz w:val="15"/>
                <w:szCs w:val="15"/>
                <w:color w:val="auto"/>
              </w:rPr>
            </w:pPr>
          </w:p>
        </w:tc>
        <w:tc>
          <w:tcPr>
            <w:tcW w:w="1700" w:type="dxa"/>
            <w:vAlign w:val="bottom"/>
            <w:gridSpan w:val="2"/>
            <w:shd w:val="clear" w:color="auto" w:fill="19415E"/>
          </w:tcPr>
          <w:p>
            <w:pPr>
              <w:ind w:left="20"/>
              <w:spacing w:after="0"/>
              <w:rPr>
                <w:sz w:val="20"/>
                <w:szCs w:val="20"/>
                <w:color w:val="auto"/>
              </w:rPr>
            </w:pPr>
            <w:r>
              <w:rPr>
                <w:rFonts w:ascii="Arial" w:cs="Arial" w:eastAsia="Arial" w:hAnsi="Arial"/>
                <w:sz w:val="14"/>
                <w:szCs w:val="14"/>
                <w:b w:val="1"/>
                <w:bCs w:val="1"/>
                <w:color w:val="FFFFFF"/>
                <w:w w:val="90"/>
              </w:rPr>
              <w:t>Emergent BioSolutions Inc.</w:t>
            </w:r>
          </w:p>
        </w:tc>
      </w:tr>
      <w:tr>
        <w:trPr>
          <w:trHeight w:val="144"/>
        </w:trPr>
        <w:tc>
          <w:tcPr>
            <w:tcW w:w="4080" w:type="dxa"/>
            <w:vAlign w:val="bottom"/>
            <w:shd w:val="clear" w:color="auto" w:fill="19415E"/>
          </w:tcPr>
          <w:p>
            <w:pPr>
              <w:spacing w:after="0"/>
              <w:rPr>
                <w:sz w:val="12"/>
                <w:szCs w:val="12"/>
                <w:color w:val="auto"/>
              </w:rPr>
            </w:pPr>
          </w:p>
        </w:tc>
        <w:tc>
          <w:tcPr>
            <w:tcW w:w="260" w:type="dxa"/>
            <w:vAlign w:val="bottom"/>
            <w:shd w:val="clear" w:color="auto" w:fill="19415E"/>
          </w:tcPr>
          <w:p>
            <w:pPr>
              <w:spacing w:after="0"/>
              <w:rPr>
                <w:sz w:val="12"/>
                <w:szCs w:val="12"/>
                <w:color w:val="auto"/>
              </w:rPr>
            </w:pPr>
          </w:p>
        </w:tc>
        <w:tc>
          <w:tcPr>
            <w:tcW w:w="1440" w:type="dxa"/>
            <w:vAlign w:val="bottom"/>
            <w:shd w:val="clear" w:color="auto" w:fill="19415E"/>
          </w:tcPr>
          <w:p>
            <w:pPr>
              <w:spacing w:after="0"/>
              <w:rPr>
                <w:sz w:val="12"/>
                <w:szCs w:val="12"/>
                <w:color w:val="auto"/>
              </w:rPr>
            </w:pPr>
          </w:p>
        </w:tc>
        <w:tc>
          <w:tcPr>
            <w:tcW w:w="80" w:type="dxa"/>
            <w:vAlign w:val="bottom"/>
            <w:shd w:val="clear" w:color="auto" w:fill="19415E"/>
          </w:tcPr>
          <w:p>
            <w:pPr>
              <w:spacing w:after="0"/>
              <w:rPr>
                <w:sz w:val="12"/>
                <w:szCs w:val="12"/>
                <w:color w:val="auto"/>
              </w:rPr>
            </w:pPr>
          </w:p>
        </w:tc>
        <w:tc>
          <w:tcPr>
            <w:tcW w:w="1560" w:type="dxa"/>
            <w:vAlign w:val="bottom"/>
            <w:shd w:val="clear" w:color="auto" w:fill="19415E"/>
          </w:tcPr>
          <w:p>
            <w:pPr>
              <w:jc w:val="center"/>
              <w:ind w:right="11"/>
              <w:spacing w:after="0" w:line="145" w:lineRule="exact"/>
              <w:rPr>
                <w:sz w:val="20"/>
                <w:szCs w:val="20"/>
                <w:color w:val="auto"/>
              </w:rPr>
            </w:pPr>
            <w:r>
              <w:rPr>
                <w:rFonts w:ascii="Arial" w:cs="Arial" w:eastAsia="Arial" w:hAnsi="Arial"/>
                <w:sz w:val="14"/>
                <w:szCs w:val="14"/>
                <w:b w:val="1"/>
                <w:bCs w:val="1"/>
                <w:color w:val="FFFFFF"/>
                <w:w w:val="89"/>
              </w:rPr>
              <w:t>Disposition Adjustments</w:t>
            </w:r>
          </w:p>
        </w:tc>
        <w:tc>
          <w:tcPr>
            <w:tcW w:w="100" w:type="dxa"/>
            <w:vAlign w:val="bottom"/>
            <w:shd w:val="clear" w:color="auto" w:fill="19415E"/>
          </w:tcPr>
          <w:p>
            <w:pPr>
              <w:spacing w:after="0"/>
              <w:rPr>
                <w:sz w:val="12"/>
                <w:szCs w:val="12"/>
                <w:color w:val="auto"/>
              </w:rPr>
            </w:pPr>
          </w:p>
        </w:tc>
        <w:tc>
          <w:tcPr>
            <w:tcW w:w="1540" w:type="dxa"/>
            <w:vAlign w:val="bottom"/>
            <w:shd w:val="clear" w:color="auto" w:fill="19415E"/>
          </w:tcPr>
          <w:p>
            <w:pPr>
              <w:spacing w:after="0"/>
              <w:rPr>
                <w:sz w:val="12"/>
                <w:szCs w:val="12"/>
                <w:color w:val="auto"/>
              </w:rPr>
            </w:pPr>
          </w:p>
        </w:tc>
        <w:tc>
          <w:tcPr>
            <w:tcW w:w="520" w:type="dxa"/>
            <w:vAlign w:val="bottom"/>
            <w:shd w:val="clear" w:color="auto" w:fill="19415E"/>
          </w:tcPr>
          <w:p>
            <w:pPr>
              <w:spacing w:after="0"/>
              <w:rPr>
                <w:sz w:val="12"/>
                <w:szCs w:val="12"/>
                <w:color w:val="auto"/>
              </w:rPr>
            </w:pPr>
          </w:p>
        </w:tc>
        <w:tc>
          <w:tcPr>
            <w:tcW w:w="300" w:type="dxa"/>
            <w:vAlign w:val="bottom"/>
            <w:shd w:val="clear" w:color="auto" w:fill="19415E"/>
          </w:tcPr>
          <w:p>
            <w:pPr>
              <w:spacing w:after="0"/>
              <w:rPr>
                <w:sz w:val="12"/>
                <w:szCs w:val="12"/>
                <w:color w:val="auto"/>
              </w:rPr>
            </w:pPr>
          </w:p>
        </w:tc>
        <w:tc>
          <w:tcPr>
            <w:tcW w:w="1400" w:type="dxa"/>
            <w:vAlign w:val="bottom"/>
            <w:shd w:val="clear" w:color="auto" w:fill="19415E"/>
          </w:tcPr>
          <w:p>
            <w:pPr>
              <w:spacing w:after="0"/>
              <w:rPr>
                <w:sz w:val="12"/>
                <w:szCs w:val="12"/>
                <w:color w:val="auto"/>
              </w:rPr>
            </w:pPr>
          </w:p>
        </w:tc>
      </w:tr>
      <w:tr>
        <w:trPr>
          <w:trHeight w:val="184"/>
        </w:trPr>
        <w:tc>
          <w:tcPr>
            <w:tcW w:w="4080" w:type="dxa"/>
            <w:vAlign w:val="bottom"/>
            <w:tcBorders>
              <w:bottom w:val="single" w:sz="8" w:color="auto"/>
            </w:tcBorders>
            <w:shd w:val="clear" w:color="auto" w:fill="19415E"/>
          </w:tcPr>
          <w:p>
            <w:pPr>
              <w:spacing w:after="0"/>
              <w:rPr>
                <w:sz w:val="16"/>
                <w:szCs w:val="16"/>
                <w:color w:val="auto"/>
              </w:rPr>
            </w:pPr>
          </w:p>
        </w:tc>
        <w:tc>
          <w:tcPr>
            <w:tcW w:w="260" w:type="dxa"/>
            <w:vAlign w:val="bottom"/>
            <w:tcBorders>
              <w:bottom w:val="single" w:sz="8" w:color="auto"/>
            </w:tcBorders>
            <w:shd w:val="clear" w:color="auto" w:fill="19415E"/>
          </w:tcPr>
          <w:p>
            <w:pPr>
              <w:spacing w:after="0"/>
              <w:rPr>
                <w:sz w:val="16"/>
                <w:szCs w:val="16"/>
                <w:color w:val="auto"/>
              </w:rPr>
            </w:pPr>
          </w:p>
        </w:tc>
        <w:tc>
          <w:tcPr>
            <w:tcW w:w="1440" w:type="dxa"/>
            <w:vAlign w:val="bottom"/>
            <w:tcBorders>
              <w:bottom w:val="single" w:sz="8" w:color="auto"/>
            </w:tcBorders>
            <w:shd w:val="clear" w:color="auto" w:fill="19415E"/>
          </w:tcPr>
          <w:p>
            <w:pPr>
              <w:jc w:val="right"/>
              <w:ind w:right="371"/>
              <w:spacing w:after="0"/>
              <w:rPr>
                <w:sz w:val="20"/>
                <w:szCs w:val="20"/>
                <w:color w:val="auto"/>
              </w:rPr>
            </w:pPr>
            <w:r>
              <w:rPr>
                <w:rFonts w:ascii="Arial" w:cs="Arial" w:eastAsia="Arial" w:hAnsi="Arial"/>
                <w:sz w:val="14"/>
                <w:szCs w:val="14"/>
                <w:b w:val="1"/>
                <w:bCs w:val="1"/>
                <w:color w:val="FFFFFF"/>
              </w:rPr>
              <w:t>Historical (A)</w:t>
            </w:r>
          </w:p>
        </w:tc>
        <w:tc>
          <w:tcPr>
            <w:tcW w:w="80" w:type="dxa"/>
            <w:vAlign w:val="bottom"/>
            <w:tcBorders>
              <w:bottom w:val="single" w:sz="8" w:color="auto"/>
            </w:tcBorders>
            <w:shd w:val="clear" w:color="auto" w:fill="19415E"/>
          </w:tcPr>
          <w:p>
            <w:pPr>
              <w:spacing w:after="0"/>
              <w:rPr>
                <w:sz w:val="16"/>
                <w:szCs w:val="16"/>
                <w:color w:val="auto"/>
              </w:rPr>
            </w:pPr>
          </w:p>
        </w:tc>
        <w:tc>
          <w:tcPr>
            <w:tcW w:w="156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4"/>
                <w:szCs w:val="14"/>
                <w:b w:val="1"/>
                <w:bCs w:val="1"/>
                <w:color w:val="FFFFFF"/>
                <w:w w:val="92"/>
              </w:rPr>
              <w:t>(B)</w:t>
            </w:r>
          </w:p>
        </w:tc>
        <w:tc>
          <w:tcPr>
            <w:tcW w:w="100" w:type="dxa"/>
            <w:vAlign w:val="bottom"/>
            <w:tcBorders>
              <w:bottom w:val="single" w:sz="8" w:color="auto"/>
            </w:tcBorders>
            <w:shd w:val="clear" w:color="auto" w:fill="19415E"/>
          </w:tcPr>
          <w:p>
            <w:pPr>
              <w:spacing w:after="0"/>
              <w:rPr>
                <w:sz w:val="16"/>
                <w:szCs w:val="16"/>
                <w:color w:val="auto"/>
              </w:rPr>
            </w:pPr>
          </w:p>
        </w:tc>
        <w:tc>
          <w:tcPr>
            <w:tcW w:w="1540" w:type="dxa"/>
            <w:vAlign w:val="bottom"/>
            <w:tcBorders>
              <w:bottom w:val="single" w:sz="8" w:color="auto"/>
            </w:tcBorders>
            <w:shd w:val="clear" w:color="auto" w:fill="19415E"/>
          </w:tcPr>
          <w:p>
            <w:pPr>
              <w:jc w:val="right"/>
              <w:ind w:right="11"/>
              <w:spacing w:after="0"/>
              <w:rPr>
                <w:sz w:val="20"/>
                <w:szCs w:val="20"/>
                <w:color w:val="auto"/>
              </w:rPr>
            </w:pPr>
            <w:r>
              <w:rPr>
                <w:rFonts w:ascii="Arial" w:cs="Arial" w:eastAsia="Arial" w:hAnsi="Arial"/>
                <w:sz w:val="14"/>
                <w:szCs w:val="14"/>
                <w:b w:val="1"/>
                <w:bCs w:val="1"/>
                <w:color w:val="FFFFFF"/>
                <w:w w:val="90"/>
              </w:rPr>
              <w:t>Pro Forma Adjustments</w:t>
            </w:r>
          </w:p>
        </w:tc>
        <w:tc>
          <w:tcPr>
            <w:tcW w:w="520" w:type="dxa"/>
            <w:vAlign w:val="bottom"/>
            <w:tcBorders>
              <w:bottom w:val="single" w:sz="8" w:color="auto"/>
            </w:tcBorders>
            <w:shd w:val="clear" w:color="auto" w:fill="19415E"/>
          </w:tcPr>
          <w:p>
            <w:pPr>
              <w:spacing w:after="0"/>
              <w:rPr>
                <w:sz w:val="16"/>
                <w:szCs w:val="16"/>
                <w:color w:val="auto"/>
              </w:rPr>
            </w:pPr>
          </w:p>
        </w:tc>
        <w:tc>
          <w:tcPr>
            <w:tcW w:w="300" w:type="dxa"/>
            <w:vAlign w:val="bottom"/>
            <w:tcBorders>
              <w:bottom w:val="single" w:sz="8" w:color="auto"/>
            </w:tcBorders>
            <w:shd w:val="clear" w:color="auto" w:fill="19415E"/>
          </w:tcPr>
          <w:p>
            <w:pPr>
              <w:spacing w:after="0"/>
              <w:rPr>
                <w:sz w:val="16"/>
                <w:szCs w:val="16"/>
                <w:color w:val="auto"/>
              </w:rPr>
            </w:pPr>
          </w:p>
        </w:tc>
        <w:tc>
          <w:tcPr>
            <w:tcW w:w="1400" w:type="dxa"/>
            <w:vAlign w:val="bottom"/>
            <w:tcBorders>
              <w:bottom w:val="single" w:sz="8" w:color="auto"/>
            </w:tcBorders>
            <w:shd w:val="clear" w:color="auto" w:fill="19415E"/>
          </w:tcPr>
          <w:p>
            <w:pPr>
              <w:jc w:val="right"/>
              <w:ind w:right="451"/>
              <w:spacing w:after="0"/>
              <w:rPr>
                <w:sz w:val="20"/>
                <w:szCs w:val="20"/>
                <w:color w:val="auto"/>
              </w:rPr>
            </w:pPr>
            <w:r>
              <w:rPr>
                <w:rFonts w:ascii="Arial" w:cs="Arial" w:eastAsia="Arial" w:hAnsi="Arial"/>
                <w:sz w:val="14"/>
                <w:szCs w:val="14"/>
                <w:b w:val="1"/>
                <w:bCs w:val="1"/>
                <w:color w:val="FFFFFF"/>
              </w:rPr>
              <w:t>Pro Forma</w:t>
            </w:r>
          </w:p>
        </w:tc>
      </w:tr>
      <w:tr>
        <w:trPr>
          <w:trHeight w:val="169"/>
        </w:trPr>
        <w:tc>
          <w:tcPr>
            <w:tcW w:w="408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Product sales, net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966.2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953.2</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CDMO:</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080" w:type="dxa"/>
            <w:vAlign w:val="bottom"/>
          </w:tcPr>
          <w:p>
            <w:pPr>
              <w:ind w:left="200"/>
              <w:spacing w:after="0"/>
              <w:rPr>
                <w:sz w:val="20"/>
                <w:szCs w:val="20"/>
                <w:color w:val="auto"/>
              </w:rPr>
            </w:pPr>
            <w:r>
              <w:rPr>
                <w:rFonts w:ascii="Arial" w:cs="Arial" w:eastAsia="Arial" w:hAnsi="Arial"/>
                <w:sz w:val="14"/>
                <w:szCs w:val="14"/>
                <w:color w:val="auto"/>
              </w:rPr>
              <w:t>Services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108.4</w:t>
            </w:r>
          </w:p>
        </w:tc>
      </w:tr>
      <w:tr>
        <w:trPr>
          <w:trHeight w:val="183"/>
        </w:trPr>
        <w:tc>
          <w:tcPr>
            <w:tcW w:w="4080" w:type="dxa"/>
            <w:vAlign w:val="bottom"/>
          </w:tcPr>
          <w:p>
            <w:pPr>
              <w:ind w:left="200"/>
              <w:spacing w:after="0"/>
              <w:rPr>
                <w:sz w:val="20"/>
                <w:szCs w:val="20"/>
                <w:color w:val="auto"/>
              </w:rPr>
            </w:pPr>
            <w:r>
              <w:rPr>
                <w:rFonts w:ascii="Arial" w:cs="Arial" w:eastAsia="Arial" w:hAnsi="Arial"/>
                <w:sz w:val="14"/>
                <w:szCs w:val="14"/>
                <w:color w:val="auto"/>
              </w:rPr>
              <w:t>Leases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169"/>
        </w:trPr>
        <w:tc>
          <w:tcPr>
            <w:tcW w:w="4080" w:type="dxa"/>
            <w:vAlign w:val="bottom"/>
          </w:tcPr>
          <w:p>
            <w:pPr>
              <w:ind w:left="280"/>
              <w:spacing w:after="0"/>
              <w:rPr>
                <w:sz w:val="20"/>
                <w:szCs w:val="20"/>
                <w:color w:val="auto"/>
              </w:rPr>
            </w:pPr>
            <w:r>
              <w:rPr>
                <w:rFonts w:ascii="Arial" w:cs="Arial" w:eastAsia="Arial" w:hAnsi="Arial"/>
                <w:sz w:val="14"/>
                <w:szCs w:val="14"/>
                <w:color w:val="auto"/>
              </w:rPr>
              <w:t>Total CDMO</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113.3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113.3</w:t>
            </w: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color w:val="auto"/>
              </w:rPr>
              <w:t>Contracts and grants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169"/>
        </w:trPr>
        <w:tc>
          <w:tcPr>
            <w:tcW w:w="4080" w:type="dxa"/>
            <w:vAlign w:val="bottom"/>
          </w:tcPr>
          <w:p>
            <w:pPr>
              <w:ind w:left="26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1,120.9</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1,107.9</w:t>
            </w:r>
          </w:p>
        </w:tc>
      </w:tr>
      <w:tr>
        <w:trPr>
          <w:trHeight w:val="382"/>
        </w:trPr>
        <w:tc>
          <w:tcPr>
            <w:tcW w:w="4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Cost of product sales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424.1</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405.3</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Cost of CDMO</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269.6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269.6</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193.0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340.3</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E</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333.1</w:t>
            </w: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1"/>
        </w:trPr>
        <w:tc>
          <w:tcPr>
            <w:tcW w:w="408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r>
      <w:tr>
        <w:trPr>
          <w:trHeight w:val="171"/>
        </w:trPr>
        <w:tc>
          <w:tcPr>
            <w:tcW w:w="408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1,293.6</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1,166.0</w:t>
            </w:r>
          </w:p>
        </w:tc>
      </w:tr>
      <w:tr>
        <w:trPr>
          <w:trHeight w:val="371"/>
        </w:trPr>
        <w:tc>
          <w:tcPr>
            <w:tcW w:w="40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(172.7)</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(58.1)</w:t>
            </w:r>
          </w:p>
        </w:tc>
      </w:tr>
      <w:tr>
        <w:trPr>
          <w:trHeight w:val="382"/>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40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69"/>
        </w:trPr>
        <w:tc>
          <w:tcPr>
            <w:tcW w:w="4080" w:type="dxa"/>
            <w:vAlign w:val="bottom"/>
          </w:tcPr>
          <w:p>
            <w:pPr>
              <w:ind w:left="1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382"/>
        </w:trPr>
        <w:tc>
          <w:tcPr>
            <w:tcW w:w="40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(221.7)</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(98.8)</w:t>
            </w:r>
          </w:p>
        </w:tc>
      </w:tr>
      <w:tr>
        <w:trPr>
          <w:trHeight w:val="182"/>
        </w:trPr>
        <w:tc>
          <w:tcPr>
            <w:tcW w:w="408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520" w:type="dxa"/>
            <w:vAlign w:val="bottom"/>
          </w:tcPr>
          <w:p>
            <w:pPr>
              <w:ind w:left="220"/>
              <w:spacing w:after="0"/>
              <w:rPr>
                <w:sz w:val="20"/>
                <w:szCs w:val="20"/>
                <w:color w:val="auto"/>
              </w:rPr>
            </w:pPr>
            <w:r>
              <w:rPr>
                <w:rFonts w:ascii="Arial" w:cs="Arial" w:eastAsia="Arial" w:hAnsi="Arial"/>
                <w:sz w:val="14"/>
                <w:szCs w:val="14"/>
                <w:b w:val="1"/>
                <w:bCs w:val="1"/>
                <w:color w:val="auto"/>
              </w:rPr>
              <w:t>G</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72"/>
        </w:trPr>
        <w:tc>
          <w:tcPr>
            <w:tcW w:w="408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5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1">
            <w:col w:w="11280"/>
          </w:cols>
          <w:pgMar w:left="300" w:top="129" w:right="319" w:bottom="1440" w:gutter="0" w:footer="0" w:header="0"/>
        </w:sectPr>
      </w:pPr>
    </w:p>
    <w:tbl>
      <w:tblPr>
        <w:tblLayout w:type="fixed"/>
        <w:tblInd w:w="20" w:type="dxa"/>
        <w:tblCellMar>
          <w:top w:w="0" w:type="dxa"/>
          <w:left w:w="0" w:type="dxa"/>
          <w:bottom w:w="0" w:type="dxa"/>
          <w:right w:w="0" w:type="dxa"/>
        </w:tblCellMar>
      </w:tblPr>
      <w:tr>
        <w:trPr>
          <w:trHeight w:val="175"/>
        </w:trPr>
        <w:tc>
          <w:tcPr>
            <w:tcW w:w="3780" w:type="dxa"/>
            <w:vAlign w:val="bottom"/>
          </w:tcPr>
          <w:p>
            <w:pPr>
              <w:spacing w:after="0"/>
              <w:rPr>
                <w:sz w:val="20"/>
                <w:szCs w:val="20"/>
                <w:color w:val="auto"/>
              </w:rPr>
            </w:pPr>
            <w:r>
              <w:rPr>
                <w:rFonts w:ascii="Arial" w:cs="Arial" w:eastAsia="Arial" w:hAnsi="Arial"/>
                <w:sz w:val="14"/>
                <w:szCs w:val="14"/>
                <w:color w:val="auto"/>
              </w:rPr>
              <w:t>Net income (loss) per common share</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Basic</w:t>
            </w:r>
          </w:p>
        </w:tc>
        <w:tc>
          <w:tcPr>
            <w:tcW w:w="100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551"/>
              <w:spacing w:after="0"/>
              <w:rPr>
                <w:sz w:val="20"/>
                <w:szCs w:val="20"/>
                <w:color w:val="auto"/>
              </w:rPr>
            </w:pPr>
            <w:r>
              <w:rPr>
                <w:rFonts w:ascii="Arial" w:cs="Arial" w:eastAsia="Arial" w:hAnsi="Arial"/>
                <w:sz w:val="14"/>
                <w:szCs w:val="14"/>
                <w:color w:val="auto"/>
                <w:w w:val="92"/>
              </w:rPr>
              <w:t>(4.47)</w:t>
            </w: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Diluted</w:t>
            </w:r>
          </w:p>
        </w:tc>
        <w:tc>
          <w:tcPr>
            <w:tcW w:w="100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551"/>
              <w:spacing w:after="0"/>
              <w:rPr>
                <w:sz w:val="20"/>
                <w:szCs w:val="20"/>
                <w:color w:val="auto"/>
              </w:rPr>
            </w:pPr>
            <w:r>
              <w:rPr>
                <w:rFonts w:ascii="Arial" w:cs="Arial" w:eastAsia="Arial" w:hAnsi="Arial"/>
                <w:sz w:val="14"/>
                <w:szCs w:val="14"/>
                <w:color w:val="auto"/>
                <w:w w:val="92"/>
              </w:rPr>
              <w:t>(4.47)</w:t>
            </w:r>
          </w:p>
        </w:tc>
      </w:tr>
      <w:tr>
        <w:trPr>
          <w:trHeight w:val="382"/>
        </w:trPr>
        <w:tc>
          <w:tcPr>
            <w:tcW w:w="3780" w:type="dxa"/>
            <w:vAlign w:val="bottom"/>
          </w:tcPr>
          <w:p>
            <w:pPr>
              <w:spacing w:after="0"/>
              <w:rPr>
                <w:sz w:val="20"/>
                <w:szCs w:val="20"/>
                <w:color w:val="auto"/>
              </w:rPr>
            </w:pPr>
            <w:r>
              <w:rPr>
                <w:rFonts w:ascii="Arial" w:cs="Arial" w:eastAsia="Arial" w:hAnsi="Arial"/>
                <w:sz w:val="14"/>
                <w:szCs w:val="14"/>
                <w:color w:val="auto"/>
                <w:w w:val="95"/>
              </w:rPr>
              <w:t>Shares used in computing net income (loss) per common share</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Basic</w:t>
            </w:r>
          </w:p>
        </w:tc>
        <w:tc>
          <w:tcPr>
            <w:tcW w:w="1000" w:type="dxa"/>
            <w:vAlign w:val="bottom"/>
          </w:tcPr>
          <w:p>
            <w:pPr>
              <w:spacing w:after="0"/>
              <w:rPr>
                <w:sz w:val="15"/>
                <w:szCs w:val="15"/>
                <w:color w:val="auto"/>
              </w:rPr>
            </w:pPr>
          </w:p>
        </w:tc>
        <w:tc>
          <w:tcPr>
            <w:tcW w:w="960" w:type="dxa"/>
            <w:vAlign w:val="bottom"/>
          </w:tcPr>
          <w:p>
            <w:pPr>
              <w:jc w:val="center"/>
              <w:ind w:left="571"/>
              <w:spacing w:after="0"/>
              <w:rPr>
                <w:sz w:val="20"/>
                <w:szCs w:val="20"/>
                <w:color w:val="auto"/>
              </w:rPr>
            </w:pPr>
            <w:r>
              <w:rPr>
                <w:rFonts w:ascii="Arial" w:cs="Arial" w:eastAsia="Arial" w:hAnsi="Arial"/>
                <w:sz w:val="14"/>
                <w:szCs w:val="14"/>
                <w:color w:val="auto"/>
                <w:w w:val="87"/>
              </w:rPr>
              <w:t>50.1</w:t>
            </w:r>
          </w:p>
        </w:tc>
      </w:tr>
      <w:tr>
        <w:trPr>
          <w:trHeight w:val="180"/>
        </w:trPr>
        <w:tc>
          <w:tcPr>
            <w:tcW w:w="3780" w:type="dxa"/>
            <w:vAlign w:val="bottom"/>
          </w:tcPr>
          <w:p>
            <w:pPr>
              <w:ind w:left="60"/>
              <w:spacing w:after="0"/>
              <w:rPr>
                <w:sz w:val="20"/>
                <w:szCs w:val="20"/>
                <w:color w:val="auto"/>
              </w:rPr>
            </w:pPr>
            <w:r>
              <w:rPr>
                <w:rFonts w:ascii="Arial" w:cs="Arial" w:eastAsia="Arial" w:hAnsi="Arial"/>
                <w:sz w:val="14"/>
                <w:szCs w:val="14"/>
                <w:color w:val="auto"/>
              </w:rPr>
              <w:t>Diluted</w:t>
            </w:r>
          </w:p>
        </w:tc>
        <w:tc>
          <w:tcPr>
            <w:tcW w:w="1000" w:type="dxa"/>
            <w:vAlign w:val="bottom"/>
          </w:tcPr>
          <w:p>
            <w:pPr>
              <w:spacing w:after="0"/>
              <w:rPr>
                <w:sz w:val="15"/>
                <w:szCs w:val="15"/>
                <w:color w:val="auto"/>
              </w:rPr>
            </w:pPr>
          </w:p>
        </w:tc>
        <w:tc>
          <w:tcPr>
            <w:tcW w:w="960" w:type="dxa"/>
            <w:vAlign w:val="bottom"/>
          </w:tcPr>
          <w:p>
            <w:pPr>
              <w:jc w:val="center"/>
              <w:ind w:left="571"/>
              <w:spacing w:after="0"/>
              <w:rPr>
                <w:sz w:val="20"/>
                <w:szCs w:val="20"/>
                <w:color w:val="auto"/>
              </w:rPr>
            </w:pPr>
            <w:r>
              <w:rPr>
                <w:rFonts w:ascii="Arial" w:cs="Arial" w:eastAsia="Arial" w:hAnsi="Arial"/>
                <w:sz w:val="14"/>
                <w:szCs w:val="14"/>
                <w:color w:val="auto"/>
                <w:w w:val="87"/>
              </w:rPr>
              <w:t>50.1</w:t>
            </w:r>
          </w:p>
        </w:tc>
      </w:tr>
    </w:tbl>
    <w:p>
      <w:pPr>
        <w:spacing w:after="0" w:line="183" w:lineRule="exact"/>
        <w:rPr>
          <w:sz w:val="20"/>
          <w:szCs w:val="20"/>
          <w:color w:val="auto"/>
        </w:rPr>
      </w:pPr>
    </w:p>
    <w:p>
      <w:pPr>
        <w:jc w:val="right"/>
        <w:ind w:right="133"/>
        <w:spacing w:after="0"/>
        <w:rPr>
          <w:sz w:val="20"/>
          <w:szCs w:val="20"/>
          <w:color w:val="auto"/>
        </w:rPr>
      </w:pPr>
      <w:r>
        <w:rPr>
          <w:rFonts w:ascii="Arial" w:cs="Arial" w:eastAsia="Arial" w:hAnsi="Arial"/>
          <w:sz w:val="14"/>
          <w:szCs w:val="14"/>
          <w:i w:val="1"/>
          <w:iCs w:val="1"/>
          <w:color w:val="auto"/>
        </w:rPr>
        <w:t>The accompanying notes are an integral part of these unaudited pro forma consolidated financial statements.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327" w:hanging="1327"/>
        <w:spacing w:after="0"/>
        <w:tabs>
          <w:tab w:leader="none" w:pos="1327" w:val="left"/>
        </w:tabs>
        <w:numPr>
          <w:ilvl w:val="0"/>
          <w:numId w:val="8"/>
        </w:numPr>
        <w:rPr>
          <w:rFonts w:ascii="Arial" w:cs="Arial" w:eastAsia="Arial" w:hAnsi="Arial"/>
          <w:sz w:val="13"/>
          <w:szCs w:val="13"/>
          <w:color w:val="auto"/>
        </w:rPr>
      </w:pPr>
      <w:r>
        <w:rPr>
          <w:rFonts w:ascii="Arial" w:cs="Arial" w:eastAsia="Arial" w:hAnsi="Arial"/>
          <w:sz w:val="13"/>
          <w:szCs w:val="13"/>
          <w:color w:val="auto"/>
        </w:rPr>
        <w:t>(1.92)</w:t>
      </w:r>
    </w:p>
    <w:p>
      <w:pPr>
        <w:spacing w:after="0" w:line="31" w:lineRule="exact"/>
        <w:rPr>
          <w:sz w:val="20"/>
          <w:szCs w:val="20"/>
          <w:color w:val="auto"/>
        </w:rPr>
      </w:pPr>
    </w:p>
    <w:p>
      <w:pPr>
        <w:ind w:left="1327" w:hanging="1327"/>
        <w:spacing w:after="0"/>
        <w:tabs>
          <w:tab w:leader="none" w:pos="1327" w:val="left"/>
        </w:tabs>
        <w:numPr>
          <w:ilvl w:val="0"/>
          <w:numId w:val="9"/>
        </w:numPr>
        <w:rPr>
          <w:rFonts w:ascii="Arial" w:cs="Arial" w:eastAsia="Arial" w:hAnsi="Arial"/>
          <w:sz w:val="13"/>
          <w:szCs w:val="13"/>
          <w:color w:val="auto"/>
        </w:rPr>
      </w:pPr>
      <w:r>
        <w:rPr>
          <w:rFonts w:ascii="Arial" w:cs="Arial" w:eastAsia="Arial" w:hAnsi="Arial"/>
          <w:sz w:val="13"/>
          <w:szCs w:val="13"/>
          <w:color w:val="auto"/>
        </w:rPr>
        <w:t>(1.92)</w:t>
      </w:r>
    </w:p>
    <w:p>
      <w:pPr>
        <w:spacing w:after="0" w:line="200" w:lineRule="exact"/>
        <w:rPr>
          <w:sz w:val="20"/>
          <w:szCs w:val="20"/>
          <w:color w:val="auto"/>
        </w:rPr>
      </w:pPr>
    </w:p>
    <w:p>
      <w:pPr>
        <w:spacing w:after="0" w:line="213" w:lineRule="exact"/>
        <w:rPr>
          <w:sz w:val="20"/>
          <w:szCs w:val="20"/>
          <w:color w:val="auto"/>
        </w:rPr>
      </w:pPr>
    </w:p>
    <w:p>
      <w:pPr>
        <w:ind w:left="1387"/>
        <w:spacing w:after="0"/>
        <w:rPr>
          <w:sz w:val="20"/>
          <w:szCs w:val="20"/>
          <w:color w:val="auto"/>
        </w:rPr>
      </w:pPr>
      <w:r>
        <w:rPr>
          <w:rFonts w:ascii="Arial" w:cs="Arial" w:eastAsia="Arial" w:hAnsi="Arial"/>
          <w:sz w:val="14"/>
          <w:szCs w:val="14"/>
          <w:color w:val="auto"/>
        </w:rPr>
        <w:t>50.1</w:t>
      </w:r>
    </w:p>
    <w:p>
      <w:pPr>
        <w:spacing w:after="0" w:line="19" w:lineRule="exact"/>
        <w:rPr>
          <w:sz w:val="20"/>
          <w:szCs w:val="20"/>
          <w:color w:val="auto"/>
        </w:rPr>
      </w:pPr>
    </w:p>
    <w:p>
      <w:pPr>
        <w:ind w:left="1387"/>
        <w:spacing w:after="0"/>
        <w:rPr>
          <w:sz w:val="20"/>
          <w:szCs w:val="20"/>
          <w:color w:val="auto"/>
        </w:rPr>
      </w:pPr>
      <w:r>
        <w:rPr>
          <w:rFonts w:ascii="Arial" w:cs="Arial" w:eastAsia="Arial" w:hAnsi="Arial"/>
          <w:sz w:val="14"/>
          <w:szCs w:val="14"/>
          <w:color w:val="auto"/>
        </w:rPr>
        <w:t>50.1</w:t>
      </w:r>
    </w:p>
    <w:p>
      <w:pPr>
        <w:sectPr>
          <w:pgSz w:w="11900" w:h="16838" w:orient="portrait"/>
          <w:cols w:equalWidth="0" w:num="2">
            <w:col w:w="8873" w:space="720"/>
            <w:col w:w="1687"/>
          </w:cols>
          <w:pgMar w:left="300" w:top="12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19415E"/>
        </w:rPr>
        <w:t>NOTES TO UNAUDITED PRO FORMA CONDENSED CONSOLIDATED FINANCIAL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(unaudited, dollar amounts in tables in millions)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19415E"/>
        </w:rPr>
        <w:t>Note 1. Basis of Presentation</w:t>
      </w:r>
    </w:p>
    <w:p>
      <w:pPr>
        <w:spacing w:after="0" w:line="131"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4"/>
          <w:szCs w:val="14"/>
          <w:color w:val="auto"/>
        </w:rPr>
        <w:t>The Company’s unaudited pro forma condensed consolidated financial information has been compiled from underlying financial statements prepared pursuant to the rules and regulations of the U.S. Securities and Exchange Commission (the “SEC”) and in conformity with accounting principles generally accepted in the United States of America (“U.S. GAAP”). They reflect the completed travel health business disposition, including the receipt of $270.0 million of cash consideration, adjusted for working capital and other certain closing adjustments. The unaudited pro forma condensed consolidated financial information should be read in conjunction with:</w:t>
      </w:r>
    </w:p>
    <w:p>
      <w:pPr>
        <w:spacing w:after="0" w:line="84"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accompanying notes to the unaudited pro forma condensed consolidated financial statements;</w:t>
      </w:r>
    </w:p>
    <w:p>
      <w:pPr>
        <w:spacing w:after="0" w:line="38" w:lineRule="exact"/>
        <w:rPr>
          <w:rFonts w:ascii="Arial" w:cs="Arial" w:eastAsia="Arial" w:hAnsi="Arial"/>
          <w:sz w:val="16"/>
          <w:szCs w:val="16"/>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unaudited condensed consolidated financial statements included in the Company’s Quarterly Report on Form 10-Q for the period ended March 31, 2023;</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s audited consolidated financial statements included in the Company’s Annual Report on Form 10-K for the year ended December 31, 2022; and</w:t>
      </w:r>
    </w:p>
    <w:p>
      <w:pPr>
        <w:spacing w:after="0" w:line="61" w:lineRule="exact"/>
        <w:rPr>
          <w:rFonts w:ascii="Arial" w:cs="Arial" w:eastAsia="Arial" w:hAnsi="Arial"/>
          <w:sz w:val="14"/>
          <w:szCs w:val="14"/>
          <w:color w:val="auto"/>
        </w:rPr>
      </w:pPr>
    </w:p>
    <w:p>
      <w:pPr>
        <w:jc w:val="both"/>
        <w:ind w:left="520" w:right="20" w:hanging="260"/>
        <w:spacing w:after="0" w:line="257"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risks described under "Cautionary Note Regarding Forward-Looking Statements" and under "Risk Factors" in the Company’s Annual Report on Form 10-K for the year ended December 31, 2022 and any updates to those risk or new risks contained in the Company’s subsequent Quarterly Reports on Form 10-Q and Current Reports on Form 8-K filed with the SEC.</w:t>
      </w:r>
    </w:p>
    <w:p>
      <w:pPr>
        <w:spacing w:after="0" w:line="99" w:lineRule="exact"/>
        <w:rPr>
          <w:sz w:val="20"/>
          <w:szCs w:val="20"/>
          <w:color w:val="auto"/>
        </w:rPr>
      </w:pPr>
    </w:p>
    <w:p>
      <w:pPr>
        <w:ind w:right="40" w:firstLine="255"/>
        <w:spacing w:after="0" w:line="265" w:lineRule="auto"/>
        <w:rPr>
          <w:sz w:val="20"/>
          <w:szCs w:val="20"/>
          <w:color w:val="auto"/>
        </w:rPr>
      </w:pPr>
      <w:r>
        <w:rPr>
          <w:rFonts w:ascii="Arial" w:cs="Arial" w:eastAsia="Arial" w:hAnsi="Arial"/>
          <w:sz w:val="16"/>
          <w:szCs w:val="16"/>
          <w:color w:val="auto"/>
        </w:rPr>
        <w:t>These unaudited pro forma condensed consolidated financial statements do not purport to be indicative of the financial position or results of earnings of the Company as of such date or for such periods, nor are they necessarily indicative of future results.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19415E"/>
        </w:rPr>
        <w:t>Note 2. Pro Forma Adjustments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notes to the unaudited pro forma financial information as of March 31, 2023 and December 31, 2022:</w:t>
      </w:r>
    </w:p>
    <w:p>
      <w:pPr>
        <w:spacing w:after="0" w:line="187" w:lineRule="exact"/>
        <w:rPr>
          <w:sz w:val="20"/>
          <w:szCs w:val="20"/>
          <w:color w:val="auto"/>
        </w:rPr>
      </w:pPr>
    </w:p>
    <w:p>
      <w:pPr>
        <w:ind w:firstLine="5"/>
        <w:spacing w:after="0" w:line="265" w:lineRule="auto"/>
        <w:tabs>
          <w:tab w:leader="none" w:pos="259"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Reflects amounts as originally reported by the Company in its Annual Report on Form 10-K for the year ended December 31, 2022 and the Quarterly Report on Form 10-Q for the quarter ended March 31, 2023.</w:t>
      </w:r>
    </w:p>
    <w:p>
      <w:pPr>
        <w:spacing w:after="0" w:line="156" w:lineRule="exact"/>
        <w:rPr>
          <w:rFonts w:ascii="Arial" w:cs="Arial" w:eastAsia="Arial" w:hAnsi="Arial"/>
          <w:sz w:val="16"/>
          <w:szCs w:val="16"/>
          <w:b w:val="1"/>
          <w:bCs w:val="1"/>
          <w:color w:val="auto"/>
        </w:rPr>
      </w:pPr>
    </w:p>
    <w:p>
      <w:pPr>
        <w:ind w:firstLine="5"/>
        <w:spacing w:after="0" w:line="265" w:lineRule="auto"/>
        <w:tabs>
          <w:tab w:leader="none" w:pos="248"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Represents the operations, assets, liabilities and equity of Travel Health included within the Company’s consolidated financial statements as well as the impact of the removal of the Travel Health business on the effective tax rate.</w:t>
      </w:r>
    </w:p>
    <w:p>
      <w:pPr>
        <w:spacing w:after="0" w:line="156" w:lineRule="exact"/>
        <w:rPr>
          <w:rFonts w:ascii="Arial" w:cs="Arial" w:eastAsia="Arial" w:hAnsi="Arial"/>
          <w:sz w:val="16"/>
          <w:szCs w:val="16"/>
          <w:b w:val="1"/>
          <w:bCs w:val="1"/>
          <w:color w:val="auto"/>
        </w:rPr>
      </w:pPr>
    </w:p>
    <w:p>
      <w:pPr>
        <w:ind w:left="260" w:hanging="255"/>
        <w:spacing w:after="0"/>
        <w:tabs>
          <w:tab w:leader="none" w:pos="2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Adjustment reflects the expected pay down of the Revolving Credit Facility with cash proceeds from the sale of the Travel Health business, net of estimated transaction costs:</w:t>
      </w:r>
    </w:p>
    <w:p>
      <w:pPr>
        <w:spacing w:after="0" w:line="106" w:lineRule="exact"/>
        <w:rPr>
          <w:sz w:val="20"/>
          <w:szCs w:val="20"/>
          <w:color w:val="auto"/>
        </w:rPr>
      </w:pPr>
    </w:p>
    <w:tbl>
      <w:tblPr>
        <w:tblLayout w:type="fixed"/>
        <w:tblInd w:w="1000" w:type="dxa"/>
        <w:tblCellMar>
          <w:top w:w="0" w:type="dxa"/>
          <w:left w:w="0" w:type="dxa"/>
          <w:bottom w:w="0" w:type="dxa"/>
          <w:right w:w="0" w:type="dxa"/>
        </w:tblCellMar>
      </w:tblPr>
      <w:tr>
        <w:trPr>
          <w:trHeight w:val="212"/>
        </w:trPr>
        <w:tc>
          <w:tcPr>
            <w:tcW w:w="6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proceeds from sale of Travel Health</w:t>
            </w:r>
          </w:p>
        </w:tc>
        <w:tc>
          <w:tcPr>
            <w:tcW w:w="116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270.0</w:t>
            </w:r>
          </w:p>
        </w:tc>
      </w:tr>
      <w:tr>
        <w:trPr>
          <w:trHeight w:val="214"/>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Transaction costs</w:t>
            </w: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2"/>
        </w:trPr>
        <w:tc>
          <w:tcPr>
            <w:tcW w:w="66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Net proceeds used to pay down debt</w:t>
            </w:r>
          </w:p>
        </w:tc>
        <w:tc>
          <w:tcPr>
            <w:tcW w:w="116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266.0</w:t>
            </w:r>
          </w:p>
        </w:tc>
      </w:tr>
    </w:tbl>
    <w:p>
      <w:pPr>
        <w:spacing w:after="0" w:line="25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is entitled to contingent consideration from the sale tied to certain earn-out and milestone payments in future periods. The Company accounts for this contingent consideration using the loss recovery method and, as such, the $270.0 million of total proceeds excludes any potential contingent consideration.</w:t>
      </w:r>
    </w:p>
    <w:p>
      <w:pPr>
        <w:sectPr>
          <w:pgSz w:w="11900" w:h="16838" w:orient="portrait"/>
          <w:cols w:equalWidth="0" w:num="1">
            <w:col w:w="11280"/>
          </w:cols>
          <w:pgMar w:left="300" w:top="129"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19415E"/>
        </w:rPr>
        <w:t>NOTES TO UNAUDITED PRO FORMA CONDENSED CONSOLIDATED FINANCIAL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19415E"/>
        </w:rPr>
        <w:t>(unaudited, dollar amounts in tables 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hanging="255"/>
        <w:spacing w:after="0"/>
        <w:tabs>
          <w:tab w:leader="none" w:pos="2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Adjustment reflects the pro forma gain of $78.0 million ($62.0 million net of tax) arising from the transaction as if it had occurred as of March 31, 2023:</w:t>
      </w:r>
    </w:p>
    <w:p>
      <w:pPr>
        <w:spacing w:after="0" w:line="83" w:lineRule="exact"/>
        <w:rPr>
          <w:sz w:val="20"/>
          <w:szCs w:val="20"/>
          <w:color w:val="auto"/>
        </w:rPr>
      </w:pPr>
    </w:p>
    <w:tbl>
      <w:tblPr>
        <w:tblLayout w:type="fixed"/>
        <w:tblInd w:w="980" w:type="dxa"/>
        <w:tblCellMar>
          <w:top w:w="0" w:type="dxa"/>
          <w:left w:w="0" w:type="dxa"/>
          <w:bottom w:w="0" w:type="dxa"/>
          <w:right w:w="0" w:type="dxa"/>
        </w:tblCellMar>
      </w:tblPr>
      <w:tr>
        <w:trPr>
          <w:trHeight w:val="212"/>
        </w:trPr>
        <w:tc>
          <w:tcPr>
            <w:tcW w:w="3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proceeds from sale of Travel Health</w:t>
            </w:r>
          </w:p>
        </w:tc>
        <w:tc>
          <w:tcPr>
            <w:tcW w:w="4020" w:type="dxa"/>
            <w:vAlign w:val="bottom"/>
            <w:gridSpan w:val="2"/>
            <w:shd w:val="clear" w:color="auto" w:fill="DBDBDB"/>
          </w:tcPr>
          <w:p>
            <w:pPr>
              <w:jc w:val="right"/>
              <w:ind w:right="10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270.0</w:t>
            </w:r>
          </w:p>
        </w:tc>
      </w:tr>
      <w:tr>
        <w:trPr>
          <w:trHeight w:val="209"/>
        </w:trPr>
        <w:tc>
          <w:tcPr>
            <w:tcW w:w="3760" w:type="dxa"/>
            <w:vAlign w:val="bottom"/>
          </w:tcPr>
          <w:p>
            <w:pPr>
              <w:ind w:left="20"/>
              <w:spacing w:after="0"/>
              <w:rPr>
                <w:sz w:val="20"/>
                <w:szCs w:val="20"/>
                <w:color w:val="auto"/>
              </w:rPr>
            </w:pPr>
            <w:r>
              <w:rPr>
                <w:rFonts w:ascii="Arial" w:cs="Arial" w:eastAsia="Arial" w:hAnsi="Arial"/>
                <w:sz w:val="16"/>
                <w:szCs w:val="16"/>
                <w:color w:val="auto"/>
              </w:rPr>
              <w:t>Less: Carrying value of Travel Health</w:t>
            </w: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26"/>
        </w:trPr>
        <w:tc>
          <w:tcPr>
            <w:tcW w:w="3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Transaction costs</w:t>
            </w:r>
          </w:p>
        </w:tc>
        <w:tc>
          <w:tcPr>
            <w:tcW w:w="2840" w:type="dxa"/>
            <w:vAlign w:val="bottom"/>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r>
      <w:tr>
        <w:trPr>
          <w:trHeight w:val="199"/>
        </w:trPr>
        <w:tc>
          <w:tcPr>
            <w:tcW w:w="376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Pro forma gain before tax</w:t>
            </w: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26"/>
        </w:trPr>
        <w:tc>
          <w:tcPr>
            <w:tcW w:w="3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provision</w:t>
            </w:r>
          </w:p>
        </w:tc>
        <w:tc>
          <w:tcPr>
            <w:tcW w:w="2840" w:type="dxa"/>
            <w:vAlign w:val="bottom"/>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w:t>
            </w:r>
          </w:p>
        </w:tc>
      </w:tr>
      <w:tr>
        <w:trPr>
          <w:trHeight w:val="199"/>
        </w:trPr>
        <w:tc>
          <w:tcPr>
            <w:tcW w:w="376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Pro forma net gain after tax</w:t>
            </w: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r>
    </w:tbl>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amount of the actual gain and related tax effect will be calculated based on the net book value of the sold business as of the closing of the transaction and therefore, could differ from the current estimate. See footnote (G) regarding the basis for the income tax effect.</w:t>
      </w:r>
    </w:p>
    <w:p>
      <w:pPr>
        <w:spacing w:after="0" w:line="177" w:lineRule="exact"/>
        <w:rPr>
          <w:sz w:val="20"/>
          <w:szCs w:val="20"/>
          <w:color w:val="auto"/>
        </w:rPr>
      </w:pPr>
    </w:p>
    <w:p>
      <w:pPr>
        <w:ind w:left="240" w:hanging="235"/>
        <w:spacing w:after="0"/>
        <w:tabs>
          <w:tab w:leader="none" w:pos="2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Adjustment reflects $4.0 million of transaction expenses incurred related to the sale of Travel Health.</w:t>
      </w:r>
    </w:p>
    <w:p>
      <w:pPr>
        <w:spacing w:after="0" w:line="197" w:lineRule="exact"/>
        <w:rPr>
          <w:rFonts w:ascii="Arial" w:cs="Arial" w:eastAsia="Arial" w:hAnsi="Arial"/>
          <w:sz w:val="16"/>
          <w:szCs w:val="16"/>
          <w:b w:val="1"/>
          <w:bCs w:val="1"/>
          <w:color w:val="auto"/>
        </w:rPr>
      </w:pPr>
    </w:p>
    <w:p>
      <w:pPr>
        <w:ind w:firstLine="5"/>
        <w:spacing w:after="0" w:line="251" w:lineRule="auto"/>
        <w:tabs>
          <w:tab w:leader="none" w:pos="252"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Adjustment reflects the reduction of $8.1 million and $4.2 million of interest expense for the year ending December 31, 2022 and three months ending March 31, 2023, respectively, as a result of the expected pay down of the Revolving Credit Facility.</w:t>
      </w:r>
    </w:p>
    <w:p>
      <w:pPr>
        <w:spacing w:after="0" w:line="177" w:lineRule="exact"/>
        <w:rPr>
          <w:rFonts w:ascii="Arial" w:cs="Arial" w:eastAsia="Arial" w:hAnsi="Arial"/>
          <w:sz w:val="16"/>
          <w:szCs w:val="16"/>
          <w:b w:val="1"/>
          <w:bCs w:val="1"/>
          <w:color w:val="auto"/>
        </w:rPr>
      </w:pPr>
    </w:p>
    <w:p>
      <w:pPr>
        <w:jc w:val="both"/>
        <w:ind w:firstLine="5"/>
        <w:spacing w:after="0" w:line="250" w:lineRule="auto"/>
        <w:tabs>
          <w:tab w:leader="none" w:pos="283"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Adjustment reflects the estimated income tax effect of the pro forma adjustments at the US statutory rate. Management believes the statutory rate is a reasonable basis to estimate the tax adjustments necessary for the pro forma. Management understands the effect rate may differ from estimates when producing actual operating results. Note that the tax effect of adjustments for the three months ended March 31, 2023 is inconsequential.</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upperLetter"/>
      <w:start w:val="1"/>
    </w:lvl>
  </w:abstractNum>
  <w:abstractNum w:abstractNumId="11">
    <w:nsid w:val="140E0F76"/>
    <w:multiLevelType w:val="hybridMultilevel"/>
    <w:lvl w:ilvl="0">
      <w:lvlJc w:val="left"/>
      <w:lvlText w:val="(%1)"/>
      <w:numFmt w:val="upperLetter"/>
      <w:start w:val="4"/>
    </w:lvl>
  </w:abstractNum>
  <w:abstractNum w:abstractNumId="12">
    <w:nsid w:val="3352255A"/>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2023-05-15T07:09:06Z</dcterms:created>
  <dcterms:modified xsi:type="dcterms:W3CDTF">2023-05-15T07:09:06Z</dcterms:modified>
</cp:coreProperties>
</file>