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504"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3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760" w:type="dxa"/>
            <w:vAlign w:val="bottom"/>
          </w:tcPr>
          <w:p>
            <w:pPr>
              <w:jc w:val="right"/>
              <w:ind w:right="604"/>
              <w:spacing w:after="0"/>
              <w:rPr>
                <w:sz w:val="20"/>
                <w:szCs w:val="20"/>
                <w:color w:val="auto"/>
              </w:rPr>
            </w:pPr>
            <w:r>
              <w:rPr>
                <w:rFonts w:ascii="Arial" w:cs="Arial" w:eastAsia="Arial" w:hAnsi="Arial"/>
                <w:sz w:val="17"/>
                <w:szCs w:val="17"/>
                <w:color w:val="0000FF"/>
              </w:rPr>
              <w:t>20879</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0" w:type="dxa"/>
            <w:vAlign w:val="bottom"/>
            <w:gridSpan w:val="5"/>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52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jc w:val="center"/>
              <w:ind w:left="10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04/08/2020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13,000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60.75</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1,413,470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04/08/2020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24,362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61.34</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1,389,108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04/09/2020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23,716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61.83</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1,365,392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(6)</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Intervac,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(7)</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Biovac,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-2563495</wp:posOffset>
            </wp:positionV>
            <wp:extent cx="7031355" cy="4340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34086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was made by the Reporting Person pursuant to a trading plan adopted by Fuad El-Hibri Nancy El-Hibri JTWROS on February 25, 2020 that is intended to comply with Rule 10b5-1(c) under the Securities Exchange Act of 1934 ("Rule 10b5-1(c)").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$60.00 to $62.10.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were made by the Reporting Person pursuant to a trading plan adopted by the Reporting Person on February 25, 2020 that is intended to comply with Rule 10b5-1(c).</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$60.00 to $62.94.</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$60.71 to $63.98.</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A. Valenstein,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04/10/2020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2020-04-10T18:14:41Z</dcterms:created>
  <dcterms:modified xsi:type="dcterms:W3CDTF">2020-04-10T18:14:41Z</dcterms:modified>
</cp:coreProperties>
</file>