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4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SCHEDULE 13G</w:t>
      </w:r>
    </w:p>
    <w:p>
      <w:pPr>
        <w:spacing w:after="0" w:line="25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2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(Amendment No.  )*</w:t>
      </w:r>
    </w:p>
    <w:p>
      <w:pPr>
        <w:spacing w:after="0" w:line="200" w:lineRule="exact"/>
        <w:rPr>
          <w:sz w:val="24"/>
          <w:szCs w:val="24"/>
          <w:color w:val="auto"/>
        </w:rPr>
      </w:pPr>
    </w:p>
    <w:p>
      <w:pPr>
        <w:spacing w:after="0" w:line="26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7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(Name of Issuer)</w:t>
      </w:r>
    </w:p>
    <w:p>
      <w:pPr>
        <w:spacing w:after="0" w:line="200" w:lineRule="exact"/>
        <w:rPr>
          <w:sz w:val="24"/>
          <w:szCs w:val="24"/>
          <w:color w:val="auto"/>
        </w:rPr>
      </w:pPr>
    </w:p>
    <w:p>
      <w:pPr>
        <w:spacing w:after="0" w:line="28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7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200" w:lineRule="exact"/>
        <w:rPr>
          <w:sz w:val="24"/>
          <w:szCs w:val="24"/>
          <w:color w:val="auto"/>
        </w:rPr>
      </w:pPr>
    </w:p>
    <w:p>
      <w:pPr>
        <w:spacing w:after="0" w:line="28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29089Q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7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(CUSIP Number)</w:t>
      </w:r>
    </w:p>
    <w:p>
      <w:pPr>
        <w:spacing w:after="0" w:line="24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November 14,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7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designate the rule pursuant to which this Schedule is filed:</w:t>
      </w:r>
    </w:p>
    <w:p>
      <w:pPr>
        <w:spacing w:after="0" w:line="24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o Rule 13d - 1(b)</w:t>
      </w:r>
    </w:p>
    <w:p>
      <w:pPr>
        <w:spacing w:after="0" w:line="2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o Rule 13d - 1(c)</w:t>
      </w:r>
    </w:p>
    <w:p>
      <w:pPr>
        <w:spacing w:after="0" w:line="3" w:lineRule="exact"/>
        <w:rPr>
          <w:sz w:val="24"/>
          <w:szCs w:val="24"/>
          <w:color w:val="auto"/>
        </w:rPr>
      </w:pPr>
    </w:p>
    <w:p>
      <w:pPr>
        <w:ind w:left="3820" w:hanging="184"/>
        <w:spacing w:after="0"/>
        <w:tabs>
          <w:tab w:leader="none" w:pos="3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13d - 1(d)</w:t>
      </w:r>
    </w:p>
    <w:p>
      <w:pPr>
        <w:spacing w:after="0" w:line="234" w:lineRule="exact"/>
        <w:rPr>
          <w:sz w:val="24"/>
          <w:szCs w:val="24"/>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2"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190500</wp:posOffset>
            </wp:positionV>
            <wp:extent cx="726757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120"/>
          </w:cols>
          <w:pgMar w:left="240" w:top="432"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75"/>
        </w:trPr>
        <w:tc>
          <w:tcPr>
            <w:tcW w:w="500" w:type="dxa"/>
            <w:vAlign w:val="bottom"/>
            <w:tcBorders>
              <w:top w:val="single" w:sz="8" w:color="auto"/>
              <w:left w:val="single" w:sz="8" w:color="auto"/>
              <w:bottom w:val="single" w:sz="8" w:color="auto"/>
            </w:tcBorders>
          </w:tcPr>
          <w:p>
            <w:pPr>
              <w:spacing w:after="0"/>
              <w:rPr>
                <w:sz w:val="23"/>
                <w:szCs w:val="23"/>
                <w:color w:val="auto"/>
              </w:rPr>
            </w:pPr>
          </w:p>
        </w:tc>
        <w:tc>
          <w:tcPr>
            <w:tcW w:w="2680" w:type="dxa"/>
            <w:vAlign w:val="bottom"/>
            <w:tcBorders>
              <w:top w:val="single" w:sz="8" w:color="auto"/>
              <w:bottom w:val="single" w:sz="8" w:color="auto"/>
            </w:tcBorders>
            <w:gridSpan w:val="3"/>
          </w:tcPr>
          <w:p>
            <w:pPr>
              <w:jc w:val="right"/>
              <w:ind w:right="384"/>
              <w:spacing w:after="0"/>
              <w:rPr>
                <w:sz w:val="20"/>
                <w:szCs w:val="20"/>
                <w:color w:val="auto"/>
              </w:rPr>
            </w:pPr>
            <w:r>
              <w:rPr>
                <w:rFonts w:ascii="Times New Roman" w:cs="Times New Roman" w:eastAsia="Times New Roman" w:hAnsi="Times New Roman"/>
                <w:sz w:val="19"/>
                <w:szCs w:val="19"/>
                <w:color w:val="auto"/>
              </w:rPr>
              <w:t xml:space="preserve">CUSIP No. </w:t>
            </w:r>
            <w:r>
              <w:rPr>
                <w:rFonts w:ascii="Times New Roman" w:cs="Times New Roman" w:eastAsia="Times New Roman" w:hAnsi="Times New Roman"/>
                <w:sz w:val="15"/>
                <w:szCs w:val="15"/>
                <w:b w:val="1"/>
                <w:bCs w:val="1"/>
                <w:color w:val="auto"/>
              </w:rPr>
              <w:t>29089Q 10 5</w:t>
            </w:r>
          </w:p>
        </w:tc>
        <w:tc>
          <w:tcPr>
            <w:tcW w:w="460" w:type="dxa"/>
            <w:vAlign w:val="bottom"/>
            <w:tcBorders>
              <w:top w:val="single" w:sz="8" w:color="auto"/>
              <w:bottom w:val="single" w:sz="8" w:color="auto"/>
              <w:right w:val="single" w:sz="8" w:color="auto"/>
            </w:tcBorders>
          </w:tcPr>
          <w:p>
            <w:pPr>
              <w:spacing w:after="0"/>
              <w:rPr>
                <w:sz w:val="23"/>
                <w:szCs w:val="23"/>
                <w:color w:val="auto"/>
              </w:rPr>
            </w:pPr>
          </w:p>
        </w:tc>
        <w:tc>
          <w:tcPr>
            <w:tcW w:w="306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9"/>
                <w:szCs w:val="19"/>
                <w:b w:val="1"/>
                <w:bCs w:val="1"/>
                <w:color w:val="auto"/>
              </w:rPr>
              <w:t>13G</w:t>
            </w:r>
          </w:p>
        </w:tc>
        <w:tc>
          <w:tcPr>
            <w:tcW w:w="920" w:type="dxa"/>
            <w:vAlign w:val="bottom"/>
            <w:tcBorders>
              <w:top w:val="single" w:sz="8" w:color="auto"/>
              <w:bottom w:val="single" w:sz="8" w:color="auto"/>
            </w:tcBorders>
          </w:tcPr>
          <w:p>
            <w:pPr>
              <w:spacing w:after="0"/>
              <w:rPr>
                <w:sz w:val="23"/>
                <w:szCs w:val="23"/>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9"/>
                <w:szCs w:val="19"/>
                <w:color w:val="auto"/>
              </w:rPr>
              <w:t>Page 2 of 5 pages</w:t>
            </w:r>
          </w:p>
        </w:tc>
        <w:tc>
          <w:tcPr>
            <w:tcW w:w="0" w:type="dxa"/>
            <w:vAlign w:val="bottom"/>
          </w:tcPr>
          <w:p>
            <w:pPr>
              <w:spacing w:after="0"/>
              <w:rPr>
                <w:sz w:val="1"/>
                <w:szCs w:val="1"/>
                <w:color w:val="auto"/>
              </w:rPr>
            </w:pPr>
          </w:p>
        </w:tc>
      </w:tr>
      <w:tr>
        <w:trPr>
          <w:trHeight w:val="219"/>
        </w:trPr>
        <w:tc>
          <w:tcPr>
            <w:tcW w:w="5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ind w:left="120"/>
              <w:spacing w:after="0" w:line="175" w:lineRule="exact"/>
              <w:rPr>
                <w:sz w:val="20"/>
                <w:szCs w:val="20"/>
                <w:color w:val="auto"/>
              </w:rPr>
            </w:pPr>
            <w:r>
              <w:rPr>
                <w:rFonts w:ascii="Times New Roman" w:cs="Times New Roman" w:eastAsia="Times New Roman" w:hAnsi="Times New Roman"/>
                <w:sz w:val="19"/>
                <w:szCs w:val="19"/>
                <w:b w:val="1"/>
                <w:bCs w:val="1"/>
                <w:color w:val="auto"/>
              </w:rPr>
              <w:t>1</w:t>
            </w:r>
          </w:p>
        </w:tc>
        <w:tc>
          <w:tcPr>
            <w:tcW w:w="640" w:type="dxa"/>
            <w:vAlign w:val="bottom"/>
            <w:tcBorders>
              <w:right w:val="single" w:sz="8" w:color="auto"/>
            </w:tcBorders>
          </w:tcPr>
          <w:p>
            <w:pPr>
              <w:spacing w:after="0"/>
              <w:rPr>
                <w:sz w:val="15"/>
                <w:szCs w:val="15"/>
                <w:color w:val="auto"/>
              </w:rPr>
            </w:pPr>
          </w:p>
        </w:tc>
        <w:tc>
          <w:tcPr>
            <w:tcW w:w="2500" w:type="dxa"/>
            <w:vAlign w:val="bottom"/>
            <w:gridSpan w:val="3"/>
          </w:tcPr>
          <w:p>
            <w:pPr>
              <w:ind w:left="80"/>
              <w:spacing w:after="0" w:line="175" w:lineRule="exact"/>
              <w:rPr>
                <w:sz w:val="20"/>
                <w:szCs w:val="20"/>
                <w:color w:val="auto"/>
              </w:rPr>
            </w:pPr>
            <w:r>
              <w:rPr>
                <w:rFonts w:ascii="Times New Roman" w:cs="Times New Roman" w:eastAsia="Times New Roman" w:hAnsi="Times New Roman"/>
                <w:sz w:val="16"/>
                <w:szCs w:val="16"/>
                <w:color w:val="auto"/>
              </w:rPr>
              <w:t>NAME OF REPORTING PERSON</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0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S.S OR I.R.S. IDENTIFICATION NO. OF ABOVE PERSON</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Intervac, L.L.C.</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8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(a) x</w:t>
            </w:r>
          </w:p>
        </w:tc>
        <w:tc>
          <w:tcPr>
            <w:tcW w:w="0" w:type="dxa"/>
            <w:vAlign w:val="bottom"/>
          </w:tcPr>
          <w:p>
            <w:pPr>
              <w:spacing w:after="0"/>
              <w:rPr>
                <w:sz w:val="1"/>
                <w:szCs w:val="1"/>
                <w:color w:val="auto"/>
              </w:rPr>
            </w:pPr>
          </w:p>
        </w:tc>
      </w:tr>
      <w:tr>
        <w:trPr>
          <w:trHeight w:val="109"/>
        </w:trPr>
        <w:tc>
          <w:tcPr>
            <w:tcW w:w="500" w:type="dxa"/>
            <w:vAlign w:val="bottom"/>
            <w:tcBorders>
              <w:lef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 o</w:t>
            </w:r>
          </w:p>
        </w:tc>
        <w:tc>
          <w:tcPr>
            <w:tcW w:w="0" w:type="dxa"/>
            <w:vAlign w:val="bottom"/>
          </w:tcPr>
          <w:p>
            <w:pPr>
              <w:spacing w:after="0"/>
              <w:rPr>
                <w:sz w:val="1"/>
                <w:szCs w:val="1"/>
                <w:color w:val="auto"/>
              </w:rPr>
            </w:pPr>
          </w:p>
        </w:tc>
      </w:tr>
      <w:tr>
        <w:trPr>
          <w:trHeight w:val="252"/>
        </w:trPr>
        <w:tc>
          <w:tcPr>
            <w:tcW w:w="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3</w:t>
            </w:r>
          </w:p>
        </w:tc>
        <w:tc>
          <w:tcPr>
            <w:tcW w:w="640" w:type="dxa"/>
            <w:vAlign w:val="bottom"/>
            <w:tcBorders>
              <w:right w:val="single" w:sz="8" w:color="auto"/>
            </w:tcBorders>
          </w:tcPr>
          <w:p>
            <w:pPr>
              <w:spacing w:after="0"/>
              <w:rPr>
                <w:sz w:val="21"/>
                <w:szCs w:val="21"/>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 USE ONLY</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3"/>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4</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Maryland, United States</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color w:val="auto"/>
                <w:w w:val="98"/>
              </w:rPr>
              <w:t>NUMBER OF</w:t>
            </w:r>
          </w:p>
        </w:tc>
        <w:tc>
          <w:tcPr>
            <w:tcW w:w="700" w:type="dxa"/>
            <w:vAlign w:val="bottom"/>
            <w:tcBorders>
              <w:right w:val="single" w:sz="8" w:color="auto"/>
            </w:tcBorders>
          </w:tcPr>
          <w:p>
            <w:pPr>
              <w:jc w:val="right"/>
              <w:ind w:right="404"/>
              <w:spacing w:after="0"/>
              <w:rPr>
                <w:sz w:val="20"/>
                <w:szCs w:val="20"/>
                <w:color w:val="auto"/>
              </w:rPr>
            </w:pPr>
            <w:r>
              <w:rPr>
                <w:rFonts w:ascii="Times New Roman" w:cs="Times New Roman" w:eastAsia="Times New Roman" w:hAnsi="Times New Roman"/>
                <w:sz w:val="19"/>
                <w:szCs w:val="19"/>
                <w:b w:val="1"/>
                <w:bCs w:val="1"/>
                <w:color w:val="auto"/>
              </w:rPr>
              <w:t>5</w:t>
            </w: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SOLE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0*</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6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7"/>
              </w:rPr>
              <w:t>SHARES</w:t>
            </w:r>
          </w:p>
        </w:tc>
        <w:tc>
          <w:tcPr>
            <w:tcW w:w="7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tcBorders>
            <w:gridSpan w:val="3"/>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color w:val="auto"/>
                <w:w w:val="97"/>
              </w:rPr>
              <w:t>BENEFICIALLY</w:t>
            </w:r>
          </w:p>
        </w:tc>
        <w:tc>
          <w:tcPr>
            <w:tcW w:w="700" w:type="dxa"/>
            <w:vAlign w:val="bottom"/>
            <w:tcBorders>
              <w:right w:val="single" w:sz="8" w:color="auto"/>
            </w:tcBorders>
          </w:tcPr>
          <w:p>
            <w:pPr>
              <w:jc w:val="right"/>
              <w:ind w:right="404"/>
              <w:spacing w:after="0"/>
              <w:rPr>
                <w:sz w:val="20"/>
                <w:szCs w:val="20"/>
                <w:color w:val="auto"/>
              </w:rPr>
            </w:pPr>
            <w:r>
              <w:rPr>
                <w:rFonts w:ascii="Times New Roman" w:cs="Times New Roman" w:eastAsia="Times New Roman" w:hAnsi="Times New Roman"/>
                <w:sz w:val="19"/>
                <w:szCs w:val="19"/>
                <w:b w:val="1"/>
                <w:bCs w:val="1"/>
                <w:color w:val="auto"/>
              </w:rPr>
              <w:t>6</w:t>
            </w: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SHARED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500" w:type="dxa"/>
            <w:vAlign w:val="bottom"/>
            <w:tcBorders>
              <w:left w:val="single" w:sz="8" w:color="auto"/>
            </w:tcBorders>
          </w:tcPr>
          <w:p>
            <w:pPr>
              <w:spacing w:after="0"/>
              <w:rPr>
                <w:sz w:val="9"/>
                <w:szCs w:val="9"/>
                <w:color w:val="auto"/>
              </w:rPr>
            </w:pPr>
          </w:p>
        </w:tc>
        <w:tc>
          <w:tcPr>
            <w:tcW w:w="1980" w:type="dxa"/>
            <w:vAlign w:val="bottom"/>
            <w:tcBorders>
              <w:right w:val="single" w:sz="8" w:color="auto"/>
            </w:tcBorders>
            <w:gridSpan w:val="2"/>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color w:val="auto"/>
                <w:w w:val="97"/>
              </w:rPr>
              <w:t>OWNED BY</w:t>
            </w:r>
          </w:p>
        </w:tc>
        <w:tc>
          <w:tcPr>
            <w:tcW w:w="700" w:type="dxa"/>
            <w:vAlign w:val="bottom"/>
            <w:tcBorders>
              <w:right w:val="single" w:sz="8" w:color="auto"/>
            </w:tcBorders>
          </w:tcPr>
          <w:p>
            <w:pPr>
              <w:spacing w:after="0"/>
              <w:rPr>
                <w:sz w:val="21"/>
                <w:szCs w:val="21"/>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0</w:t>
            </w: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0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4440" w:type="dxa"/>
            <w:vAlign w:val="bottom"/>
            <w:tcBorders>
              <w:bottom w:val="single" w:sz="8" w:color="auto"/>
            </w:tcBorders>
            <w:gridSpan w:val="3"/>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color w:val="auto"/>
              </w:rPr>
              <w:t>EACH</w:t>
            </w:r>
          </w:p>
        </w:tc>
        <w:tc>
          <w:tcPr>
            <w:tcW w:w="700" w:type="dxa"/>
            <w:vAlign w:val="bottom"/>
            <w:tcBorders>
              <w:right w:val="single" w:sz="8" w:color="auto"/>
            </w:tcBorders>
          </w:tcPr>
          <w:p>
            <w:pPr>
              <w:jc w:val="right"/>
              <w:ind w:right="404"/>
              <w:spacing w:after="0"/>
              <w:rPr>
                <w:sz w:val="20"/>
                <w:szCs w:val="20"/>
                <w:color w:val="auto"/>
              </w:rPr>
            </w:pPr>
            <w:r>
              <w:rPr>
                <w:rFonts w:ascii="Times New Roman" w:cs="Times New Roman" w:eastAsia="Times New Roman" w:hAnsi="Times New Roman"/>
                <w:sz w:val="19"/>
                <w:szCs w:val="19"/>
                <w:b w:val="1"/>
                <w:bCs w:val="1"/>
                <w:color w:val="auto"/>
              </w:rPr>
              <w:t>7</w:t>
            </w: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SOLE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tcBorders>
          </w:tcPr>
          <w:p>
            <w:pPr>
              <w:spacing w:after="0"/>
              <w:rPr>
                <w:sz w:val="4"/>
                <w:szCs w:val="4"/>
                <w:color w:val="auto"/>
              </w:rPr>
            </w:pPr>
          </w:p>
        </w:tc>
        <w:tc>
          <w:tcPr>
            <w:tcW w:w="198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color w:val="auto"/>
                <w:w w:val="97"/>
              </w:rPr>
              <w:t>REPORTING</w:t>
            </w: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0</w:t>
            </w: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980" w:type="dxa"/>
            <w:vAlign w:val="bottom"/>
            <w:tcBorders>
              <w:right w:val="single" w:sz="8" w:color="auto"/>
            </w:tcBorders>
            <w:gridSpan w:val="2"/>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440" w:type="dxa"/>
            <w:vAlign w:val="bottom"/>
            <w:tcBorders>
              <w:bottom w:val="single" w:sz="8" w:color="auto"/>
            </w:tcBorders>
            <w:gridSpan w:val="3"/>
          </w:tcPr>
          <w:p>
            <w:pPr>
              <w:spacing w:after="0"/>
              <w:rPr>
                <w:sz w:val="15"/>
                <w:szCs w:val="15"/>
                <w:color w:val="auto"/>
              </w:rPr>
            </w:pPr>
          </w:p>
        </w:tc>
        <w:tc>
          <w:tcPr>
            <w:tcW w:w="3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7"/>
              </w:rPr>
              <w:t>PERSON</w:t>
            </w:r>
          </w:p>
        </w:tc>
        <w:tc>
          <w:tcPr>
            <w:tcW w:w="700" w:type="dxa"/>
            <w:vAlign w:val="bottom"/>
            <w:tcBorders>
              <w:right w:val="single" w:sz="8" w:color="auto"/>
            </w:tcBorders>
          </w:tcPr>
          <w:p>
            <w:pPr>
              <w:jc w:val="right"/>
              <w:ind w:right="404"/>
              <w:spacing w:after="0"/>
              <w:rPr>
                <w:sz w:val="20"/>
                <w:szCs w:val="20"/>
                <w:color w:val="auto"/>
              </w:rPr>
            </w:pPr>
            <w:r>
              <w:rPr>
                <w:rFonts w:ascii="Times New Roman" w:cs="Times New Roman" w:eastAsia="Times New Roman" w:hAnsi="Times New Roman"/>
                <w:sz w:val="19"/>
                <w:szCs w:val="19"/>
                <w:b w:val="1"/>
                <w:bCs w:val="1"/>
                <w:color w:val="auto"/>
              </w:rPr>
              <w:t>8</w:t>
            </w: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SHARED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5"/>
              </w:rPr>
              <w:t>WITH</w:t>
            </w:r>
          </w:p>
        </w:tc>
        <w:tc>
          <w:tcPr>
            <w:tcW w:w="700" w:type="dxa"/>
            <w:vAlign w:val="bottom"/>
            <w:tcBorders>
              <w:right w:val="single" w:sz="8" w:color="auto"/>
            </w:tcBorders>
          </w:tcPr>
          <w:p>
            <w:pPr>
              <w:spacing w:after="0"/>
              <w:rPr>
                <w:sz w:val="24"/>
                <w:szCs w:val="24"/>
                <w:color w:val="auto"/>
              </w:rPr>
            </w:pPr>
          </w:p>
        </w:tc>
        <w:tc>
          <w:tcPr>
            <w:tcW w:w="3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8,314,819*</w:t>
            </w: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9</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8,314,819*</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10</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480" w:type="dxa"/>
            <w:vAlign w:val="bottom"/>
            <w:tcBorders>
              <w:bottom w:val="single" w:sz="8" w:color="auto"/>
            </w:tcBorders>
            <w:gridSpan w:val="5"/>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11</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30.1%**</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12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OO</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4" w:right="20" w:hanging="4"/>
        <w:spacing w:after="0" w:line="259" w:lineRule="auto"/>
        <w:tabs>
          <w:tab w:leader="none" w:pos="12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voting agreement dated June 30, 2004 between Emergent BioSolutions Inc. (the “Issuer”) and Intervac, L.L.C. (“Intervac”), BioPharm, L.L.C., Michigan Biologic Products, Inc., Biovac, L.L.C., Biologika, L.L.C., Intervac Management, L.L.C. and ARPI, L.L.C. (each a “Stockholder”), each Stockholder appointed Fuad El-Hibri, the General Manager of Intervac to vote all of the shares of the Issuer in the manner set forth in the voting agreement. Therefore, Intervac has no voting power over the shares of the Issuer that it owns or that any of the Stockholders own. As of the date of this filing,</w:t>
      </w: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726757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4"/>
          </w:cols>
          <w:pgMar w:left="236" w:top="354"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Intervac beneficially owns 8,314,819 shares of the Issuer over which it has shared dispositive power with Mr. El-Hibri, its General Manager.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Based on 27,596,249 shares of Emergent BioSolutions Inc. issued and outstanding as of December 31, 2006.</w:t>
      </w:r>
    </w:p>
    <w:p>
      <w:pPr>
        <w:spacing w:after="0" w:line="2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726757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26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Name of Issuer:</w:t>
            </w:r>
          </w:p>
        </w:tc>
        <w:tc>
          <w:tcPr>
            <w:tcW w:w="17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Emergent BioSolutions Inc.</w:t>
            </w:r>
          </w:p>
        </w:tc>
      </w:tr>
      <w:tr>
        <w:trPr>
          <w:trHeight w:val="43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442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Address of Issuer’s Principal Executive Offices:</w:t>
            </w:r>
          </w:p>
        </w:tc>
      </w:tr>
      <w:tr>
        <w:trPr>
          <w:trHeight w:val="411"/>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2273 Research Blvd.</w:t>
            </w:r>
          </w:p>
        </w:tc>
        <w:tc>
          <w:tcPr>
            <w:tcW w:w="174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Suite 400</w:t>
            </w:r>
          </w:p>
        </w:tc>
        <w:tc>
          <w:tcPr>
            <w:tcW w:w="1740" w:type="dxa"/>
            <w:vAlign w:val="bottom"/>
          </w:tcPr>
          <w:p>
            <w:pPr>
              <w:spacing w:after="0"/>
              <w:rPr>
                <w:sz w:val="16"/>
                <w:szCs w:val="16"/>
                <w:color w:val="auto"/>
              </w:rPr>
            </w:pPr>
          </w:p>
        </w:tc>
      </w:tr>
      <w:tr>
        <w:trPr>
          <w:trHeight w:val="210"/>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Gaithersburg, Maryland 20850</w:t>
            </w:r>
          </w:p>
        </w:tc>
      </w:tr>
      <w:tr>
        <w:trPr>
          <w:trHeight w:val="43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Item 2(a)</w:t>
            </w:r>
          </w:p>
        </w:tc>
        <w:tc>
          <w:tcPr>
            <w:tcW w:w="26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Name of Person Filing:</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Intervac, L.L.C.</w:t>
            </w:r>
          </w:p>
        </w:tc>
        <w:tc>
          <w:tcPr>
            <w:tcW w:w="1740" w:type="dxa"/>
            <w:vAlign w:val="bottom"/>
          </w:tcPr>
          <w:p>
            <w:pPr>
              <w:spacing w:after="0"/>
              <w:rPr>
                <w:sz w:val="24"/>
                <w:szCs w:val="24"/>
                <w:color w:val="auto"/>
              </w:rPr>
            </w:pPr>
          </w:p>
        </w:tc>
      </w:tr>
      <w:tr>
        <w:trPr>
          <w:trHeight w:val="47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Item 2(b)</w:t>
            </w:r>
          </w:p>
        </w:tc>
        <w:tc>
          <w:tcPr>
            <w:tcW w:w="442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w w:val="98"/>
              </w:rPr>
              <w:t>Address of Principal Business Office or, if None, Residence:</w:t>
            </w:r>
          </w:p>
        </w:tc>
      </w:tr>
      <w:tr>
        <w:trPr>
          <w:trHeight w:val="411"/>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 East-West Resources Corporation</w:t>
            </w: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1684 East Gude Drive</w:t>
            </w:r>
          </w:p>
        </w:tc>
        <w:tc>
          <w:tcPr>
            <w:tcW w:w="1740" w:type="dxa"/>
            <w:vAlign w:val="bottom"/>
          </w:tcPr>
          <w:p>
            <w:pPr>
              <w:spacing w:after="0"/>
              <w:rPr>
                <w:sz w:val="16"/>
                <w:szCs w:val="16"/>
                <w:color w:val="auto"/>
              </w:rPr>
            </w:pP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Suite 301</w:t>
            </w:r>
          </w:p>
        </w:tc>
        <w:tc>
          <w:tcPr>
            <w:tcW w:w="1740" w:type="dxa"/>
            <w:vAlign w:val="bottom"/>
          </w:tcPr>
          <w:p>
            <w:pPr>
              <w:spacing w:after="0"/>
              <w:rPr>
                <w:sz w:val="16"/>
                <w:szCs w:val="16"/>
                <w:color w:val="auto"/>
              </w:rPr>
            </w:pPr>
          </w:p>
        </w:tc>
      </w:tr>
      <w:tr>
        <w:trPr>
          <w:trHeight w:val="210"/>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Rockville, MD 20850</w:t>
            </w:r>
          </w:p>
        </w:tc>
        <w:tc>
          <w:tcPr>
            <w:tcW w:w="174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Item 2(c)</w:t>
            </w:r>
          </w:p>
        </w:tc>
        <w:tc>
          <w:tcPr>
            <w:tcW w:w="442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Citizenship/Place of Organization:</w:t>
            </w: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Maryland, United States</w:t>
            </w:r>
          </w:p>
        </w:tc>
      </w:tr>
      <w:tr>
        <w:trPr>
          <w:trHeight w:val="43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Item 2(d)</w:t>
            </w:r>
          </w:p>
        </w:tc>
        <w:tc>
          <w:tcPr>
            <w:tcW w:w="26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Title of Class of Securities:</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r>
      <w:tr>
        <w:trPr>
          <w:trHeight w:val="43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Item 2(e)</w:t>
            </w:r>
          </w:p>
        </w:tc>
        <w:tc>
          <w:tcPr>
            <w:tcW w:w="26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CUSIP Number:</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29089Q 10 5</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26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Not applicable.</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26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Ownership.</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w:t>
            </w:r>
          </w:p>
        </w:tc>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xml:space="preserve">Amount Beneficially Owned: </w:t>
            </w:r>
            <w:r>
              <w:rPr>
                <w:rFonts w:ascii="Times New Roman" w:cs="Times New Roman" w:eastAsia="Times New Roman" w:hAnsi="Times New Roman"/>
                <w:sz w:val="16"/>
                <w:szCs w:val="16"/>
                <w:b w:val="1"/>
                <w:bCs w:val="1"/>
                <w:color w:val="auto"/>
              </w:rPr>
              <w:t>8,314,819</w:t>
            </w:r>
          </w:p>
        </w:tc>
      </w:tr>
      <w:tr>
        <w:trPr>
          <w:trHeight w:val="514"/>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w:t>
            </w:r>
          </w:p>
        </w:tc>
        <w:tc>
          <w:tcPr>
            <w:tcW w:w="1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Percent of Class:</w:t>
            </w:r>
          </w:p>
        </w:tc>
        <w:tc>
          <w:tcPr>
            <w:tcW w:w="1740" w:type="dxa"/>
            <w:vAlign w:val="bottom"/>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30.1%</w:t>
            </w:r>
          </w:p>
        </w:tc>
      </w:tr>
    </w:tbl>
    <w:p>
      <w:pPr>
        <w:spacing w:after="0" w:line="24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757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219"/>
          </w:cols>
          <w:pgMar w:left="240" w:top="338"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8"/>
        </w:trPr>
        <w:tc>
          <w:tcPr>
            <w:tcW w:w="110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(c)</w:t>
            </w: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Number of shares as to which such person has:</w:t>
            </w:r>
          </w:p>
        </w:tc>
        <w:tc>
          <w:tcPr>
            <w:tcW w:w="60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514"/>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 sole power to vote or to direct the vote:</w:t>
            </w:r>
          </w:p>
        </w:tc>
        <w:tc>
          <w:tcPr>
            <w:tcW w:w="60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0</w:t>
            </w:r>
          </w:p>
        </w:tc>
        <w:tc>
          <w:tcPr>
            <w:tcW w:w="5300" w:type="dxa"/>
            <w:vAlign w:val="bottom"/>
          </w:tcPr>
          <w:p>
            <w:pPr>
              <w:spacing w:after="0"/>
              <w:rPr>
                <w:sz w:val="24"/>
                <w:szCs w:val="24"/>
                <w:color w:val="auto"/>
              </w:rPr>
            </w:pPr>
          </w:p>
        </w:tc>
      </w:tr>
      <w:tr>
        <w:trPr>
          <w:trHeight w:val="478"/>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(ii)</w:t>
            </w:r>
          </w:p>
        </w:tc>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shared power to vote or to direct the vote:</w:t>
            </w:r>
          </w:p>
        </w:tc>
        <w:tc>
          <w:tcPr>
            <w:tcW w:w="5900" w:type="dxa"/>
            <w:vAlign w:val="bottom"/>
            <w:gridSpan w:val="2"/>
          </w:tcPr>
          <w:p>
            <w:pPr>
              <w:jc w:val="right"/>
              <w:ind w:right="4540"/>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478"/>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(iii)</w:t>
            </w:r>
          </w:p>
        </w:tc>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sole power to dispose or to direct the disposition of:</w:t>
            </w:r>
          </w:p>
        </w:tc>
        <w:tc>
          <w:tcPr>
            <w:tcW w:w="5300" w:type="dxa"/>
            <w:vAlign w:val="bottom"/>
          </w:tcPr>
          <w:p>
            <w:pPr>
              <w:jc w:val="right"/>
              <w:ind w:right="3860"/>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442"/>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(iv)</w:t>
            </w:r>
          </w:p>
        </w:tc>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shared power to dispose or to direct the disposition of:</w:t>
            </w:r>
          </w:p>
        </w:tc>
        <w:tc>
          <w:tcPr>
            <w:tcW w:w="5300" w:type="dxa"/>
            <w:vAlign w:val="bottom"/>
          </w:tcPr>
          <w:p>
            <w:pPr>
              <w:jc w:val="right"/>
              <w:ind w:right="4540"/>
              <w:spacing w:after="0"/>
              <w:rPr>
                <w:sz w:val="20"/>
                <w:szCs w:val="20"/>
                <w:color w:val="auto"/>
              </w:rPr>
            </w:pPr>
            <w:r>
              <w:rPr>
                <w:rFonts w:ascii="Times New Roman" w:cs="Times New Roman" w:eastAsia="Times New Roman" w:hAnsi="Times New Roman"/>
                <w:sz w:val="16"/>
                <w:szCs w:val="16"/>
                <w:b w:val="1"/>
                <w:bCs w:val="1"/>
                <w:color w:val="auto"/>
              </w:rPr>
              <w:t>8,314,819</w:t>
            </w:r>
          </w:p>
        </w:tc>
      </w:tr>
      <w:tr>
        <w:trPr>
          <w:trHeight w:val="43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440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Ownership of Five Percent or Less of a Class:</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11"/>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3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If this statement is being filed to report the fact that as of the date hereof the Reporting Person has ceased to be the beneficial owner of</w:t>
            </w:r>
          </w:p>
        </w:tc>
      </w:tr>
      <w:tr>
        <w:trPr>
          <w:trHeight w:val="210"/>
        </w:trPr>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more than five percent of the class of securities, check the following </w:t>
            </w:r>
            <w:r>
              <w:rPr>
                <w:rFonts w:ascii="Times New Roman" w:cs="Times New Roman" w:eastAsia="Times New Roman" w:hAnsi="Times New Roman"/>
                <w:sz w:val="16"/>
                <w:szCs w:val="16"/>
                <w:color w:val="auto"/>
              </w:rPr>
              <w:t>o.</w:t>
            </w:r>
          </w:p>
        </w:tc>
      </w:tr>
      <w:tr>
        <w:trPr>
          <w:trHeight w:val="43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500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Ownership of More than Five Percent on Behalf of Another Person:</w:t>
            </w: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1030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rPr>
              <w:t>Identification and Classification of the Subsidiary Which Acquired the Security Being Reported on By the Parent Holding Company.</w:t>
            </w: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440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w w:val="99"/>
              </w:rPr>
              <w:t>Identification and Classification of Members of the Group.</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440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Notice of Dissolution of Group.</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14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w w:val="96"/>
              </w:rPr>
              <w:t>Certification.</w:t>
            </w:r>
          </w:p>
        </w:tc>
        <w:tc>
          <w:tcPr>
            <w:tcW w:w="2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2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726757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62" w:right="259" w:bottom="1440" w:gutter="0" w:footer="0" w:header="0"/>
        </w:sectPr>
      </w:pPr>
    </w:p>
    <w:bookmarkStart w:id="5" w:name="page6"/>
    <w:bookmarkEnd w:id="5"/>
    <w:p>
      <w:pPr>
        <w:jc w:val="center"/>
        <w:ind w:right="-43"/>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24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Date: February 14, 2007</w:t>
      </w:r>
    </w:p>
    <w:p>
      <w:pPr>
        <w:spacing w:after="0" w:line="244"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6"/>
          <w:szCs w:val="16"/>
          <w:b w:val="1"/>
          <w:bCs w:val="1"/>
          <w:color w:val="auto"/>
        </w:rPr>
        <w:t>Intervac, L.L.C.*</w:t>
      </w:r>
    </w:p>
    <w:p>
      <w:pPr>
        <w:spacing w:after="0" w:line="200" w:lineRule="exact"/>
        <w:rPr>
          <w:sz w:val="20"/>
          <w:szCs w:val="20"/>
          <w:color w:val="auto"/>
        </w:rPr>
      </w:pPr>
    </w:p>
    <w:p>
      <w:pPr>
        <w:spacing w:after="0" w:line="239" w:lineRule="exact"/>
        <w:rPr>
          <w:sz w:val="20"/>
          <w:szCs w:val="20"/>
          <w:color w:val="auto"/>
        </w:rPr>
      </w:pPr>
    </w:p>
    <w:p>
      <w:pPr>
        <w:ind w:left="4264"/>
        <w:spacing w:after="0"/>
        <w:tabs>
          <w:tab w:leader="none" w:pos="4664" w:val="left"/>
        </w:tabs>
        <w:rPr>
          <w:sz w:val="20"/>
          <w:szCs w:val="20"/>
          <w:color w:val="auto"/>
        </w:rPr>
      </w:pPr>
      <w:r>
        <w:rPr>
          <w:rFonts w:ascii="Times New Roman" w:cs="Times New Roman" w:eastAsia="Times New Roman" w:hAnsi="Times New Roman"/>
          <w:sz w:val="16"/>
          <w:szCs w:val="16"/>
          <w:color w:val="auto"/>
        </w:rPr>
        <w:t>By:</w:t>
        <w:tab/>
        <w:t>/s/ Carl A. Valenstein</w:t>
      </w:r>
    </w:p>
    <w:p>
      <w:pPr>
        <w:spacing w:after="0" w:line="31"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16"/>
          <w:szCs w:val="16"/>
          <w:color w:val="auto"/>
        </w:rPr>
        <w:t>Name: Carl A. Valenstein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-113030</wp:posOffset>
            </wp:positionV>
            <wp:extent cx="24206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spacing w:after="0" w:line="4" w:lineRule="exact"/>
        <w:rPr>
          <w:sz w:val="20"/>
          <w:szCs w:val="20"/>
          <w:color w:val="auto"/>
        </w:rPr>
      </w:pPr>
    </w:p>
    <w:p>
      <w:pPr>
        <w:jc w:val="center"/>
        <w:ind w:left="4160"/>
        <w:spacing w:after="0"/>
        <w:tabs>
          <w:tab w:leader="none" w:pos="140" w:val="left"/>
        </w:tabs>
        <w:rPr>
          <w:sz w:val="20"/>
          <w:szCs w:val="20"/>
          <w:color w:val="auto"/>
        </w:rPr>
      </w:pPr>
      <w:r>
        <w:rPr>
          <w:rFonts w:ascii="Times New Roman" w:cs="Times New Roman" w:eastAsia="Times New Roman" w:hAnsi="Times New Roman"/>
          <w:sz w:val="16"/>
          <w:szCs w:val="16"/>
          <w:color w:val="auto"/>
        </w:rPr>
        <w:t>Title:</w:t>
        <w:tab/>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1464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4310"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 w:hanging="4"/>
        <w:spacing w:after="0" w:line="280" w:lineRule="auto"/>
        <w:tabs>
          <w:tab w:leader="none" w:pos="1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Duly authorized under Power of Attorney appointing Carl A. Valenstein attorney-in-fact, dated November 8, 2006, by Fuad El-Hibri, General Manager of Intervac, L.L.C., filed as Exhibit 24 to Intervac, L.L.C.’s Form 3 filed with the SEC on November 14, 2006, and incorporated by reference herein.</w:t>
      </w:r>
    </w:p>
    <w:p>
      <w:pPr>
        <w:spacing w:after="0" w:line="18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726757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4"/>
          </w:cols>
          <w:pgMar w:left="236" w:top="336" w:right="2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2019-12-15T14:56:52Z</dcterms:created>
  <dcterms:modified xsi:type="dcterms:W3CDTF">2019-12-15T14:56:52Z</dcterms:modified>
</cp:coreProperties>
</file>