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6"/>
          <w:szCs w:val="16"/>
          <w:b w:val="1"/>
          <w:bCs w:val="1"/>
          <w:color w:val="auto"/>
        </w:rPr>
        <w:t>UNITED STATES</w:t>
      </w: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Washington, D.C. 20549</w:t>
      </w:r>
    </w:p>
    <w:p>
      <w:pPr>
        <w:spacing w:after="0" w:line="233"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SCHEDULE 13G</w:t>
      </w:r>
    </w:p>
    <w:p>
      <w:pPr>
        <w:spacing w:after="0" w:line="25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(Amendment No.  )*</w:t>
      </w:r>
    </w:p>
    <w:p>
      <w:pPr>
        <w:spacing w:after="0" w:line="200" w:lineRule="exact"/>
        <w:rPr>
          <w:sz w:val="24"/>
          <w:szCs w:val="24"/>
          <w:color w:val="auto"/>
        </w:rPr>
      </w:pPr>
    </w:p>
    <w:p>
      <w:pPr>
        <w:spacing w:after="0" w:line="26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(CUSIP Number)</w:t>
      </w:r>
    </w:p>
    <w:p>
      <w:pPr>
        <w:spacing w:after="0" w:line="242"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November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46"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- 1(b)</w:t>
      </w:r>
    </w:p>
    <w:p>
      <w:pPr>
        <w:spacing w:after="0" w:line="20"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- 1(c)</w:t>
      </w:r>
    </w:p>
    <w:p>
      <w:pPr>
        <w:spacing w:after="0" w:line="3" w:lineRule="exact"/>
        <w:rPr>
          <w:sz w:val="24"/>
          <w:szCs w:val="24"/>
          <w:color w:val="auto"/>
        </w:rPr>
      </w:pPr>
    </w:p>
    <w:p>
      <w:pPr>
        <w:ind w:left="3820" w:hanging="184"/>
        <w:spacing w:after="0"/>
        <w:tabs>
          <w:tab w:leader="none" w:pos="3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 - 1(d)</w:t>
      </w:r>
    </w:p>
    <w:p>
      <w:pPr>
        <w:spacing w:after="0" w:line="238"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6757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120"/>
          </w:cols>
          <w:pgMar w:left="240" w:top="434"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75"/>
        </w:trPr>
        <w:tc>
          <w:tcPr>
            <w:tcW w:w="500" w:type="dxa"/>
            <w:vAlign w:val="bottom"/>
            <w:tcBorders>
              <w:top w:val="single" w:sz="8" w:color="auto"/>
              <w:left w:val="single" w:sz="8" w:color="auto"/>
              <w:bottom w:val="single" w:sz="8" w:color="auto"/>
            </w:tcBorders>
          </w:tcPr>
          <w:p>
            <w:pPr>
              <w:spacing w:after="0"/>
              <w:rPr>
                <w:sz w:val="23"/>
                <w:szCs w:val="23"/>
                <w:color w:val="auto"/>
              </w:rPr>
            </w:pPr>
          </w:p>
        </w:tc>
        <w:tc>
          <w:tcPr>
            <w:tcW w:w="268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9"/>
                <w:szCs w:val="19"/>
                <w:color w:val="auto"/>
              </w:rPr>
              <w:t xml:space="preserve">CUSIP No. </w:t>
            </w:r>
            <w:r>
              <w:rPr>
                <w:rFonts w:ascii="Arial" w:cs="Arial" w:eastAsia="Arial" w:hAnsi="Arial"/>
                <w:sz w:val="15"/>
                <w:szCs w:val="15"/>
                <w:b w:val="1"/>
                <w:bCs w:val="1"/>
                <w:color w:val="auto"/>
              </w:rPr>
              <w:t>29089Q 10 5</w:t>
            </w:r>
          </w:p>
        </w:tc>
        <w:tc>
          <w:tcPr>
            <w:tcW w:w="460" w:type="dxa"/>
            <w:vAlign w:val="bottom"/>
            <w:tcBorders>
              <w:top w:val="single" w:sz="8" w:color="auto"/>
              <w:bottom w:val="single" w:sz="8" w:color="auto"/>
              <w:right w:val="single" w:sz="8" w:color="auto"/>
            </w:tcBorders>
          </w:tcPr>
          <w:p>
            <w:pPr>
              <w:spacing w:after="0"/>
              <w:rPr>
                <w:sz w:val="23"/>
                <w:szCs w:val="23"/>
                <w:color w:val="auto"/>
              </w:rPr>
            </w:pPr>
          </w:p>
        </w:tc>
        <w:tc>
          <w:tcPr>
            <w:tcW w:w="30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b w:val="1"/>
                <w:bCs w:val="1"/>
                <w:color w:val="auto"/>
              </w:rPr>
              <w:t>13G</w:t>
            </w:r>
          </w:p>
        </w:tc>
        <w:tc>
          <w:tcPr>
            <w:tcW w:w="920" w:type="dxa"/>
            <w:vAlign w:val="bottom"/>
            <w:tcBorders>
              <w:top w:val="single" w:sz="8" w:color="auto"/>
              <w:bottom w:val="single" w:sz="8" w:color="auto"/>
            </w:tcBorders>
          </w:tcPr>
          <w:p>
            <w:pPr>
              <w:spacing w:after="0"/>
              <w:rPr>
                <w:sz w:val="23"/>
                <w:szCs w:val="23"/>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Page 2 of 5 pages</w:t>
            </w:r>
          </w:p>
        </w:tc>
        <w:tc>
          <w:tcPr>
            <w:tcW w:w="0" w:type="dxa"/>
            <w:vAlign w:val="bottom"/>
          </w:tcPr>
          <w:p>
            <w:pPr>
              <w:spacing w:after="0"/>
              <w:rPr>
                <w:sz w:val="1"/>
                <w:szCs w:val="1"/>
                <w:color w:val="auto"/>
              </w:rPr>
            </w:pPr>
          </w:p>
        </w:tc>
      </w:tr>
      <w:tr>
        <w:trPr>
          <w:trHeight w:val="219"/>
        </w:trPr>
        <w:tc>
          <w:tcPr>
            <w:tcW w:w="5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ind w:left="120"/>
              <w:spacing w:after="0" w:line="175" w:lineRule="exact"/>
              <w:rPr>
                <w:sz w:val="20"/>
                <w:szCs w:val="20"/>
                <w:color w:val="auto"/>
              </w:rPr>
            </w:pPr>
            <w:r>
              <w:rPr>
                <w:rFonts w:ascii="Arial" w:cs="Arial" w:eastAsia="Arial" w:hAnsi="Arial"/>
                <w:sz w:val="19"/>
                <w:szCs w:val="19"/>
                <w:b w:val="1"/>
                <w:bCs w:val="1"/>
                <w:color w:val="auto"/>
              </w:rPr>
              <w:t>1</w:t>
            </w:r>
          </w:p>
        </w:tc>
        <w:tc>
          <w:tcPr>
            <w:tcW w:w="640" w:type="dxa"/>
            <w:vAlign w:val="bottom"/>
            <w:tcBorders>
              <w:right w:val="single" w:sz="8" w:color="auto"/>
            </w:tcBorders>
          </w:tcPr>
          <w:p>
            <w:pPr>
              <w:spacing w:after="0"/>
              <w:rPr>
                <w:sz w:val="15"/>
                <w:szCs w:val="15"/>
                <w:color w:val="auto"/>
              </w:rPr>
            </w:pPr>
          </w:p>
        </w:tc>
        <w:tc>
          <w:tcPr>
            <w:tcW w:w="2500" w:type="dxa"/>
            <w:vAlign w:val="bottom"/>
            <w:gridSpan w:val="3"/>
          </w:tcPr>
          <w:p>
            <w:pPr>
              <w:ind w:left="80"/>
              <w:spacing w:after="0" w:line="175" w:lineRule="exact"/>
              <w:rPr>
                <w:sz w:val="20"/>
                <w:szCs w:val="20"/>
                <w:color w:val="auto"/>
              </w:rPr>
            </w:pPr>
            <w:r>
              <w:rPr>
                <w:rFonts w:ascii="Arial" w:cs="Arial" w:eastAsia="Arial" w:hAnsi="Arial"/>
                <w:sz w:val="16"/>
                <w:szCs w:val="16"/>
                <w:color w:val="auto"/>
                <w:w w:val="97"/>
              </w:rPr>
              <w:t>NAME OF REPORTING PERSON</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S.S OR I.R.S. IDENTIFICATION NO. OF ABOVE PERSON</w:t>
            </w:r>
          </w:p>
        </w:tc>
        <w:tc>
          <w:tcPr>
            <w:tcW w:w="3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Mauro Gibellini</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(a) x</w:t>
            </w:r>
          </w:p>
        </w:tc>
        <w:tc>
          <w:tcPr>
            <w:tcW w:w="0" w:type="dxa"/>
            <w:vAlign w:val="bottom"/>
          </w:tcPr>
          <w:p>
            <w:pPr>
              <w:spacing w:after="0"/>
              <w:rPr>
                <w:sz w:val="1"/>
                <w:szCs w:val="1"/>
                <w:color w:val="auto"/>
              </w:rPr>
            </w:pPr>
          </w:p>
        </w:tc>
      </w:tr>
      <w:tr>
        <w:trPr>
          <w:trHeight w:val="117"/>
        </w:trPr>
        <w:tc>
          <w:tcPr>
            <w:tcW w:w="5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(b) o</w:t>
            </w: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3</w:t>
            </w:r>
          </w:p>
        </w:tc>
        <w:tc>
          <w:tcPr>
            <w:tcW w:w="640" w:type="dxa"/>
            <w:vAlign w:val="bottom"/>
            <w:tcBorders>
              <w:right w:val="single" w:sz="8" w:color="auto"/>
            </w:tcBorders>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SEC USE ONLY</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3"/>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4</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CITIZENSHIP OR PLACE OF ORGANIZATION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Italy</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5"/>
              </w:rPr>
              <w:t>NUMBER OF</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5</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35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71,927*</w:t>
            </w: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52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1"/>
              </w:rPr>
              <w:t>SHARES</w:t>
            </w:r>
          </w:p>
        </w:tc>
        <w:tc>
          <w:tcPr>
            <w:tcW w:w="7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tcBorders>
            <w:gridSpan w:val="3"/>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9"/>
              </w:rPr>
              <w:t>BENEFICIALLY</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6</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500" w:type="dxa"/>
            <w:vAlign w:val="bottom"/>
            <w:tcBorders>
              <w:left w:val="single" w:sz="8" w:color="auto"/>
            </w:tcBorders>
          </w:tcPr>
          <w:p>
            <w:pPr>
              <w:spacing w:after="0"/>
              <w:rPr>
                <w:sz w:val="10"/>
                <w:szCs w:val="10"/>
                <w:color w:val="auto"/>
              </w:rPr>
            </w:pPr>
          </w:p>
        </w:tc>
        <w:tc>
          <w:tcPr>
            <w:tcW w:w="1980" w:type="dxa"/>
            <w:vAlign w:val="bottom"/>
            <w:tcBorders>
              <w:right w:val="single" w:sz="8" w:color="auto"/>
            </w:tcBorders>
            <w:gridSpan w:val="2"/>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6"/>
              </w:rPr>
              <w:t>OWNED BY</w:t>
            </w:r>
          </w:p>
        </w:tc>
        <w:tc>
          <w:tcPr>
            <w:tcW w:w="700" w:type="dxa"/>
            <w:vAlign w:val="bottom"/>
            <w:tcBorders>
              <w:right w:val="single" w:sz="8" w:color="auto"/>
            </w:tcBorders>
          </w:tcPr>
          <w:p>
            <w:pPr>
              <w:spacing w:after="0"/>
              <w:rPr>
                <w:sz w:val="21"/>
                <w:szCs w:val="21"/>
                <w:color w:val="auto"/>
              </w:rPr>
            </w:pPr>
          </w:p>
        </w:tc>
        <w:tc>
          <w:tcPr>
            <w:tcW w:w="460" w:type="dxa"/>
            <w:vAlign w:val="bottom"/>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tcBorders>
            <w:gridSpan w:val="3"/>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EACH</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7</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198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2"/>
              </w:rPr>
              <w:t>REPORTING</w:t>
            </w:r>
          </w:p>
        </w:tc>
        <w:tc>
          <w:tcPr>
            <w:tcW w:w="700" w:type="dxa"/>
            <w:vAlign w:val="bottom"/>
            <w:tcBorders>
              <w:right w:val="single" w:sz="8" w:color="auto"/>
            </w:tcBorders>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Arial" w:cs="Arial" w:eastAsia="Arial" w:hAnsi="Arial"/>
                <w:sz w:val="16"/>
                <w:szCs w:val="16"/>
                <w:b w:val="1"/>
                <w:bCs w:val="1"/>
                <w:color w:val="auto"/>
              </w:rPr>
              <w:t>71,927*</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98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440" w:type="dxa"/>
            <w:vAlign w:val="bottom"/>
            <w:tcBorders>
              <w:bottom w:val="single" w:sz="8" w:color="auto"/>
            </w:tcBorders>
            <w:gridSpan w:val="3"/>
          </w:tcPr>
          <w:p>
            <w:pPr>
              <w:spacing w:after="0"/>
              <w:rPr>
                <w:sz w:val="15"/>
                <w:szCs w:val="15"/>
                <w:color w:val="auto"/>
              </w:rPr>
            </w:pPr>
          </w:p>
        </w:tc>
        <w:tc>
          <w:tcPr>
            <w:tcW w:w="3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88"/>
              </w:rPr>
              <w:t>PERSON</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8</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7"/>
              </w:rPr>
              <w:t>WITH</w:t>
            </w:r>
          </w:p>
        </w:tc>
        <w:tc>
          <w:tcPr>
            <w:tcW w:w="700" w:type="dxa"/>
            <w:vAlign w:val="bottom"/>
            <w:tcBorders>
              <w:right w:val="single" w:sz="8" w:color="auto"/>
            </w:tcBorders>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Arial" w:cs="Arial" w:eastAsia="Arial" w:hAnsi="Arial"/>
                <w:sz w:val="16"/>
                <w:szCs w:val="16"/>
                <w:b w:val="1"/>
                <w:bCs w:val="1"/>
                <w:color w:val="auto"/>
              </w:rPr>
              <w:t>1,375,084*</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9</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AGGREGATE AMOUNT BENEFICIALLY OWNED BY EACH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1,447,011*</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10</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gridSpan w:val="5"/>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11</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PERCENT OF CLASS REPRESENTED BY AMOUNT IN ROW 9</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5.2%**</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TYPE OF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4" w:right="260" w:hanging="4"/>
        <w:spacing w:after="0" w:line="258" w:lineRule="auto"/>
        <w:tabs>
          <w:tab w:leader="none" w:pos="203" w:val="left"/>
        </w:tabs>
        <w:numPr>
          <w:ilvl w:val="0"/>
          <w:numId w:val="2"/>
        </w:numPr>
        <w:rPr>
          <w:rFonts w:ascii="Arial" w:cs="Arial" w:eastAsia="Arial" w:hAnsi="Arial"/>
          <w:sz w:val="16"/>
          <w:szCs w:val="16"/>
          <w:color w:val="auto"/>
        </w:rPr>
      </w:pPr>
      <w:r>
        <w:rPr>
          <w:rFonts w:ascii="Arial" w:cs="Arial" w:eastAsia="Arial" w:hAnsi="Arial"/>
          <w:sz w:val="16"/>
          <w:szCs w:val="16"/>
          <w:color w:val="auto"/>
        </w:rPr>
        <w:t>Mauro Gibellini and his wife Yasmine Gibellini have shared dispositive power over 100% of the shares of Emergent BioSolutions Inc. (the “Issuer”) owned by Biologika, L.L.C. (“Biologika”) as tenants by the entirety. However, Biologika is a party to a voting agreement, dated June 30, 2004, pursuant to which it granted a proxy to BioPharm, L.L.C. (“BioPharm”) to vote all of the shares of the Issuer that it owns in the same manner and to the same extent as BioPharm votes its own shares of the Issuer. Biologika is a party to another voting agreement, dated June 30, 2004, pursuant to which it granted a</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26757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4"/>
          </w:cols>
          <w:pgMar w:left="236" w:top="354" w:right="219" w:bottom="1440" w:gutter="0" w:footer="0" w:header="0"/>
        </w:sectPr>
      </w:pPr>
    </w:p>
    <w:bookmarkStart w:id="2" w:name="page3"/>
    <w:bookmarkEnd w:id="2"/>
    <w:p>
      <w:pPr>
        <w:spacing w:after="0" w:line="317" w:lineRule="auto"/>
        <w:rPr>
          <w:sz w:val="20"/>
          <w:szCs w:val="20"/>
          <w:color w:val="auto"/>
        </w:rPr>
      </w:pPr>
      <w:r>
        <w:rPr>
          <w:rFonts w:ascii="Arial" w:cs="Arial" w:eastAsia="Arial" w:hAnsi="Arial"/>
          <w:sz w:val="14"/>
          <w:szCs w:val="14"/>
          <w:color w:val="auto"/>
        </w:rPr>
        <w:t>proxy to Fuad El-Hibri, the General Manager of Intervac, L.L.C. to vote all of the shares that it owns of the Issuer in the manner set forth in that voting agreement. Therefore, as of the date of this filing, Mr. and Mrs. Gibellini beneficially own 1,375,084 shares of the Issuer over which they have shared dispositive power with Biologika but no voting power. Mr. Gibellini has sole voting and dispositive power over 71,927 shares of the Issuer subject to stock options that are fully vested and exercisable within 60 days of this filing.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  Based on 27,596,249 shares of Emergent BioSolutions Inc. issued and outstanding as of December 31, 2006.</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Arial" w:cs="Arial" w:eastAsia="Arial" w:hAnsi="Arial"/>
                <w:sz w:val="16"/>
                <w:szCs w:val="16"/>
                <w:color w:val="auto"/>
              </w:rPr>
              <w:t>Item 1(a)</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Name of Issuer:</w:t>
            </w:r>
          </w:p>
        </w:tc>
        <w:tc>
          <w:tcPr>
            <w:tcW w:w="1640" w:type="dxa"/>
            <w:vAlign w:val="bottom"/>
          </w:tcPr>
          <w:p>
            <w:pPr>
              <w:spacing w:after="0"/>
              <w:rPr>
                <w:sz w:val="17"/>
                <w:szCs w:val="17"/>
                <w:color w:val="auto"/>
              </w:rPr>
            </w:pPr>
          </w:p>
        </w:tc>
        <w:tc>
          <w:tcPr>
            <w:tcW w:w="602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Emergent BioSolutions Inc.</w:t>
            </w: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1(b)</w:t>
            </w:r>
          </w:p>
        </w:tc>
        <w:tc>
          <w:tcPr>
            <w:tcW w:w="4260" w:type="dxa"/>
            <w:vAlign w:val="bottom"/>
            <w:gridSpan w:val="3"/>
          </w:tcPr>
          <w:p>
            <w:pPr>
              <w:ind w:left="560"/>
              <w:spacing w:after="0"/>
              <w:rPr>
                <w:sz w:val="20"/>
                <w:szCs w:val="20"/>
                <w:color w:val="auto"/>
              </w:rPr>
            </w:pPr>
            <w:r>
              <w:rPr>
                <w:rFonts w:ascii="Arial" w:cs="Arial" w:eastAsia="Arial" w:hAnsi="Arial"/>
                <w:sz w:val="16"/>
                <w:szCs w:val="16"/>
                <w:color w:val="auto"/>
              </w:rPr>
              <w:t>Address of Issuer’s Principal Executive Offices:</w:t>
            </w:r>
          </w:p>
        </w:tc>
        <w:tc>
          <w:tcPr>
            <w:tcW w:w="6020" w:type="dxa"/>
            <w:vAlign w:val="bottom"/>
          </w:tcPr>
          <w:p>
            <w:pPr>
              <w:spacing w:after="0"/>
              <w:rPr>
                <w:sz w:val="24"/>
                <w:szCs w:val="24"/>
                <w:color w:val="auto"/>
              </w:rPr>
            </w:pP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w w:val="93"/>
              </w:rPr>
              <w:t>2273 Research Blvd.</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Suite 400</w:t>
            </w:r>
          </w:p>
        </w:tc>
        <w:tc>
          <w:tcPr>
            <w:tcW w:w="1640" w:type="dxa"/>
            <w:vAlign w:val="bottom"/>
          </w:tcPr>
          <w:p>
            <w:pPr>
              <w:spacing w:after="0"/>
              <w:rPr>
                <w:sz w:val="16"/>
                <w:szCs w:val="16"/>
                <w:color w:val="auto"/>
              </w:rPr>
            </w:pPr>
          </w:p>
        </w:tc>
        <w:tc>
          <w:tcPr>
            <w:tcW w:w="602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Gaithersburg, Maryland 20850</w:t>
            </w:r>
          </w:p>
        </w:tc>
        <w:tc>
          <w:tcPr>
            <w:tcW w:w="602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2(a)</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Name of Person Filing:</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Mauro Gibellini</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78"/>
        </w:trPr>
        <w:tc>
          <w:tcPr>
            <w:tcW w:w="1160" w:type="dxa"/>
            <w:vAlign w:val="bottom"/>
          </w:tcPr>
          <w:p>
            <w:pPr>
              <w:spacing w:after="0"/>
              <w:rPr>
                <w:sz w:val="20"/>
                <w:szCs w:val="20"/>
                <w:color w:val="auto"/>
              </w:rPr>
            </w:pPr>
            <w:r>
              <w:rPr>
                <w:rFonts w:ascii="Arial" w:cs="Arial" w:eastAsia="Arial" w:hAnsi="Arial"/>
                <w:sz w:val="16"/>
                <w:szCs w:val="16"/>
                <w:color w:val="auto"/>
              </w:rPr>
              <w:t>Item 2(b)</w:t>
            </w:r>
          </w:p>
        </w:tc>
        <w:tc>
          <w:tcPr>
            <w:tcW w:w="10280" w:type="dxa"/>
            <w:vAlign w:val="bottom"/>
            <w:gridSpan w:val="4"/>
          </w:tcPr>
          <w:p>
            <w:pPr>
              <w:ind w:left="560"/>
              <w:spacing w:after="0"/>
              <w:rPr>
                <w:sz w:val="20"/>
                <w:szCs w:val="20"/>
                <w:color w:val="auto"/>
              </w:rPr>
            </w:pPr>
            <w:r>
              <w:rPr>
                <w:rFonts w:ascii="Arial" w:cs="Arial" w:eastAsia="Arial" w:hAnsi="Arial"/>
                <w:sz w:val="16"/>
                <w:szCs w:val="16"/>
                <w:color w:val="auto"/>
              </w:rPr>
              <w:t>Address of Principal Business Office or, if None, Residence:</w:t>
            </w: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11308 Glen Road</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w w:val="97"/>
              </w:rPr>
              <w:t>Potomac, MD 20854</w:t>
            </w:r>
          </w:p>
        </w:tc>
        <w:tc>
          <w:tcPr>
            <w:tcW w:w="164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2(c)</w:t>
            </w:r>
          </w:p>
        </w:tc>
        <w:tc>
          <w:tcPr>
            <w:tcW w:w="4260" w:type="dxa"/>
            <w:vAlign w:val="bottom"/>
            <w:gridSpan w:val="3"/>
          </w:tcPr>
          <w:p>
            <w:pPr>
              <w:ind w:left="560"/>
              <w:spacing w:after="0"/>
              <w:rPr>
                <w:sz w:val="20"/>
                <w:szCs w:val="20"/>
                <w:color w:val="auto"/>
              </w:rPr>
            </w:pPr>
            <w:r>
              <w:rPr>
                <w:rFonts w:ascii="Arial" w:cs="Arial" w:eastAsia="Arial" w:hAnsi="Arial"/>
                <w:sz w:val="16"/>
                <w:szCs w:val="16"/>
                <w:color w:val="auto"/>
              </w:rPr>
              <w:t>Citizenship/Place of Organization:</w:t>
            </w: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Italy</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2(d)</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Title of Class of Securities:</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Common Stock, $0.001 par value</w:t>
            </w: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2(e)</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CUSIP Number:</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ind w:left="200"/>
              <w:spacing w:after="0"/>
              <w:rPr>
                <w:sz w:val="20"/>
                <w:szCs w:val="20"/>
                <w:color w:val="auto"/>
              </w:rPr>
            </w:pPr>
            <w:r>
              <w:rPr>
                <w:rFonts w:ascii="Arial" w:cs="Arial" w:eastAsia="Arial" w:hAnsi="Arial"/>
                <w:sz w:val="16"/>
                <w:szCs w:val="16"/>
                <w:b w:val="1"/>
                <w:bCs w:val="1"/>
                <w:color w:val="auto"/>
              </w:rPr>
              <w:t>29089Q 10 5</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3</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Not applicable.</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4</w:t>
            </w:r>
          </w:p>
        </w:tc>
        <w:tc>
          <w:tcPr>
            <w:tcW w:w="2620" w:type="dxa"/>
            <w:vAlign w:val="bottom"/>
            <w:gridSpan w:val="2"/>
          </w:tcPr>
          <w:p>
            <w:pPr>
              <w:ind w:left="560"/>
              <w:spacing w:after="0"/>
              <w:rPr>
                <w:sz w:val="20"/>
                <w:szCs w:val="20"/>
                <w:color w:val="auto"/>
              </w:rPr>
            </w:pPr>
            <w:r>
              <w:rPr>
                <w:rFonts w:ascii="Arial" w:cs="Arial" w:eastAsia="Arial" w:hAnsi="Arial"/>
                <w:sz w:val="16"/>
                <w:szCs w:val="16"/>
                <w:color w:val="auto"/>
              </w:rPr>
              <w:t>Ownership.</w:t>
            </w:r>
          </w:p>
        </w:tc>
        <w:tc>
          <w:tcPr>
            <w:tcW w:w="164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(a)</w:t>
            </w: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 xml:space="preserve">Amount Beneficially Owned: </w:t>
            </w:r>
            <w:r>
              <w:rPr>
                <w:rFonts w:ascii="Arial" w:cs="Arial" w:eastAsia="Arial" w:hAnsi="Arial"/>
                <w:sz w:val="16"/>
                <w:szCs w:val="16"/>
                <w:b w:val="1"/>
                <w:bCs w:val="1"/>
                <w:color w:val="auto"/>
              </w:rPr>
              <w:t>1,447,011</w:t>
            </w:r>
          </w:p>
        </w:tc>
        <w:tc>
          <w:tcPr>
            <w:tcW w:w="602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(b)</w:t>
            </w:r>
          </w:p>
        </w:tc>
        <w:tc>
          <w:tcPr>
            <w:tcW w:w="1680" w:type="dxa"/>
            <w:vAlign w:val="bottom"/>
          </w:tcPr>
          <w:p>
            <w:pPr>
              <w:ind w:left="200"/>
              <w:spacing w:after="0"/>
              <w:rPr>
                <w:sz w:val="20"/>
                <w:szCs w:val="20"/>
                <w:color w:val="auto"/>
              </w:rPr>
            </w:pPr>
            <w:r>
              <w:rPr>
                <w:rFonts w:ascii="Arial" w:cs="Arial" w:eastAsia="Arial" w:hAnsi="Arial"/>
                <w:sz w:val="16"/>
                <w:szCs w:val="16"/>
                <w:color w:val="auto"/>
              </w:rPr>
              <w:t>Percent of Class:</w:t>
            </w:r>
          </w:p>
        </w:tc>
        <w:tc>
          <w:tcPr>
            <w:tcW w:w="1640" w:type="dxa"/>
            <w:vAlign w:val="bottom"/>
          </w:tcPr>
          <w:p>
            <w:pPr>
              <w:jc w:val="right"/>
              <w:ind w:right="1100"/>
              <w:spacing w:after="0"/>
              <w:rPr>
                <w:sz w:val="20"/>
                <w:szCs w:val="20"/>
                <w:color w:val="auto"/>
              </w:rPr>
            </w:pPr>
            <w:r>
              <w:rPr>
                <w:rFonts w:ascii="Arial" w:cs="Arial" w:eastAsia="Arial" w:hAnsi="Arial"/>
                <w:sz w:val="16"/>
                <w:szCs w:val="16"/>
                <w:b w:val="1"/>
                <w:bCs w:val="1"/>
                <w:color w:val="auto"/>
              </w:rPr>
              <w:t>5.2%</w:t>
            </w:r>
          </w:p>
        </w:tc>
        <w:tc>
          <w:tcPr>
            <w:tcW w:w="6020" w:type="dxa"/>
            <w:vAlign w:val="bottom"/>
          </w:tcPr>
          <w:p>
            <w:pPr>
              <w:spacing w:after="0"/>
              <w:rPr>
                <w:sz w:val="24"/>
                <w:szCs w:val="24"/>
                <w:color w:val="auto"/>
              </w:rPr>
            </w:pPr>
          </w:p>
        </w:tc>
      </w:tr>
      <w:tr>
        <w:trPr>
          <w:trHeight w:val="442"/>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(c)</w:t>
            </w: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w w:val="91"/>
              </w:rPr>
              <w:t>Number of shares as to which such person has:</w:t>
            </w:r>
          </w:p>
        </w:tc>
        <w:tc>
          <w:tcPr>
            <w:tcW w:w="602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(i) sole power to vote or to direct the vote:</w:t>
            </w:r>
          </w:p>
        </w:tc>
        <w:tc>
          <w:tcPr>
            <w:tcW w:w="6020" w:type="dxa"/>
            <w:vAlign w:val="bottom"/>
          </w:tcPr>
          <w:p>
            <w:pPr>
              <w:jc w:val="right"/>
              <w:ind w:right="5388"/>
              <w:spacing w:after="0"/>
              <w:rPr>
                <w:sz w:val="20"/>
                <w:szCs w:val="20"/>
                <w:color w:val="auto"/>
              </w:rPr>
            </w:pPr>
            <w:r>
              <w:rPr>
                <w:rFonts w:ascii="Arial" w:cs="Arial" w:eastAsia="Arial" w:hAnsi="Arial"/>
                <w:sz w:val="16"/>
                <w:szCs w:val="16"/>
                <w:b w:val="1"/>
                <w:bCs w:val="1"/>
                <w:color w:val="auto"/>
              </w:rPr>
              <w:t>71,927</w:t>
            </w:r>
          </w:p>
        </w:tc>
      </w:tr>
      <w:tr>
        <w:trPr>
          <w:trHeight w:val="408"/>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20" w:type="dxa"/>
            <w:vAlign w:val="bottom"/>
          </w:tcPr>
          <w:p>
            <w:pPr>
              <w:jc w:val="right"/>
              <w:ind w:right="5628"/>
              <w:spacing w:after="0"/>
              <w:rPr>
                <w:sz w:val="20"/>
                <w:szCs w:val="20"/>
                <w:color w:val="auto"/>
              </w:rPr>
            </w:pPr>
            <w:r>
              <w:rPr>
                <w:rFonts w:ascii="Arial" w:cs="Arial" w:eastAsia="Arial" w:hAnsi="Arial"/>
                <w:sz w:val="13"/>
                <w:szCs w:val="13"/>
                <w:color w:val="auto"/>
              </w:rPr>
              <w:t>4</w:t>
            </w:r>
          </w:p>
        </w:tc>
      </w:tr>
      <w:tr>
        <w:trPr>
          <w:trHeight w:val="101"/>
        </w:trPr>
        <w:tc>
          <w:tcPr>
            <w:tcW w:w="1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60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8"/>
        </w:trPr>
        <w:tc>
          <w:tcPr>
            <w:tcW w:w="1100" w:type="dxa"/>
            <w:vAlign w:val="bottom"/>
          </w:tcPr>
          <w:p>
            <w:pPr>
              <w:spacing w:after="0"/>
              <w:rPr>
                <w:sz w:val="18"/>
                <w:szCs w:val="18"/>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(ii)</w:t>
            </w:r>
          </w:p>
        </w:tc>
        <w:tc>
          <w:tcPr>
            <w:tcW w:w="3040" w:type="dxa"/>
            <w:vAlign w:val="bottom"/>
          </w:tcPr>
          <w:p>
            <w:pPr>
              <w:spacing w:after="0"/>
              <w:rPr>
                <w:sz w:val="20"/>
                <w:szCs w:val="20"/>
                <w:color w:val="auto"/>
              </w:rPr>
            </w:pPr>
            <w:r>
              <w:rPr>
                <w:rFonts w:ascii="Arial" w:cs="Arial" w:eastAsia="Arial" w:hAnsi="Arial"/>
                <w:sz w:val="16"/>
                <w:szCs w:val="16"/>
                <w:color w:val="auto"/>
              </w:rPr>
              <w:t>shared power to vote or to direct the vote:</w:t>
            </w:r>
          </w:p>
        </w:tc>
        <w:tc>
          <w:tcPr>
            <w:tcW w:w="5800" w:type="dxa"/>
            <w:vAlign w:val="bottom"/>
            <w:gridSpan w:val="2"/>
          </w:tcPr>
          <w:p>
            <w:pPr>
              <w:jc w:val="right"/>
              <w:ind w:right="4540"/>
              <w:spacing w:after="0"/>
              <w:rPr>
                <w:sz w:val="20"/>
                <w:szCs w:val="20"/>
                <w:color w:val="auto"/>
              </w:rPr>
            </w:pPr>
            <w:r>
              <w:rPr>
                <w:rFonts w:ascii="Arial" w:cs="Arial" w:eastAsia="Arial" w:hAnsi="Arial"/>
                <w:sz w:val="16"/>
                <w:szCs w:val="16"/>
                <w:b w:val="1"/>
                <w:bCs w:val="1"/>
                <w:color w:val="auto"/>
              </w:rPr>
              <w:t>Not applicable.</w:t>
            </w:r>
          </w:p>
        </w:tc>
      </w:tr>
      <w:tr>
        <w:trPr>
          <w:trHeight w:val="478"/>
        </w:trPr>
        <w:tc>
          <w:tcPr>
            <w:tcW w:w="11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(iii)</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5"/>
              </w:rPr>
              <w:t>sole power to dispose or to direct the disposition of:</w:t>
            </w:r>
          </w:p>
        </w:tc>
        <w:tc>
          <w:tcPr>
            <w:tcW w:w="5300" w:type="dxa"/>
            <w:vAlign w:val="bottom"/>
          </w:tcPr>
          <w:p>
            <w:pPr>
              <w:jc w:val="right"/>
              <w:ind w:right="4460"/>
              <w:spacing w:after="0"/>
              <w:rPr>
                <w:sz w:val="20"/>
                <w:szCs w:val="20"/>
                <w:color w:val="auto"/>
              </w:rPr>
            </w:pPr>
            <w:r>
              <w:rPr>
                <w:rFonts w:ascii="Arial" w:cs="Arial" w:eastAsia="Arial" w:hAnsi="Arial"/>
                <w:sz w:val="16"/>
                <w:szCs w:val="16"/>
                <w:b w:val="1"/>
                <w:bCs w:val="1"/>
                <w:color w:val="auto"/>
              </w:rPr>
              <w:t>71,927</w:t>
            </w:r>
          </w:p>
        </w:tc>
      </w:tr>
      <w:tr>
        <w:trPr>
          <w:trHeight w:val="442"/>
        </w:trPr>
        <w:tc>
          <w:tcPr>
            <w:tcW w:w="11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(iv)</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0"/>
              </w:rPr>
              <w:t>shared power to dispose or to direct the disposition of:</w:t>
            </w:r>
          </w:p>
        </w:tc>
        <w:tc>
          <w:tcPr>
            <w:tcW w:w="5300" w:type="dxa"/>
            <w:vAlign w:val="bottom"/>
          </w:tcPr>
          <w:p>
            <w:pPr>
              <w:jc w:val="right"/>
              <w:ind w:right="4540"/>
              <w:spacing w:after="0"/>
              <w:rPr>
                <w:sz w:val="20"/>
                <w:szCs w:val="20"/>
                <w:color w:val="auto"/>
              </w:rPr>
            </w:pPr>
            <w:r>
              <w:rPr>
                <w:rFonts w:ascii="Arial" w:cs="Arial" w:eastAsia="Arial" w:hAnsi="Arial"/>
                <w:sz w:val="16"/>
                <w:szCs w:val="16"/>
                <w:b w:val="1"/>
                <w:bCs w:val="1"/>
                <w:color w:val="auto"/>
                <w:w w:val="92"/>
              </w:rPr>
              <w:t>1,375,084</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5</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rPr>
              <w:t>Ownership of Five Percent or Less of a Class:</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3"/>
        </w:trPr>
        <w:tc>
          <w:tcPr>
            <w:tcW w:w="1100" w:type="dxa"/>
            <w:vAlign w:val="bottom"/>
          </w:tcPr>
          <w:p>
            <w:pPr>
              <w:spacing w:after="0"/>
              <w:rPr>
                <w:sz w:val="24"/>
                <w:szCs w:val="24"/>
                <w:color w:val="auto"/>
              </w:rPr>
            </w:pPr>
          </w:p>
        </w:tc>
        <w:tc>
          <w:tcPr>
            <w:tcW w:w="10300" w:type="dxa"/>
            <w:vAlign w:val="bottom"/>
            <w:gridSpan w:val="4"/>
          </w:tcPr>
          <w:p>
            <w:pPr>
              <w:ind w:left="1200"/>
              <w:spacing w:after="0"/>
              <w:rPr>
                <w:sz w:val="20"/>
                <w:szCs w:val="20"/>
                <w:color w:val="auto"/>
              </w:rPr>
            </w:pPr>
            <w:r>
              <w:rPr>
                <w:rFonts w:ascii="Arial" w:cs="Arial" w:eastAsia="Arial" w:hAnsi="Arial"/>
                <w:sz w:val="16"/>
                <w:szCs w:val="16"/>
                <w:b w:val="1"/>
                <w:bCs w:val="1"/>
                <w:color w:val="auto"/>
                <w:w w:val="88"/>
              </w:rPr>
              <w:t>If this statement is being filed to report the fact that as of the date hereof the Reporting Person has ceased to be the beneficial owner of</w:t>
            </w:r>
          </w:p>
        </w:tc>
      </w:tr>
      <w:tr>
        <w:trPr>
          <w:trHeight w:val="208"/>
        </w:trPr>
        <w:tc>
          <w:tcPr>
            <w:tcW w:w="1100" w:type="dxa"/>
            <w:vAlign w:val="bottom"/>
          </w:tcPr>
          <w:p>
            <w:pPr>
              <w:spacing w:after="0"/>
              <w:rPr>
                <w:sz w:val="18"/>
                <w:szCs w:val="18"/>
                <w:color w:val="auto"/>
              </w:rPr>
            </w:pPr>
          </w:p>
        </w:tc>
        <w:tc>
          <w:tcPr>
            <w:tcW w:w="10300" w:type="dxa"/>
            <w:vAlign w:val="bottom"/>
            <w:gridSpan w:val="4"/>
          </w:tcPr>
          <w:p>
            <w:pPr>
              <w:ind w:left="1200"/>
              <w:spacing w:after="0"/>
              <w:rPr>
                <w:sz w:val="20"/>
                <w:szCs w:val="20"/>
                <w:color w:val="auto"/>
              </w:rPr>
            </w:pPr>
            <w:r>
              <w:rPr>
                <w:rFonts w:ascii="Arial" w:cs="Arial" w:eastAsia="Arial" w:hAnsi="Arial"/>
                <w:sz w:val="16"/>
                <w:szCs w:val="16"/>
                <w:b w:val="1"/>
                <w:bCs w:val="1"/>
                <w:color w:val="auto"/>
              </w:rPr>
              <w:t xml:space="preserve">more than five percent of the class of securities, check the following </w:t>
            </w:r>
            <w:r>
              <w:rPr>
                <w:rFonts w:ascii="Arial" w:cs="Arial" w:eastAsia="Arial" w:hAnsi="Arial"/>
                <w:sz w:val="16"/>
                <w:szCs w:val="16"/>
                <w:color w:val="auto"/>
              </w:rPr>
              <w:t>o.</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6</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w w:val="91"/>
              </w:rPr>
              <w:t>Ownership of More than Five Percent on Behalf of Another Person:</w:t>
            </w: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7</w:t>
            </w:r>
          </w:p>
        </w:tc>
        <w:tc>
          <w:tcPr>
            <w:tcW w:w="10300" w:type="dxa"/>
            <w:vAlign w:val="bottom"/>
            <w:gridSpan w:val="4"/>
          </w:tcPr>
          <w:p>
            <w:pPr>
              <w:ind w:left="620"/>
              <w:spacing w:after="0"/>
              <w:rPr>
                <w:sz w:val="20"/>
                <w:szCs w:val="20"/>
                <w:color w:val="auto"/>
              </w:rPr>
            </w:pPr>
            <w:r>
              <w:rPr>
                <w:rFonts w:ascii="Arial" w:cs="Arial" w:eastAsia="Arial" w:hAnsi="Arial"/>
                <w:sz w:val="16"/>
                <w:szCs w:val="16"/>
                <w:color w:val="auto"/>
              </w:rPr>
              <w:t>Identification and Classification of the Subsidiary Which Acquired the Security Being Reported on By the Parent Holding Company.</w:t>
            </w: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8</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w w:val="94"/>
              </w:rPr>
              <w:t>Identification and Classification of Members of the Group.</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9</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rPr>
              <w:t>Notice of Dissolution of Group.</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10</w:t>
            </w:r>
          </w:p>
        </w:tc>
        <w:tc>
          <w:tcPr>
            <w:tcW w:w="1460" w:type="dxa"/>
            <w:vAlign w:val="bottom"/>
          </w:tcPr>
          <w:p>
            <w:pPr>
              <w:ind w:left="620"/>
              <w:spacing w:after="0"/>
              <w:rPr>
                <w:sz w:val="20"/>
                <w:szCs w:val="20"/>
                <w:color w:val="auto"/>
              </w:rPr>
            </w:pPr>
            <w:r>
              <w:rPr>
                <w:rFonts w:ascii="Arial" w:cs="Arial" w:eastAsia="Arial" w:hAnsi="Arial"/>
                <w:sz w:val="16"/>
                <w:szCs w:val="16"/>
                <w:color w:val="auto"/>
                <w:w w:val="92"/>
              </w:rPr>
              <w:t>Certification.</w:t>
            </w: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2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98" w:right="259" w:bottom="1440" w:gutter="0" w:footer="0" w:header="0"/>
        </w:sectPr>
      </w:pPr>
    </w:p>
    <w:bookmarkStart w:id="5" w:name="page6"/>
    <w:bookmarkEnd w:id="5"/>
    <w:p>
      <w:pPr>
        <w:ind w:left="5240"/>
        <w:spacing w:after="0"/>
        <w:rPr>
          <w:sz w:val="20"/>
          <w:szCs w:val="20"/>
          <w:color w:val="auto"/>
        </w:rPr>
      </w:pPr>
      <w:r>
        <w:rPr>
          <w:rFonts w:ascii="Arial" w:cs="Arial" w:eastAsia="Arial" w:hAnsi="Arial"/>
          <w:sz w:val="16"/>
          <w:szCs w:val="16"/>
          <w:b w:val="1"/>
          <w:bCs w:val="1"/>
          <w:u w:val="single" w:color="auto"/>
          <w:color w:val="auto"/>
        </w:rPr>
        <w:t>SIGNATURE</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2007</w:t>
      </w:r>
    </w:p>
    <w:p>
      <w:pPr>
        <w:spacing w:after="0" w:line="242"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Mauro Gibellini</w:t>
      </w:r>
    </w:p>
    <w:p>
      <w:pPr>
        <w:spacing w:after="0" w:line="200" w:lineRule="exact"/>
        <w:rPr>
          <w:sz w:val="20"/>
          <w:szCs w:val="20"/>
          <w:color w:val="auto"/>
        </w:rPr>
      </w:pPr>
    </w:p>
    <w:p>
      <w:pPr>
        <w:spacing w:after="0" w:line="241" w:lineRule="exact"/>
        <w:rPr>
          <w:sz w:val="20"/>
          <w:szCs w:val="20"/>
          <w:color w:val="auto"/>
        </w:rPr>
      </w:pPr>
    </w:p>
    <w:p>
      <w:pPr>
        <w:ind w:left="4260"/>
        <w:spacing w:after="0"/>
        <w:tabs>
          <w:tab w:leader="none" w:pos="4660" w:val="left"/>
        </w:tabs>
        <w:rPr>
          <w:sz w:val="20"/>
          <w:szCs w:val="20"/>
          <w:color w:val="auto"/>
        </w:rPr>
      </w:pPr>
      <w:r>
        <w:rPr>
          <w:rFonts w:ascii="Arial" w:cs="Arial" w:eastAsia="Arial" w:hAnsi="Arial"/>
          <w:sz w:val="16"/>
          <w:szCs w:val="16"/>
          <w:color w:val="auto"/>
        </w:rPr>
        <w:t>By:</w:t>
        <w:tab/>
        <w:t>/s/ Carl A. Valenstein</w:t>
      </w:r>
    </w:p>
    <w:p>
      <w:pPr>
        <w:spacing w:after="0" w:line="3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Name: Carl A. Valenstein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-115570</wp:posOffset>
            </wp:positionV>
            <wp:extent cx="24206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ind w:left="4680"/>
        <w:spacing w:after="0"/>
        <w:tabs>
          <w:tab w:leader="none" w:pos="51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Attorney-in-fact</w:t>
      </w:r>
    </w:p>
    <w:p>
      <w:pPr>
        <w:spacing w:after="0" w:line="230"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0340"/>
          </w:cols>
          <w:pgMar w:left="240" w:top="338" w:right="1319" w:bottom="1440" w:gutter="0" w:footer="0" w:header="0"/>
        </w:sectPr>
      </w:pPr>
    </w:p>
    <w:bookmarkStart w:id="6" w:name="page7"/>
    <w:bookmarkEnd w:id="6"/>
    <w:p>
      <w:pPr>
        <w:jc w:val="right"/>
        <w:ind w:right="3879"/>
        <w:spacing w:after="0"/>
        <w:rPr>
          <w:sz w:val="20"/>
          <w:szCs w:val="20"/>
          <w:color w:val="auto"/>
        </w:rPr>
      </w:pPr>
      <w:r>
        <w:rPr>
          <w:rFonts w:ascii="Arial" w:cs="Arial" w:eastAsia="Arial" w:hAnsi="Arial"/>
          <w:sz w:val="16"/>
          <w:szCs w:val="16"/>
          <w:b w:val="1"/>
          <w:bCs w:val="1"/>
          <w:color w:val="auto"/>
        </w:rPr>
        <w:t>EXHIBIT INDEX</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50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180" w:type="dxa"/>
            <w:vAlign w:val="bottom"/>
          </w:tcPr>
          <w:p>
            <w:pPr>
              <w:spacing w:after="0"/>
              <w:rPr>
                <w:sz w:val="20"/>
                <w:szCs w:val="20"/>
                <w:color w:val="auto"/>
              </w:rPr>
            </w:pPr>
            <w:r>
              <w:rPr>
                <w:rFonts w:ascii="Arial" w:cs="Arial" w:eastAsia="Arial" w:hAnsi="Arial"/>
                <w:sz w:val="16"/>
                <w:szCs w:val="16"/>
                <w:b w:val="1"/>
                <w:bCs w:val="1"/>
                <w:color w:val="auto"/>
              </w:rPr>
              <w:t>Description</w:t>
            </w:r>
          </w:p>
        </w:tc>
      </w:tr>
      <w:tr>
        <w:trPr>
          <w:trHeight w:val="394"/>
        </w:trPr>
        <w:tc>
          <w:tcPr>
            <w:tcW w:w="1500" w:type="dxa"/>
            <w:vAlign w:val="bottom"/>
          </w:tcPr>
          <w:p>
            <w:pPr>
              <w:spacing w:after="0"/>
              <w:rPr>
                <w:sz w:val="20"/>
                <w:szCs w:val="20"/>
                <w:color w:val="auto"/>
              </w:rPr>
            </w:pPr>
            <w:r>
              <w:rPr>
                <w:rFonts w:ascii="Arial" w:cs="Arial" w:eastAsia="Arial" w:hAnsi="Arial"/>
                <w:sz w:val="16"/>
                <w:szCs w:val="16"/>
                <w:color w:val="auto"/>
              </w:rPr>
              <w:t>1</w:t>
            </w:r>
          </w:p>
        </w:tc>
        <w:tc>
          <w:tcPr>
            <w:tcW w:w="1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1"/>
              </w:rPr>
              <w:t>Power of Attorney</w:t>
            </w:r>
          </w:p>
        </w:tc>
      </w:tr>
    </w:tbl>
    <w:p>
      <w:pPr>
        <w:sectPr>
          <w:pgSz w:w="11900" w:h="16838" w:orient="portrait"/>
          <w:cols w:equalWidth="0" w:num="1">
            <w:col w:w="10219"/>
          </w:cols>
          <w:pgMar w:left="240" w:top="338"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color w:val="auto"/>
        </w:rPr>
        <w:t>EXHIBIT 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46" w:lineRule="exact"/>
        <w:rPr>
          <w:sz w:val="20"/>
          <w:szCs w:val="20"/>
          <w:color w:val="auto"/>
        </w:rPr>
      </w:pPr>
    </w:p>
    <w:p>
      <w:pPr>
        <w:ind w:right="80" w:firstLine="574"/>
        <w:spacing w:after="0" w:line="265" w:lineRule="auto"/>
        <w:rPr>
          <w:sz w:val="20"/>
          <w:szCs w:val="20"/>
          <w:color w:val="auto"/>
        </w:rPr>
      </w:pPr>
      <w:r>
        <w:rPr>
          <w:rFonts w:ascii="Arial" w:cs="Arial" w:eastAsia="Arial" w:hAnsi="Arial"/>
          <w:sz w:val="16"/>
          <w:szCs w:val="16"/>
          <w:color w:val="auto"/>
        </w:rPr>
        <w:t xml:space="preserve">Know all by these presents, that the undersigned hereby makes, constitutes and appoints any attorney or legal assistant of Thelen Reid &amp; Priest LLP, including </w:t>
      </w:r>
      <w:r>
        <w:rPr>
          <w:rFonts w:ascii="Arial" w:cs="Arial" w:eastAsia="Arial" w:hAnsi="Arial"/>
          <w:sz w:val="16"/>
          <w:szCs w:val="16"/>
          <w:b w:val="1"/>
          <w:bCs w:val="1"/>
          <w:color w:val="auto"/>
        </w:rPr>
        <w:t>Carl A.</w:t>
      </w:r>
      <w:r>
        <w:rPr>
          <w:rFonts w:ascii="Arial" w:cs="Arial" w:eastAsia="Arial" w:hAnsi="Arial"/>
          <w:sz w:val="16"/>
          <w:szCs w:val="16"/>
          <w:color w:val="auto"/>
        </w:rPr>
        <w:t xml:space="preserve"> </w:t>
      </w:r>
      <w:r>
        <w:rPr>
          <w:rFonts w:ascii="Arial" w:cs="Arial" w:eastAsia="Arial" w:hAnsi="Arial"/>
          <w:sz w:val="16"/>
          <w:szCs w:val="16"/>
          <w:b w:val="1"/>
          <w:bCs w:val="1"/>
          <w:color w:val="auto"/>
        </w:rPr>
        <w:t>Valenstein, Esq., Joseph R. Tiano, Esq., Andrea Schroepfer and Rachel Lipman</w:t>
      </w:r>
      <w:r>
        <w:rPr>
          <w:rFonts w:ascii="Arial" w:cs="Arial" w:eastAsia="Arial" w:hAnsi="Arial"/>
          <w:sz w:val="16"/>
          <w:szCs w:val="16"/>
          <w:color w:val="auto"/>
        </w:rPr>
        <w:t>, signing singly and each acting individually, as the undersigned’s true and lawful attorney-in-fact with full power and authority as hereinafter described to:</w:t>
      </w:r>
    </w:p>
    <w:p>
      <w:pPr>
        <w:spacing w:after="0" w:line="203" w:lineRule="exact"/>
        <w:rPr>
          <w:sz w:val="20"/>
          <w:szCs w:val="20"/>
          <w:color w:val="auto"/>
        </w:rPr>
      </w:pPr>
    </w:p>
    <w:p>
      <w:pPr>
        <w:ind w:right="220" w:firstLine="569"/>
        <w:spacing w:after="0" w:line="315" w:lineRule="auto"/>
        <w:tabs>
          <w:tab w:leader="none" w:pos="1126"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execute, acknowledge, and deliver such written documentation with respect to completing and filing a </w:t>
      </w:r>
      <w:r>
        <w:rPr>
          <w:rFonts w:ascii="Arial" w:cs="Arial" w:eastAsia="Arial" w:hAnsi="Arial"/>
          <w:sz w:val="15"/>
          <w:szCs w:val="15"/>
          <w:b w:val="1"/>
          <w:bCs w:val="1"/>
          <w:color w:val="auto"/>
        </w:rPr>
        <w:t>UNIFORM APPLICATION FOR ACCESS CODES</w:t>
      </w:r>
      <w:r>
        <w:rPr>
          <w:rFonts w:ascii="Arial" w:cs="Arial" w:eastAsia="Arial" w:hAnsi="Arial"/>
          <w:sz w:val="15"/>
          <w:szCs w:val="15"/>
          <w:color w:val="auto"/>
        </w:rPr>
        <w:t xml:space="preserve"> </w:t>
      </w:r>
      <w:r>
        <w:rPr>
          <w:rFonts w:ascii="Arial" w:cs="Arial" w:eastAsia="Arial" w:hAnsi="Arial"/>
          <w:sz w:val="15"/>
          <w:szCs w:val="15"/>
          <w:b w:val="1"/>
          <w:bCs w:val="1"/>
          <w:color w:val="auto"/>
        </w:rPr>
        <w:t>TO FILE ON EDGAR with the U.S. Security and Exchange Commission</w:t>
      </w:r>
      <w:r>
        <w:rPr>
          <w:rFonts w:ascii="Arial" w:cs="Arial" w:eastAsia="Arial" w:hAnsi="Arial"/>
          <w:sz w:val="15"/>
          <w:szCs w:val="15"/>
          <w:color w:val="auto"/>
        </w:rPr>
        <w:t>, all upon such terms and conditions as said attorney shall approve.</w:t>
      </w:r>
    </w:p>
    <w:p>
      <w:pPr>
        <w:spacing w:after="0" w:line="172" w:lineRule="exact"/>
        <w:rPr>
          <w:rFonts w:ascii="Arial" w:cs="Arial" w:eastAsia="Arial" w:hAnsi="Arial"/>
          <w:sz w:val="15"/>
          <w:szCs w:val="15"/>
          <w:color w:val="auto"/>
        </w:rPr>
      </w:pPr>
    </w:p>
    <w:p>
      <w:pPr>
        <w:ind w:right="40" w:firstLine="569"/>
        <w:spacing w:after="0" w:line="262" w:lineRule="auto"/>
        <w:tabs>
          <w:tab w:leader="none" w:pos="1126" w:val="left"/>
        </w:tabs>
        <w:numPr>
          <w:ilvl w:val="0"/>
          <w:numId w:val="3"/>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a significant stockholder of Emergent BioSolutions Inc. (the “Company”), Forms 3, 4, and 5 (including any amendments thereto) in accordance with Section 16(a) of the Securities Exchange Act of 1934 and the rules thereunder (the “Exchange Act”) and Forms 13D and/or 13G (including any amendments thereto) in accordance with Section 13 of the Exchange Act;</w:t>
      </w:r>
    </w:p>
    <w:p>
      <w:pPr>
        <w:spacing w:after="0" w:line="210" w:lineRule="exact"/>
        <w:rPr>
          <w:rFonts w:ascii="Arial" w:cs="Arial" w:eastAsia="Arial" w:hAnsi="Arial"/>
          <w:sz w:val="16"/>
          <w:szCs w:val="16"/>
          <w:color w:val="auto"/>
        </w:rPr>
      </w:pPr>
    </w:p>
    <w:p>
      <w:pPr>
        <w:jc w:val="both"/>
        <w:ind w:right="120" w:firstLine="569"/>
        <w:spacing w:after="0" w:line="262" w:lineRule="auto"/>
        <w:tabs>
          <w:tab w:leader="none" w:pos="1126" w:val="left"/>
        </w:tabs>
        <w:numPr>
          <w:ilvl w:val="0"/>
          <w:numId w:val="3"/>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prepare, complete and execute any such Form 3, 4, 5, 13D and/or 13G, prepare, complete and execute any amendment or amendments thereto, and timely deliver and file such form with the United States Securities and Exchange Commission and any stock exchange or similar authority;</w:t>
      </w:r>
    </w:p>
    <w:p>
      <w:pPr>
        <w:spacing w:after="0" w:line="210" w:lineRule="exact"/>
        <w:rPr>
          <w:rFonts w:ascii="Arial" w:cs="Arial" w:eastAsia="Arial" w:hAnsi="Arial"/>
          <w:sz w:val="16"/>
          <w:szCs w:val="16"/>
          <w:color w:val="auto"/>
        </w:rPr>
      </w:pPr>
    </w:p>
    <w:p>
      <w:pPr>
        <w:ind w:firstLine="569"/>
        <w:spacing w:after="0" w:line="262" w:lineRule="auto"/>
        <w:tabs>
          <w:tab w:leader="none" w:pos="1126"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 and</w:t>
      </w:r>
    </w:p>
    <w:p>
      <w:pPr>
        <w:spacing w:after="0" w:line="210" w:lineRule="exact"/>
        <w:rPr>
          <w:rFonts w:ascii="Arial" w:cs="Arial" w:eastAsia="Arial" w:hAnsi="Arial"/>
          <w:sz w:val="16"/>
          <w:szCs w:val="16"/>
          <w:color w:val="auto"/>
        </w:rPr>
      </w:pPr>
    </w:p>
    <w:p>
      <w:pPr>
        <w:ind w:right="40" w:firstLine="569"/>
        <w:spacing w:after="0" w:line="287" w:lineRule="auto"/>
        <w:tabs>
          <w:tab w:leader="none" w:pos="1126" w:val="left"/>
        </w:tabs>
        <w:numPr>
          <w:ilvl w:val="0"/>
          <w:numId w:val="3"/>
        </w:numPr>
        <w:rPr>
          <w:rFonts w:ascii="Arial" w:cs="Arial" w:eastAsia="Arial" w:hAnsi="Arial"/>
          <w:sz w:val="15"/>
          <w:szCs w:val="15"/>
          <w:color w:val="auto"/>
        </w:rPr>
      </w:pPr>
      <w:r>
        <w:rPr>
          <w:rFonts w:ascii="Arial" w:cs="Arial" w:eastAsia="Arial" w:hAnsi="Arial"/>
          <w:sz w:val="15"/>
          <w:szCs w:val="15"/>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4" w:lineRule="exact"/>
        <w:rPr>
          <w:sz w:val="20"/>
          <w:szCs w:val="20"/>
          <w:color w:val="auto"/>
        </w:rPr>
      </w:pPr>
    </w:p>
    <w:p>
      <w:pPr>
        <w:ind w:right="20" w:firstLine="574"/>
        <w:spacing w:after="0" w:line="258"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474345</wp:posOffset>
            </wp:positionV>
            <wp:extent cx="726757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8" w:name="page9"/>
    <w:bookmarkEnd w:id="8"/>
    <w:p>
      <w:pPr>
        <w:ind w:right="40"/>
        <w:spacing w:after="0" w:line="255" w:lineRule="auto"/>
        <w:rPr>
          <w:sz w:val="20"/>
          <w:szCs w:val="20"/>
          <w:color w:val="auto"/>
        </w:rPr>
      </w:pPr>
      <w:r>
        <w:rPr>
          <w:rFonts w:ascii="Arial" w:cs="Arial" w:eastAsia="Arial" w:hAnsi="Arial"/>
          <w:sz w:val="16"/>
          <w:szCs w:val="16"/>
          <w:color w:val="auto"/>
        </w:rPr>
        <w:t>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Section 16 or Section 13 of the Exchange Act. The undersigned acknowledges that neither the Company nor the foregoing attorneys-in-fact assume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218" w:lineRule="exact"/>
        <w:rPr>
          <w:sz w:val="20"/>
          <w:szCs w:val="20"/>
          <w:color w:val="auto"/>
        </w:rPr>
      </w:pPr>
    </w:p>
    <w:p>
      <w:pPr>
        <w:ind w:firstLine="574"/>
        <w:spacing w:after="0" w:line="349" w:lineRule="auto"/>
        <w:rPr>
          <w:sz w:val="20"/>
          <w:szCs w:val="20"/>
          <w:color w:val="auto"/>
        </w:rPr>
      </w:pPr>
      <w:r>
        <w:rPr>
          <w:rFonts w:ascii="Arial" w:cs="Arial" w:eastAsia="Arial" w:hAnsi="Arial"/>
          <w:sz w:val="14"/>
          <w:szCs w:val="14"/>
          <w:color w:val="auto"/>
        </w:rPr>
        <w:t>This Power of Attorney shall remain in full force and effect until the undersigned is no longer required to file Forms 3, 4, 5, 13D or 13G with respect to the undersigned’s holdings of and transactions in securities issued by the Company, unless earlier revoked by the undersigned in a signed writing delivered to the foregoing attorneys-in-fact.</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has caused this Power of Attorney to be executed as of this 8th day of November, 2006.</w:t>
      </w:r>
    </w:p>
    <w:p>
      <w:pPr>
        <w:spacing w:after="0" w:line="200" w:lineRule="exact"/>
        <w:rPr>
          <w:sz w:val="20"/>
          <w:szCs w:val="20"/>
          <w:color w:val="auto"/>
        </w:rPr>
      </w:pPr>
    </w:p>
    <w:p>
      <w:pPr>
        <w:spacing w:after="0" w:line="285"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/s/ Mauro Gibellini</w:t>
      </w:r>
    </w:p>
    <w:p>
      <w:pPr>
        <w:spacing w:after="0" w:line="31"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Mauro Gibellini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-115570</wp:posOffset>
            </wp:positionV>
            <wp:extent cx="25196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9680" cy="76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380"/>
          </w:cols>
          <w:pgMar w:left="240" w:top="581" w:right="27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2019-12-15T12:06:52Z</dcterms:created>
  <dcterms:modified xsi:type="dcterms:W3CDTF">2019-12-15T12:06:52Z</dcterms:modified>
</cp:coreProperties>
</file>