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Niederhuber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ROCKVILLE</w:t>
            </w:r>
          </w:p>
        </w:tc>
        <w:tc>
          <w:tcPr>
            <w:tcW w:w="980" w:type="dxa"/>
            <w:vAlign w:val="bottom"/>
          </w:tcPr>
          <w:p>
            <w:pPr>
              <w:ind w:left="140"/>
              <w:spacing w:after="0"/>
              <w:rPr>
                <w:sz w:val="20"/>
                <w:szCs w:val="20"/>
                <w:color w:val="auto"/>
              </w:rPr>
            </w:pPr>
            <w:r>
              <w:rPr>
                <w:rFonts w:ascii="Arial" w:cs="Arial" w:eastAsia="Arial" w:hAnsi="Arial"/>
                <w:sz w:val="18"/>
                <w:szCs w:val="18"/>
                <w:color w:val="0000FF"/>
              </w:rPr>
              <w:t>MD</w:t>
            </w:r>
          </w:p>
        </w:tc>
        <w:tc>
          <w:tcPr>
            <w:tcW w:w="1680" w:type="dxa"/>
            <w:vAlign w:val="bottom"/>
          </w:tcPr>
          <w:p>
            <w:pPr>
              <w:ind w:left="420"/>
              <w:spacing w:after="0"/>
              <w:rPr>
                <w:sz w:val="20"/>
                <w:szCs w:val="20"/>
                <w:color w:val="auto"/>
              </w:rPr>
            </w:pPr>
            <w:r>
              <w:rPr>
                <w:rFonts w:ascii="Arial" w:cs="Arial" w:eastAsia="Arial" w:hAnsi="Arial"/>
                <w:sz w:val="18"/>
                <w:szCs w:val="18"/>
                <w:color w:val="0000FF"/>
              </w:rPr>
              <w:t>20850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05/22/2014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4,700</w:t>
            </w:r>
            <w:r>
              <w:rPr>
                <w:rFonts w:ascii="Arial" w:cs="Arial" w:eastAsia="Arial" w:hAnsi="Arial"/>
                <w:sz w:val="22"/>
                <w:szCs w:val="22"/>
                <w:color w:val="008000"/>
                <w:w w:val="82"/>
                <w:vertAlign w:val="superscript"/>
              </w:rPr>
              <w:t>(2)</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20,900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Director</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9,400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20.44</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05/22/2014</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9,400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6"/>
              </w:rPr>
              <w:t>05/21/2021</w:t>
            </w: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9,400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Third Amended and Restated Emergent BioSolutions Inc. 2006 Stock Incentive Plan.</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restricted stock units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 Each restricted stock unit represents the right of the Reporting Person to receive one share of common stock of Emergent BioSolutions Inc., subject to adjustment as provided in the grant agreement.</w:t>
      </w:r>
    </w:p>
    <w:p>
      <w:pPr>
        <w:spacing w:after="0" w:line="30" w:lineRule="exact"/>
        <w:rPr>
          <w:rFonts w:ascii="Arial" w:cs="Arial" w:eastAsia="Arial" w:hAnsi="Arial"/>
          <w:sz w:val="14"/>
          <w:szCs w:val="14"/>
          <w:color w:val="008000"/>
        </w:rPr>
      </w:pPr>
    </w:p>
    <w:p>
      <w:pPr>
        <w:ind w:left="40" w:right="7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will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color w:val="0000FF"/>
                <w:w w:val="97"/>
              </w:rPr>
              <w:t>/s/Eric Burt, attorney-in-fact</w:t>
            </w: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05/23/2014</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1240"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2019-12-17T06:04:45Z</dcterms:created>
  <dcterms:modified xsi:type="dcterms:W3CDTF">2019-12-17T06:04:45Z</dcterms:modified>
</cp:coreProperties>
</file>