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ind w:left="4840"/>
        <w:spacing w:after="0"/>
        <w:rPr>
          <w:sz w:val="20"/>
          <w:szCs w:val="20"/>
          <w:color w:val="auto"/>
        </w:rPr>
      </w:pPr>
      <w:r>
        <w:rPr>
          <w:rFonts w:ascii="Arial" w:cs="Arial" w:eastAsia="Arial" w:hAnsi="Arial"/>
          <w:sz w:val="18"/>
          <w:szCs w:val="18"/>
          <w:color w:val="auto"/>
        </w:rPr>
        <w:t>____________________</w:t>
      </w:r>
    </w:p>
    <w:p>
      <w:pPr>
        <w:spacing w:after="0" w:line="205" w:lineRule="exact"/>
        <w:rPr>
          <w:sz w:val="24"/>
          <w:szCs w:val="24"/>
          <w:color w:val="auto"/>
        </w:rPr>
      </w:pPr>
    </w:p>
    <w:p>
      <w:pPr>
        <w:jc w:val="center"/>
        <w:ind w:right="-199"/>
        <w:spacing w:after="0"/>
        <w:rPr>
          <w:sz w:val="20"/>
          <w:szCs w:val="20"/>
          <w:color w:val="auto"/>
        </w:rPr>
      </w:pPr>
      <w:r>
        <w:rPr>
          <w:rFonts w:ascii="Arial" w:cs="Arial" w:eastAsia="Arial" w:hAnsi="Arial"/>
          <w:sz w:val="24"/>
          <w:szCs w:val="24"/>
          <w:b w:val="1"/>
          <w:bCs w:val="1"/>
          <w:color w:val="auto"/>
        </w:rPr>
        <w:t>FORM 8-K</w:t>
      </w:r>
    </w:p>
    <w:p>
      <w:pPr>
        <w:spacing w:after="0" w:line="23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Exchange Act of 1934</w:t>
      </w:r>
    </w:p>
    <w:p>
      <w:pPr>
        <w:spacing w:after="0" w:line="213"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25, 2008</w:t>
      </w:r>
    </w:p>
    <w:p>
      <w:pPr>
        <w:spacing w:after="0" w:line="212"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Emergent BioSolutions Inc.</w:t>
      </w:r>
    </w:p>
    <w:p>
      <w:pPr>
        <w:spacing w:after="0" w:line="23"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Charter)</w:t>
      </w:r>
    </w:p>
    <w:p>
      <w:pPr>
        <w:spacing w:after="0" w:line="205" w:lineRule="exact"/>
        <w:rPr>
          <w:sz w:val="24"/>
          <w:szCs w:val="24"/>
          <w:color w:val="auto"/>
        </w:rPr>
      </w:pPr>
    </w:p>
    <w:tbl>
      <w:tblPr>
        <w:tblLayout w:type="fixed"/>
        <w:tblInd w:w="1960" w:type="dxa"/>
        <w:tblCellMar>
          <w:top w:w="0" w:type="dxa"/>
          <w:left w:w="0" w:type="dxa"/>
          <w:bottom w:w="0" w:type="dxa"/>
          <w:right w:w="0" w:type="dxa"/>
        </w:tblCellMar>
      </w:tblPr>
      <w:tr>
        <w:trPr>
          <w:trHeight w:val="228"/>
        </w:trPr>
        <w:tc>
          <w:tcPr>
            <w:tcW w:w="2580" w:type="dxa"/>
            <w:vAlign w:val="bottom"/>
          </w:tcPr>
          <w:p>
            <w:pPr>
              <w:jc w:val="center"/>
              <w:ind w:right="592"/>
              <w:spacing w:after="0"/>
              <w:rPr>
                <w:sz w:val="20"/>
                <w:szCs w:val="20"/>
                <w:color w:val="auto"/>
              </w:rPr>
            </w:pPr>
            <w:r>
              <w:rPr>
                <w:rFonts w:ascii="Arial" w:cs="Arial" w:eastAsia="Arial" w:hAnsi="Arial"/>
                <w:sz w:val="18"/>
                <w:szCs w:val="18"/>
                <w:b w:val="1"/>
                <w:bCs w:val="1"/>
                <w:color w:val="auto"/>
                <w:w w:val="88"/>
              </w:rPr>
              <w:t>Delaware</w:t>
            </w:r>
          </w:p>
        </w:tc>
        <w:tc>
          <w:tcPr>
            <w:tcW w:w="2560" w:type="dxa"/>
            <w:vAlign w:val="bottom"/>
          </w:tcPr>
          <w:p>
            <w:pPr>
              <w:jc w:val="center"/>
              <w:ind w:right="112"/>
              <w:spacing w:after="0"/>
              <w:rPr>
                <w:sz w:val="20"/>
                <w:szCs w:val="20"/>
                <w:color w:val="auto"/>
              </w:rPr>
            </w:pPr>
            <w:r>
              <w:rPr>
                <w:rFonts w:ascii="Arial" w:cs="Arial" w:eastAsia="Arial" w:hAnsi="Arial"/>
                <w:sz w:val="18"/>
                <w:szCs w:val="18"/>
                <w:b w:val="1"/>
                <w:bCs w:val="1"/>
                <w:color w:val="auto"/>
                <w:w w:val="88"/>
              </w:rPr>
              <w:t>001-33137</w:t>
            </w:r>
          </w:p>
        </w:tc>
        <w:tc>
          <w:tcPr>
            <w:tcW w:w="2080" w:type="dxa"/>
            <w:vAlign w:val="bottom"/>
          </w:tcPr>
          <w:p>
            <w:pPr>
              <w:jc w:val="center"/>
              <w:ind w:left="672"/>
              <w:spacing w:after="0"/>
              <w:rPr>
                <w:sz w:val="20"/>
                <w:szCs w:val="20"/>
                <w:color w:val="auto"/>
              </w:rPr>
            </w:pPr>
            <w:r>
              <w:rPr>
                <w:rFonts w:ascii="Arial" w:cs="Arial" w:eastAsia="Arial" w:hAnsi="Arial"/>
                <w:sz w:val="18"/>
                <w:szCs w:val="18"/>
                <w:b w:val="1"/>
                <w:bCs w:val="1"/>
                <w:color w:val="auto"/>
                <w:w w:val="87"/>
              </w:rPr>
              <w:t>14-1902018</w:t>
            </w:r>
          </w:p>
        </w:tc>
        <w:tc>
          <w:tcPr>
            <w:tcW w:w="0" w:type="dxa"/>
            <w:vAlign w:val="bottom"/>
          </w:tcPr>
          <w:p>
            <w:pPr>
              <w:spacing w:after="0"/>
              <w:rPr>
                <w:sz w:val="1"/>
                <w:szCs w:val="1"/>
                <w:color w:val="auto"/>
              </w:rPr>
            </w:pPr>
          </w:p>
        </w:tc>
      </w:tr>
      <w:tr>
        <w:trPr>
          <w:trHeight w:val="264"/>
        </w:trPr>
        <w:tc>
          <w:tcPr>
            <w:tcW w:w="2580" w:type="dxa"/>
            <w:vAlign w:val="bottom"/>
          </w:tcPr>
          <w:p>
            <w:pPr>
              <w:jc w:val="center"/>
              <w:ind w:right="592"/>
              <w:spacing w:after="0"/>
              <w:rPr>
                <w:sz w:val="20"/>
                <w:szCs w:val="20"/>
                <w:color w:val="auto"/>
              </w:rPr>
            </w:pPr>
            <w:r>
              <w:rPr>
                <w:rFonts w:ascii="Arial" w:cs="Arial" w:eastAsia="Arial" w:hAnsi="Arial"/>
                <w:sz w:val="18"/>
                <w:szCs w:val="18"/>
                <w:color w:val="auto"/>
                <w:w w:val="88"/>
              </w:rPr>
              <w:t>(State or Other Jurisdiction</w:t>
            </w:r>
          </w:p>
        </w:tc>
        <w:tc>
          <w:tcPr>
            <w:tcW w:w="2560" w:type="dxa"/>
            <w:vAlign w:val="bottom"/>
          </w:tcPr>
          <w:p>
            <w:pPr>
              <w:jc w:val="center"/>
              <w:ind w:right="132"/>
              <w:spacing w:after="0"/>
              <w:rPr>
                <w:sz w:val="20"/>
                <w:szCs w:val="20"/>
                <w:color w:val="auto"/>
              </w:rPr>
            </w:pPr>
            <w:r>
              <w:rPr>
                <w:rFonts w:ascii="Arial" w:cs="Arial" w:eastAsia="Arial" w:hAnsi="Arial"/>
                <w:sz w:val="18"/>
                <w:szCs w:val="18"/>
                <w:color w:val="auto"/>
                <w:w w:val="89"/>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22"/>
        </w:trPr>
        <w:tc>
          <w:tcPr>
            <w:tcW w:w="2580" w:type="dxa"/>
            <w:vAlign w:val="bottom"/>
            <w:vMerge w:val="restart"/>
          </w:tcPr>
          <w:p>
            <w:pPr>
              <w:jc w:val="center"/>
              <w:ind w:right="612"/>
              <w:spacing w:after="0"/>
              <w:rPr>
                <w:sz w:val="20"/>
                <w:szCs w:val="20"/>
                <w:color w:val="auto"/>
              </w:rPr>
            </w:pPr>
            <w:r>
              <w:rPr>
                <w:rFonts w:ascii="Arial" w:cs="Arial" w:eastAsia="Arial" w:hAnsi="Arial"/>
                <w:sz w:val="18"/>
                <w:szCs w:val="18"/>
                <w:color w:val="auto"/>
                <w:w w:val="91"/>
              </w:rPr>
              <w:t>of Incorporation)</w:t>
            </w:r>
          </w:p>
        </w:tc>
        <w:tc>
          <w:tcPr>
            <w:tcW w:w="2560" w:type="dxa"/>
            <w:vAlign w:val="bottom"/>
          </w:tcPr>
          <w:p>
            <w:pPr>
              <w:jc w:val="center"/>
              <w:ind w:right="132"/>
              <w:spacing w:after="0"/>
              <w:rPr>
                <w:sz w:val="20"/>
                <w:szCs w:val="20"/>
                <w:color w:val="auto"/>
              </w:rPr>
            </w:pPr>
            <w:r>
              <w:rPr>
                <w:rFonts w:ascii="Arial" w:cs="Arial" w:eastAsia="Arial" w:hAnsi="Arial"/>
                <w:sz w:val="18"/>
                <w:szCs w:val="18"/>
                <w:color w:val="auto"/>
                <w:w w:val="90"/>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c>
          <w:tcPr>
            <w:tcW w:w="0" w:type="dxa"/>
            <w:vAlign w:val="bottom"/>
          </w:tcPr>
          <w:p>
            <w:pPr>
              <w:spacing w:after="0"/>
              <w:rPr>
                <w:sz w:val="1"/>
                <w:szCs w:val="1"/>
                <w:color w:val="auto"/>
              </w:rPr>
            </w:pPr>
          </w:p>
        </w:tc>
      </w:tr>
      <w:tr>
        <w:trPr>
          <w:trHeight w:val="216"/>
        </w:trPr>
        <w:tc>
          <w:tcPr>
            <w:tcW w:w="2580" w:type="dxa"/>
            <w:vAlign w:val="bottom"/>
            <w:vMerge w:val="continue"/>
          </w:tcPr>
          <w:p>
            <w:pPr>
              <w:spacing w:after="0"/>
              <w:rPr>
                <w:sz w:val="18"/>
                <w:szCs w:val="18"/>
                <w:color w:val="auto"/>
              </w:rPr>
            </w:pPr>
          </w:p>
        </w:tc>
        <w:tc>
          <w:tcPr>
            <w:tcW w:w="25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140" w:type="dxa"/>
            <w:vAlign w:val="bottom"/>
            <w:gridSpan w:val="2"/>
          </w:tcPr>
          <w:p>
            <w:pPr>
              <w:jc w:val="center"/>
              <w:ind w:right="612"/>
              <w:spacing w:after="0"/>
              <w:rPr>
                <w:sz w:val="20"/>
                <w:szCs w:val="20"/>
                <w:color w:val="auto"/>
              </w:rPr>
            </w:pPr>
            <w:r>
              <w:rPr>
                <w:rFonts w:ascii="Arial" w:cs="Arial" w:eastAsia="Arial" w:hAnsi="Arial"/>
                <w:sz w:val="18"/>
                <w:szCs w:val="18"/>
                <w:b w:val="1"/>
                <w:bCs w:val="1"/>
                <w:color w:val="auto"/>
                <w:w w:val="88"/>
              </w:rPr>
              <w:t>2273 Research Boulevard, Suite 400, Rockville, Maryland</w:t>
            </w:r>
          </w:p>
        </w:tc>
        <w:tc>
          <w:tcPr>
            <w:tcW w:w="2080" w:type="dxa"/>
            <w:vAlign w:val="bottom"/>
          </w:tcPr>
          <w:p>
            <w:pPr>
              <w:jc w:val="right"/>
              <w:ind w:right="392"/>
              <w:spacing w:after="0"/>
              <w:rPr>
                <w:sz w:val="20"/>
                <w:szCs w:val="20"/>
                <w:color w:val="auto"/>
              </w:rPr>
            </w:pPr>
            <w:r>
              <w:rPr>
                <w:rFonts w:ascii="Arial" w:cs="Arial" w:eastAsia="Arial" w:hAnsi="Arial"/>
                <w:sz w:val="18"/>
                <w:szCs w:val="18"/>
                <w:b w:val="1"/>
                <w:bCs w:val="1"/>
                <w:color w:val="auto"/>
              </w:rPr>
              <w:t>20850</w:t>
            </w:r>
          </w:p>
        </w:tc>
        <w:tc>
          <w:tcPr>
            <w:tcW w:w="0" w:type="dxa"/>
            <w:vAlign w:val="bottom"/>
          </w:tcPr>
          <w:p>
            <w:pPr>
              <w:spacing w:after="0"/>
              <w:rPr>
                <w:sz w:val="1"/>
                <w:szCs w:val="1"/>
                <w:color w:val="auto"/>
              </w:rPr>
            </w:pPr>
          </w:p>
        </w:tc>
      </w:tr>
      <w:tr>
        <w:trPr>
          <w:trHeight w:val="324"/>
        </w:trPr>
        <w:tc>
          <w:tcPr>
            <w:tcW w:w="5140" w:type="dxa"/>
            <w:vAlign w:val="bottom"/>
            <w:gridSpan w:val="2"/>
          </w:tcPr>
          <w:p>
            <w:pPr>
              <w:jc w:val="center"/>
              <w:ind w:right="632"/>
              <w:spacing w:after="0"/>
              <w:rPr>
                <w:sz w:val="20"/>
                <w:szCs w:val="20"/>
                <w:color w:val="auto"/>
              </w:rPr>
            </w:pPr>
            <w:r>
              <w:rPr>
                <w:rFonts w:ascii="Arial" w:cs="Arial" w:eastAsia="Arial" w:hAnsi="Arial"/>
                <w:sz w:val="18"/>
                <w:szCs w:val="18"/>
                <w:color w:val="auto"/>
                <w:w w:val="90"/>
              </w:rPr>
              <w:t>(Address of Principal Executive Offices)</w:t>
            </w:r>
          </w:p>
        </w:tc>
        <w:tc>
          <w:tcPr>
            <w:tcW w:w="2080" w:type="dxa"/>
            <w:vAlign w:val="bottom"/>
          </w:tcPr>
          <w:p>
            <w:pPr>
              <w:jc w:val="center"/>
              <w:ind w:left="612"/>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04"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(301) 795-1800</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Not applicable</w:t>
      </w:r>
    </w:p>
    <w:p>
      <w:pPr>
        <w:spacing w:after="0" w:line="69"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firstLine="194"/>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5" w:lineRule="exact"/>
        <w:rPr>
          <w:sz w:val="24"/>
          <w:szCs w:val="24"/>
          <w:color w:val="auto"/>
        </w:rPr>
      </w:pPr>
    </w:p>
    <w:p>
      <w:pPr>
        <w:ind w:left="20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Written communications pursuant to Rule 425 under the Securities Act (17 CFR 230.425)</w:t>
      </w:r>
    </w:p>
    <w:p>
      <w:pPr>
        <w:spacing w:after="0" w:line="120" w:lineRule="exact"/>
        <w:rPr>
          <w:sz w:val="24"/>
          <w:szCs w:val="24"/>
          <w:color w:val="auto"/>
        </w:rPr>
      </w:pPr>
    </w:p>
    <w:p>
      <w:pPr>
        <w:ind w:left="20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Soliciting material pursuant to Rule 14a-12 under the Exchange Act (17 CFR 240.14a-12)</w:t>
      </w:r>
    </w:p>
    <w:p>
      <w:pPr>
        <w:spacing w:after="0" w:line="77" w:lineRule="exact"/>
        <w:rPr>
          <w:sz w:val="24"/>
          <w:szCs w:val="24"/>
          <w:color w:val="auto"/>
        </w:rPr>
      </w:pPr>
    </w:p>
    <w:p>
      <w:pPr>
        <w:ind w:left="20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Pre-commencement communications pursuant to Rule 14d-2(b) under the Exchange Act (17 CFR 240.14d-2(b))</w:t>
      </w:r>
    </w:p>
    <w:p>
      <w:pPr>
        <w:spacing w:after="0" w:line="120" w:lineRule="exact"/>
        <w:rPr>
          <w:sz w:val="24"/>
          <w:szCs w:val="24"/>
          <w:color w:val="auto"/>
        </w:rPr>
      </w:pPr>
    </w:p>
    <w:p>
      <w:pPr>
        <w:ind w:left="20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20"/>
          </w:cols>
          <w:pgMar w:left="240" w:top="220" w:right="4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April 25, 2008, Emergent BioSolutions Inc. (the “Company”) entered into a consulting services agreement with The Hauer Group under which The Hauer Group provides strategic consulting and domestic and international marketing advice to the Company. The consulting services agreement is effective as of April 1, 2008 and replaces a prior agreement between the Company and The Hauer Group for similar services that expired on March 31, 2008. Jerome Hauer, a member of the Company’s Board of Directors, is the chief executive officer of The Hauer Group, and Mr. Hauer and his wife are the sole owners of The Hauer Group. Under the terms of the agreement, the Company agreed to pay the Hauer Group $15,000 per month for its services and reimburse The Hauer Group for reasonable out-of-pocket expenses. The agreement expires on April 1, 2009, unless extended by mutual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p>
      <w:pPr>
        <w:ind w:left="100"/>
        <w:spacing w:after="0"/>
        <w:tabs>
          <w:tab w:leader="none" w:pos="4240" w:val="left"/>
        </w:tabs>
        <w:rPr>
          <w:sz w:val="20"/>
          <w:szCs w:val="20"/>
          <w:color w:val="auto"/>
        </w:rPr>
      </w:pPr>
      <w:r>
        <w:rPr>
          <w:rFonts w:ascii="Arial" w:cs="Arial" w:eastAsia="Arial" w:hAnsi="Arial"/>
          <w:sz w:val="18"/>
          <w:szCs w:val="18"/>
          <w:color w:val="auto"/>
        </w:rPr>
        <w:t>Date: May 2, 2008</w:t>
      </w:r>
      <w:r>
        <w:rPr>
          <w:sz w:val="20"/>
          <w:szCs w:val="20"/>
          <w:color w:val="auto"/>
        </w:rPr>
        <w:tab/>
      </w:r>
      <w:r>
        <w:rPr>
          <w:rFonts w:ascii="Arial" w:cs="Arial" w:eastAsia="Arial" w:hAnsi="Arial"/>
          <w:sz w:val="16"/>
          <w:szCs w:val="16"/>
          <w:color w:val="auto"/>
        </w:rPr>
        <w:t>EMERGENT BIOSOLUTIONS INC.</w:t>
      </w:r>
    </w:p>
    <w:p>
      <w:pPr>
        <w:spacing w:after="0" w:line="333" w:lineRule="exact"/>
        <w:rPr>
          <w:sz w:val="20"/>
          <w:szCs w:val="20"/>
          <w:color w:val="auto"/>
        </w:rPr>
      </w:pPr>
    </w:p>
    <w:p>
      <w:pPr>
        <w:ind w:left="4500"/>
        <w:spacing w:after="0"/>
        <w:tabs>
          <w:tab w:leader="none" w:pos="4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/s/Daniel Abdun-Nabi</w:t>
      </w:r>
    </w:p>
    <w:p>
      <w:pPr>
        <w:spacing w:after="0" w:line="14" w:lineRule="exact"/>
        <w:rPr>
          <w:sz w:val="20"/>
          <w:szCs w:val="20"/>
          <w:color w:val="auto"/>
        </w:rPr>
      </w:pPr>
    </w:p>
    <w:p>
      <w:pPr>
        <w:jc w:val="center"/>
        <w:ind w:right="-439"/>
        <w:spacing w:after="0"/>
        <w:rPr>
          <w:sz w:val="20"/>
          <w:szCs w:val="20"/>
          <w:color w:val="auto"/>
        </w:rPr>
      </w:pPr>
      <w:r>
        <w:rPr>
          <w:rFonts w:ascii="Arial" w:cs="Arial" w:eastAsia="Arial" w:hAnsi="Arial"/>
          <w:sz w:val="22"/>
          <w:szCs w:val="22"/>
          <w:color w:val="auto"/>
        </w:rPr>
        <w:t>President &amp; COO</w:t>
      </w:r>
    </w:p>
    <w:sectPr>
      <w:pgSz w:w="11900" w:h="16838" w:orient="portrait"/>
      <w:cols w:equalWidth="0" w:num="1">
        <w:col w:w="11000"/>
      </w:cols>
      <w:pgMar w:left="240" w:top="125"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2019-12-15T14:46:46Z</dcterms:created>
  <dcterms:modified xsi:type="dcterms:W3CDTF">2019-12-15T14:46:46Z</dcterms:modified>
</cp:coreProperties>
</file>