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6, 2019</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EMERGENT BIOSOLUTIONS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673" w:right="299" w:bottom="1440" w:gutter="0" w:footer="0" w:header="0"/>
        </w:sectPr>
      </w:pPr>
    </w:p>
    <w:p>
      <w:pPr>
        <w:spacing w:after="0" w:line="36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b w:val="1"/>
          <w:bCs w:val="1"/>
          <w:color w:val="auto"/>
        </w:rPr>
        <w:t>001-33137</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14-1902018</w:t>
      </w:r>
    </w:p>
    <w:p>
      <w:pPr>
        <w:spacing w:after="0" w:line="67" w:lineRule="exact"/>
        <w:rPr>
          <w:sz w:val="24"/>
          <w:szCs w:val="24"/>
          <w:color w:val="auto"/>
        </w:rPr>
      </w:pPr>
    </w:p>
    <w:p>
      <w:pPr>
        <w:sectPr>
          <w:pgSz w:w="11900" w:h="16838" w:orient="portrait"/>
          <w:cols w:equalWidth="0" w:num="3">
            <w:col w:w="4620" w:space="720"/>
            <w:col w:w="2760" w:space="720"/>
            <w:col w:w="2540"/>
          </w:cols>
          <w:pgMar w:left="240" w:top="673" w:right="29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w:t>
      </w:r>
    </w:p>
    <w:p>
      <w:pPr>
        <w:spacing w:after="0" w:line="74" w:lineRule="exact"/>
        <w:rPr>
          <w:sz w:val="24"/>
          <w:szCs w:val="24"/>
          <w:color w:val="auto"/>
        </w:rPr>
      </w:pPr>
    </w:p>
    <w:p>
      <w:pPr>
        <w:sectPr>
          <w:pgSz w:w="11900" w:h="16838" w:orient="portrait"/>
          <w:cols w:equalWidth="0" w:num="3">
            <w:col w:w="4000" w:space="720"/>
            <w:col w:w="3280" w:space="720"/>
            <w:col w:w="2640"/>
          </w:cols>
          <w:pgMar w:left="240" w:top="673" w:right="29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48" w:lineRule="exact"/>
        <w:rPr>
          <w:sz w:val="24"/>
          <w:szCs w:val="24"/>
          <w:color w:val="auto"/>
        </w:rPr>
      </w:pPr>
    </w:p>
    <w:p>
      <w:pPr>
        <w:sectPr>
          <w:pgSz w:w="11900" w:h="16838" w:orient="portrait"/>
          <w:cols w:equalWidth="0" w:num="2">
            <w:col w:w="7860" w:space="720"/>
            <w:col w:w="2780"/>
          </w:cols>
          <w:pgMar w:left="240" w:top="673" w:right="29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22"/>
          <w:szCs w:val="22"/>
          <w:b w:val="1"/>
          <w:bCs w:val="1"/>
          <w:color w:val="auto"/>
        </w:rPr>
        <w:t>400 Professional Drive, Suite 400,</w:t>
      </w:r>
    </w:p>
    <w:p>
      <w:pPr>
        <w:spacing w:after="0" w:line="3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Gaithersburg, Maryland 20879</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(240) 631-3200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360"/>
          </w:cols>
          <w:pgMar w:left="240" w:top="673" w:right="299" w:bottom="1440" w:gutter="0" w:footer="0" w:header="0"/>
          <w:type w:val="continuous"/>
        </w:sectPr>
      </w:pPr>
    </w:p>
    <w:p>
      <w:pPr>
        <w:spacing w:after="0" w:line="21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59"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3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EBS</w:t>
            </w:r>
          </w:p>
        </w:tc>
        <w:tc>
          <w:tcPr>
            <w:tcW w:w="4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673"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November 6, 2019, Emergent BioSolutions Inc. announced financial and operating results for the period ended September 30, 2019. The full text of the press release issued in connection with the announcement is attached as Exhibit 99 to this Current Report on Form 8-K.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ind w:left="540"/>
        <w:spacing w:after="0"/>
        <w:tabs>
          <w:tab w:leader="none" w:pos="6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36830</wp:posOffset>
            </wp:positionV>
            <wp:extent cx="1063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61" w:lineRule="exact"/>
        <w:rPr>
          <w:sz w:val="20"/>
          <w:szCs w:val="20"/>
          <w:color w:val="auto"/>
        </w:rPr>
      </w:pPr>
    </w:p>
    <w:p>
      <w:pPr>
        <w:ind w:left="2520" w:hanging="1258"/>
        <w:spacing w:after="0"/>
        <w:tabs>
          <w:tab w:leader="none" w:pos="2520" w:val="left"/>
        </w:tabs>
        <w:numPr>
          <w:ilvl w:val="0"/>
          <w:numId w:val="3"/>
        </w:numPr>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Press release issued by the company on November 6, 2019.</w:t>
        </w:r>
      </w:hyperlink>
    </w:p>
    <w:p>
      <w:pPr>
        <w:spacing w:after="0" w:line="63"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88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Emergent BioSolutions Inc. Current Report on Form 8-K, dated November 6, 2019, formatted in XBRL (Extensible</w:t>
            </w:r>
          </w:p>
        </w:tc>
      </w:tr>
      <w:tr>
        <w:trPr>
          <w:trHeight w:val="216"/>
        </w:trPr>
        <w:tc>
          <w:tcPr>
            <w:tcW w:w="780" w:type="dxa"/>
            <w:vAlign w:val="bottom"/>
          </w:tcPr>
          <w:p>
            <w:pPr>
              <w:spacing w:after="0"/>
              <w:rPr>
                <w:sz w:val="18"/>
                <w:szCs w:val="18"/>
                <w:color w:val="auto"/>
              </w:rPr>
            </w:pPr>
          </w:p>
        </w:tc>
        <w:tc>
          <w:tcPr>
            <w:tcW w:w="8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Business Reporting Language): Cover Page. The instance document does not appear in the Interactive Data File</w:t>
            </w:r>
          </w:p>
        </w:tc>
      </w:tr>
      <w:tr>
        <w:trPr>
          <w:trHeight w:val="234"/>
        </w:trPr>
        <w:tc>
          <w:tcPr>
            <w:tcW w:w="7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101</w:t>
            </w:r>
          </w:p>
        </w:tc>
        <w:tc>
          <w:tcPr>
            <w:tcW w:w="8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70"/>
        </w:trPr>
        <w:tc>
          <w:tcPr>
            <w:tcW w:w="7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104</w:t>
            </w:r>
          </w:p>
        </w:tc>
        <w:tc>
          <w:tcPr>
            <w:tcW w:w="8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EMERGENT BIOSOLUTIONS INC.</w:t>
      </w:r>
    </w:p>
    <w:p>
      <w:pPr>
        <w:spacing w:after="0" w:line="337" w:lineRule="exact"/>
        <w:rPr>
          <w:sz w:val="20"/>
          <w:szCs w:val="20"/>
          <w:color w:val="auto"/>
        </w:rPr>
      </w:pPr>
    </w:p>
    <w:p>
      <w:pPr>
        <w:ind w:left="520"/>
        <w:spacing w:after="0"/>
        <w:tabs>
          <w:tab w:leader="none" w:pos="5820" w:val="left"/>
          <w:tab w:leader="none" w:pos="6360" w:val="left"/>
        </w:tabs>
        <w:rPr>
          <w:sz w:val="20"/>
          <w:szCs w:val="20"/>
          <w:color w:val="auto"/>
        </w:rPr>
      </w:pPr>
      <w:r>
        <w:rPr>
          <w:rFonts w:ascii="Times New Roman" w:cs="Times New Roman" w:eastAsia="Times New Roman" w:hAnsi="Times New Roman"/>
          <w:sz w:val="18"/>
          <w:szCs w:val="18"/>
          <w:color w:val="auto"/>
        </w:rPr>
        <w:t>Dated: November 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34290</wp:posOffset>
            </wp:positionV>
            <wp:extent cx="290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Richard S. Lindahl</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Title: Executive Vice President, Chief Financial</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420"/>
          </w:cols>
          <w:pgMar w:left="240" w:top="63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515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1132205"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111760"/>
                    </a:xfrm>
                    <a:prstGeom prst="rect">
                      <a:avLst/>
                    </a:prstGeom>
                    <a:noFill/>
                  </pic:spPr>
                </pic:pic>
              </a:graphicData>
            </a:graphic>
          </wp:anchor>
        </w:drawing>
      </w:r>
    </w:p>
    <w:p>
      <w:pPr>
        <w:spacing w:after="0" w:line="395" w:lineRule="exact"/>
        <w:rPr>
          <w:sz w:val="20"/>
          <w:szCs w:val="20"/>
          <w:color w:val="auto"/>
        </w:rPr>
      </w:pPr>
    </w:p>
    <w:p>
      <w:pPr>
        <w:ind w:right="600"/>
        <w:spacing w:after="0" w:line="293" w:lineRule="auto"/>
        <w:rPr>
          <w:sz w:val="20"/>
          <w:szCs w:val="20"/>
          <w:color w:val="auto"/>
        </w:rPr>
      </w:pPr>
      <w:r>
        <w:rPr>
          <w:rFonts w:ascii="Arial" w:cs="Arial" w:eastAsia="Arial" w:hAnsi="Arial"/>
          <w:sz w:val="22"/>
          <w:szCs w:val="22"/>
          <w:b w:val="1"/>
          <w:bCs w:val="1"/>
          <w:color w:val="auto"/>
        </w:rPr>
        <w:t>EMERGENT BIOSOLUTIONS REPORTS FINANCIAL RESULTS FOR THIRD QUARTER AND NINE MONTHS ENDED SEPTEMBER 30,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Q3 2019 performance above guidance</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Full year 2019 financial forecast reaffirmed</w:t>
      </w:r>
    </w:p>
    <w:p>
      <w:pPr>
        <w:spacing w:after="0" w:line="228"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color w:val="auto"/>
        </w:rPr>
        <w:t>GAITHERSBURG, Md., November 6, 2019</w:t>
      </w:r>
      <w:r>
        <w:rPr>
          <w:rFonts w:ascii="Arial" w:cs="Arial" w:eastAsia="Arial" w:hAnsi="Arial"/>
          <w:sz w:val="18"/>
          <w:szCs w:val="18"/>
          <w:color w:val="auto"/>
        </w:rPr>
        <w:t>—Emergent BioSolutions Inc. (NYSE: EBS) reported financial results for the third quarter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2019.</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12330" cy="1217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21793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900" w:type="dxa"/>
            <w:vAlign w:val="bottom"/>
            <w:gridSpan w:val="2"/>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2720" w:type="dxa"/>
            <w:vAlign w:val="bottom"/>
            <w:shd w:val="clear" w:color="auto" w:fill="0F243E"/>
          </w:tcPr>
          <w:p>
            <w:pPr>
              <w:ind w:left="1020"/>
              <w:spacing w:after="0"/>
              <w:rPr>
                <w:sz w:val="20"/>
                <w:szCs w:val="20"/>
                <w:color w:val="auto"/>
              </w:rPr>
            </w:pPr>
            <w:r>
              <w:rPr>
                <w:rFonts w:ascii="Arial" w:cs="Arial" w:eastAsia="Arial" w:hAnsi="Arial"/>
                <w:sz w:val="18"/>
                <w:szCs w:val="18"/>
                <w:b w:val="1"/>
                <w:bCs w:val="1"/>
                <w:color w:val="FFFFFF"/>
              </w:rPr>
              <w:t>Q3 2019</w:t>
            </w:r>
          </w:p>
        </w:tc>
        <w:tc>
          <w:tcPr>
            <w:tcW w:w="2700" w:type="dxa"/>
            <w:vAlign w:val="bottom"/>
            <w:shd w:val="clear" w:color="auto" w:fill="0F243E"/>
          </w:tcPr>
          <w:p>
            <w:pPr>
              <w:ind w:left="1000"/>
              <w:spacing w:after="0"/>
              <w:rPr>
                <w:sz w:val="20"/>
                <w:szCs w:val="20"/>
                <w:color w:val="auto"/>
              </w:rPr>
            </w:pPr>
            <w:r>
              <w:rPr>
                <w:rFonts w:ascii="Arial" w:cs="Arial" w:eastAsia="Arial" w:hAnsi="Arial"/>
                <w:sz w:val="18"/>
                <w:szCs w:val="18"/>
                <w:b w:val="1"/>
                <w:bCs w:val="1"/>
                <w:color w:val="FFFFFF"/>
              </w:rPr>
              <w:t>Q3 2018</w:t>
            </w:r>
          </w:p>
        </w:tc>
        <w:tc>
          <w:tcPr>
            <w:tcW w:w="60" w:type="dxa"/>
            <w:vAlign w:val="bottom"/>
          </w:tcPr>
          <w:p>
            <w:pPr>
              <w:spacing w:after="0"/>
              <w:rPr>
                <w:sz w:val="24"/>
                <w:szCs w:val="24"/>
                <w:color w:val="auto"/>
              </w:rPr>
            </w:pPr>
          </w:p>
        </w:tc>
      </w:tr>
      <w:tr>
        <w:trPr>
          <w:trHeight w:val="269"/>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720" w:type="dxa"/>
            <w:vAlign w:val="bottom"/>
            <w:shd w:val="clear" w:color="auto" w:fill="CCCCCC"/>
          </w:tcPr>
          <w:p>
            <w:pPr>
              <w:jc w:val="right"/>
              <w:ind w:right="990"/>
              <w:spacing w:after="0"/>
              <w:rPr>
                <w:sz w:val="20"/>
                <w:szCs w:val="20"/>
                <w:color w:val="auto"/>
              </w:rPr>
            </w:pPr>
            <w:r>
              <w:rPr>
                <w:rFonts w:ascii="Arial" w:cs="Arial" w:eastAsia="Arial" w:hAnsi="Arial"/>
                <w:sz w:val="18"/>
                <w:szCs w:val="18"/>
                <w:b w:val="1"/>
                <w:bCs w:val="1"/>
                <w:color w:val="auto"/>
              </w:rPr>
              <w:t>$311.8</w:t>
            </w:r>
          </w:p>
        </w:tc>
        <w:tc>
          <w:tcPr>
            <w:tcW w:w="2700" w:type="dxa"/>
            <w:vAlign w:val="bottom"/>
            <w:shd w:val="clear" w:color="auto" w:fill="CCCCCC"/>
          </w:tcPr>
          <w:p>
            <w:pPr>
              <w:jc w:val="right"/>
              <w:ind w:right="970"/>
              <w:spacing w:after="0"/>
              <w:rPr>
                <w:sz w:val="20"/>
                <w:szCs w:val="20"/>
                <w:color w:val="auto"/>
              </w:rPr>
            </w:pPr>
            <w:r>
              <w:rPr>
                <w:rFonts w:ascii="Arial" w:cs="Arial" w:eastAsia="Arial" w:hAnsi="Arial"/>
                <w:sz w:val="18"/>
                <w:szCs w:val="18"/>
                <w:color w:val="auto"/>
              </w:rPr>
              <w:t>$173.6</w:t>
            </w:r>
          </w:p>
        </w:tc>
        <w:tc>
          <w:tcPr>
            <w:tcW w:w="60" w:type="dxa"/>
            <w:vAlign w:val="bottom"/>
          </w:tcPr>
          <w:p>
            <w:pPr>
              <w:spacing w:after="0"/>
              <w:rPr>
                <w:sz w:val="23"/>
                <w:szCs w:val="23"/>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Pre-tax Income</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b w:val="1"/>
                <w:bCs w:val="1"/>
                <w:color w:val="auto"/>
              </w:rPr>
              <w:t>$58.9</w:t>
            </w:r>
          </w:p>
        </w:tc>
        <w:tc>
          <w:tcPr>
            <w:tcW w:w="2700" w:type="dxa"/>
            <w:vAlign w:val="bottom"/>
            <w:shd w:val="clear" w:color="auto" w:fill="CCCCCC"/>
          </w:tcPr>
          <w:p>
            <w:pPr>
              <w:ind w:left="112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23"/>
                <w:szCs w:val="23"/>
                <w:color w:val="auto"/>
              </w:rPr>
            </w:pPr>
          </w:p>
        </w:tc>
      </w:tr>
      <w:tr>
        <w:trPr>
          <w:trHeight w:val="262"/>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Net Income</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$43.2</w:t>
            </w:r>
          </w:p>
        </w:tc>
        <w:tc>
          <w:tcPr>
            <w:tcW w:w="2700" w:type="dxa"/>
            <w:vAlign w:val="bottom"/>
            <w:shd w:val="clear" w:color="auto" w:fill="CCCCCC"/>
          </w:tcPr>
          <w:p>
            <w:pPr>
              <w:ind w:left="112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22"/>
                <w:szCs w:val="22"/>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8"/>
                <w:szCs w:val="18"/>
                <w:i w:val="1"/>
                <w:iCs w:val="1"/>
                <w:color w:val="auto"/>
              </w:rPr>
              <w:t>(1)</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$63.3</w:t>
            </w:r>
          </w:p>
        </w:tc>
        <w:tc>
          <w:tcPr>
            <w:tcW w:w="2700" w:type="dxa"/>
            <w:vAlign w:val="bottom"/>
            <w:shd w:val="clear" w:color="auto" w:fill="CCCCCC"/>
          </w:tcPr>
          <w:p>
            <w:pPr>
              <w:ind w:left="1120"/>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3"/>
                <w:szCs w:val="23"/>
                <w:color w:val="auto"/>
              </w:rPr>
            </w:pPr>
          </w:p>
        </w:tc>
      </w:tr>
      <w:tr>
        <w:trPr>
          <w:trHeight w:val="27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8"/>
                <w:szCs w:val="18"/>
                <w:i w:val="1"/>
                <w:iCs w:val="1"/>
                <w:color w:val="auto"/>
              </w:rPr>
              <w:t>(1)</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$96.3</w:t>
            </w:r>
          </w:p>
        </w:tc>
        <w:tc>
          <w:tcPr>
            <w:tcW w:w="2700" w:type="dxa"/>
            <w:vAlign w:val="bottom"/>
            <w:shd w:val="clear" w:color="auto" w:fill="CCCCCC"/>
          </w:tcPr>
          <w:p>
            <w:pPr>
              <w:ind w:left="1120"/>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23"/>
                <w:szCs w:val="23"/>
                <w:color w:val="auto"/>
              </w:rPr>
            </w:pPr>
          </w:p>
        </w:tc>
      </w:tr>
      <w:tr>
        <w:trPr>
          <w:trHeight w:val="280"/>
        </w:trPr>
        <w:tc>
          <w:tcPr>
            <w:tcW w:w="5900" w:type="dxa"/>
            <w:vAlign w:val="bottom"/>
            <w:gridSpan w:val="2"/>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2720" w:type="dxa"/>
            <w:vAlign w:val="bottom"/>
            <w:shd w:val="clear" w:color="auto" w:fill="CCCCCC"/>
          </w:tcPr>
          <w:p>
            <w:pPr>
              <w:jc w:val="right"/>
              <w:ind w:right="990"/>
              <w:spacing w:after="0"/>
              <w:rPr>
                <w:sz w:val="20"/>
                <w:szCs w:val="20"/>
                <w:color w:val="auto"/>
              </w:rPr>
            </w:pPr>
            <w:r>
              <w:rPr>
                <w:rFonts w:ascii="Arial" w:cs="Arial" w:eastAsia="Arial" w:hAnsi="Arial"/>
                <w:sz w:val="18"/>
                <w:szCs w:val="18"/>
                <w:color w:val="auto"/>
              </w:rPr>
              <w:t>$106.4</w:t>
            </w:r>
          </w:p>
        </w:tc>
        <w:tc>
          <w:tcPr>
            <w:tcW w:w="2700" w:type="dxa"/>
            <w:vAlign w:val="bottom"/>
            <w:shd w:val="clear" w:color="auto" w:fill="CCCCCC"/>
          </w:tcPr>
          <w:p>
            <w:pPr>
              <w:ind w:left="1120"/>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840" w:type="dxa"/>
            <w:vAlign w:val="bottom"/>
            <w:tcBorders>
              <w:bottom w:val="single" w:sz="8" w:color="0F243E"/>
            </w:tcBorders>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2720" w:type="dxa"/>
            <w:vAlign w:val="bottom"/>
            <w:tcBorders>
              <w:bottom w:val="single" w:sz="8" w:color="0F243E"/>
            </w:tcBorders>
            <w:shd w:val="clear" w:color="auto" w:fill="0F243E"/>
          </w:tcPr>
          <w:p>
            <w:pPr>
              <w:ind w:left="820"/>
              <w:spacing w:after="0"/>
              <w:rPr>
                <w:sz w:val="20"/>
                <w:szCs w:val="20"/>
                <w:color w:val="auto"/>
              </w:rPr>
            </w:pPr>
            <w:r>
              <w:rPr>
                <w:rFonts w:ascii="Arial" w:cs="Arial" w:eastAsia="Arial" w:hAnsi="Arial"/>
                <w:sz w:val="18"/>
                <w:szCs w:val="18"/>
                <w:color w:val="FFFFFF"/>
              </w:rPr>
              <w:t>9 Months 2019</w:t>
            </w:r>
          </w:p>
        </w:tc>
        <w:tc>
          <w:tcPr>
            <w:tcW w:w="2700" w:type="dxa"/>
            <w:vAlign w:val="bottom"/>
            <w:tcBorders>
              <w:bottom w:val="single" w:sz="8" w:color="0F243E"/>
            </w:tcBorders>
            <w:shd w:val="clear" w:color="auto" w:fill="0F243E"/>
          </w:tcPr>
          <w:p>
            <w:pPr>
              <w:ind w:left="800"/>
              <w:spacing w:after="0"/>
              <w:rPr>
                <w:sz w:val="20"/>
                <w:szCs w:val="20"/>
                <w:color w:val="auto"/>
              </w:rPr>
            </w:pPr>
            <w:r>
              <w:rPr>
                <w:rFonts w:ascii="Arial" w:cs="Arial" w:eastAsia="Arial" w:hAnsi="Arial"/>
                <w:sz w:val="18"/>
                <w:szCs w:val="18"/>
                <w:color w:val="FFFFFF"/>
              </w:rPr>
              <w:t>9 Months 2018</w:t>
            </w:r>
          </w:p>
        </w:tc>
        <w:tc>
          <w:tcPr>
            <w:tcW w:w="60" w:type="dxa"/>
            <w:vAlign w:val="bottom"/>
            <w:tcBorders>
              <w:bottom w:val="single" w:sz="8" w:color="0F243E"/>
            </w:tcBorders>
            <w:shd w:val="clear" w:color="auto" w:fill="0F243E"/>
          </w:tcPr>
          <w:p>
            <w:pPr>
              <w:spacing w:after="0"/>
              <w:rPr>
                <w:sz w:val="22"/>
                <w:szCs w:val="22"/>
                <w:color w:val="auto"/>
              </w:rPr>
            </w:pPr>
          </w:p>
        </w:tc>
      </w:tr>
      <w:tr>
        <w:trPr>
          <w:trHeight w:val="269"/>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b w:val="1"/>
                <w:bCs w:val="1"/>
                <w:color w:val="auto"/>
              </w:rPr>
              <w:t>$745.7</w:t>
            </w:r>
          </w:p>
        </w:tc>
        <w:tc>
          <w:tcPr>
            <w:tcW w:w="270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$511.7</w:t>
            </w:r>
          </w:p>
        </w:tc>
        <w:tc>
          <w:tcPr>
            <w:tcW w:w="60" w:type="dxa"/>
            <w:vAlign w:val="bottom"/>
            <w:shd w:val="clear" w:color="auto" w:fill="CCCCCC"/>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Pre-tax Income</w:t>
            </w:r>
          </w:p>
        </w:tc>
        <w:tc>
          <w:tcPr>
            <w:tcW w:w="2720" w:type="dxa"/>
            <w:vAlign w:val="bottom"/>
            <w:shd w:val="clear" w:color="auto" w:fill="CCCCCC"/>
          </w:tcPr>
          <w:p>
            <w:pPr>
              <w:ind w:left="1240"/>
              <w:spacing w:after="0"/>
              <w:rPr>
                <w:sz w:val="20"/>
                <w:szCs w:val="20"/>
                <w:color w:val="auto"/>
              </w:rPr>
            </w:pPr>
            <w:r>
              <w:rPr>
                <w:rFonts w:ascii="Arial" w:cs="Arial" w:eastAsia="Arial" w:hAnsi="Arial"/>
                <w:sz w:val="18"/>
                <w:szCs w:val="18"/>
                <w:b w:val="1"/>
                <w:bCs w:val="1"/>
                <w:color w:val="auto"/>
              </w:rPr>
              <w:t>$5.9</w:t>
            </w:r>
          </w:p>
        </w:tc>
        <w:tc>
          <w:tcPr>
            <w:tcW w:w="2700" w:type="dxa"/>
            <w:vAlign w:val="bottom"/>
            <w:shd w:val="clear" w:color="auto" w:fill="CCCCCC"/>
          </w:tcPr>
          <w:p>
            <w:pPr>
              <w:jc w:val="right"/>
              <w:ind w:right="990"/>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CCCC"/>
          </w:tcPr>
          <w:p>
            <w:pPr>
              <w:spacing w:after="0"/>
              <w:rPr>
                <w:sz w:val="23"/>
                <w:szCs w:val="23"/>
                <w:color w:val="auto"/>
              </w:rPr>
            </w:pPr>
          </w:p>
        </w:tc>
      </w:tr>
      <w:tr>
        <w:trPr>
          <w:trHeight w:val="262"/>
        </w:trPr>
        <w:tc>
          <w:tcPr>
            <w:tcW w:w="60" w:type="dxa"/>
            <w:vAlign w:val="bottom"/>
          </w:tcPr>
          <w:p>
            <w:pPr>
              <w:spacing w:after="0"/>
              <w:rPr>
                <w:sz w:val="22"/>
                <w:szCs w:val="22"/>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w:t>
            </w:r>
          </w:p>
        </w:tc>
        <w:tc>
          <w:tcPr>
            <w:tcW w:w="2720" w:type="dxa"/>
            <w:vAlign w:val="bottom"/>
            <w:shd w:val="clear" w:color="auto" w:fill="CCCCCC"/>
          </w:tcPr>
          <w:p>
            <w:pPr>
              <w:ind w:left="1240"/>
              <w:spacing w:after="0"/>
              <w:rPr>
                <w:sz w:val="20"/>
                <w:szCs w:val="20"/>
                <w:color w:val="auto"/>
              </w:rPr>
            </w:pPr>
            <w:r>
              <w:rPr>
                <w:rFonts w:ascii="Arial" w:cs="Arial" w:eastAsia="Arial" w:hAnsi="Arial"/>
                <w:sz w:val="18"/>
                <w:szCs w:val="18"/>
                <w:color w:val="auto"/>
              </w:rPr>
              <w:t>$7.6</w:t>
            </w:r>
          </w:p>
        </w:tc>
        <w:tc>
          <w:tcPr>
            <w:tcW w:w="2700" w:type="dxa"/>
            <w:vAlign w:val="bottom"/>
            <w:shd w:val="clear" w:color="auto" w:fill="CCCCCC"/>
          </w:tcPr>
          <w:p>
            <w:pPr>
              <w:jc w:val="right"/>
              <w:ind w:right="990"/>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CCCC"/>
          </w:tcPr>
          <w:p>
            <w:pPr>
              <w:spacing w:after="0"/>
              <w:rPr>
                <w:sz w:val="22"/>
                <w:szCs w:val="22"/>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8"/>
                <w:szCs w:val="18"/>
                <w:i w:val="1"/>
                <w:iCs w:val="1"/>
                <w:color w:val="auto"/>
              </w:rPr>
              <w:t>(1)</w:t>
            </w:r>
          </w:p>
        </w:tc>
        <w:tc>
          <w:tcPr>
            <w:tcW w:w="2720" w:type="dxa"/>
            <w:vAlign w:val="bottom"/>
            <w:shd w:val="clear" w:color="auto" w:fill="CCCCCC"/>
          </w:tcPr>
          <w:p>
            <w:pPr>
              <w:jc w:val="right"/>
              <w:ind w:right="990"/>
              <w:spacing w:after="0"/>
              <w:rPr>
                <w:sz w:val="20"/>
                <w:szCs w:val="20"/>
                <w:color w:val="auto"/>
              </w:rPr>
            </w:pPr>
            <w:r>
              <w:rPr>
                <w:rFonts w:ascii="Arial" w:cs="Arial" w:eastAsia="Arial" w:hAnsi="Arial"/>
                <w:sz w:val="18"/>
                <w:szCs w:val="18"/>
                <w:color w:val="auto"/>
              </w:rPr>
              <w:t>$67.0</w:t>
            </w:r>
          </w:p>
        </w:tc>
        <w:tc>
          <w:tcPr>
            <w:tcW w:w="2700" w:type="dxa"/>
            <w:vAlign w:val="bottom"/>
            <w:shd w:val="clear" w:color="auto" w:fill="CCCCCC"/>
          </w:tcPr>
          <w:p>
            <w:pPr>
              <w:jc w:val="right"/>
              <w:ind w:right="990"/>
              <w:spacing w:after="0"/>
              <w:rPr>
                <w:sz w:val="20"/>
                <w:szCs w:val="20"/>
                <w:color w:val="auto"/>
              </w:rPr>
            </w:pPr>
            <w:r>
              <w:rPr>
                <w:rFonts w:ascii="Arial" w:cs="Arial" w:eastAsia="Arial" w:hAnsi="Arial"/>
                <w:sz w:val="18"/>
                <w:szCs w:val="18"/>
                <w:color w:val="auto"/>
              </w:rPr>
              <w:t>$83.3</w:t>
            </w:r>
          </w:p>
        </w:tc>
        <w:tc>
          <w:tcPr>
            <w:tcW w:w="60" w:type="dxa"/>
            <w:vAlign w:val="bottom"/>
            <w:shd w:val="clear" w:color="auto" w:fill="CCCCCC"/>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8"/>
                <w:szCs w:val="18"/>
                <w:i w:val="1"/>
                <w:iCs w:val="1"/>
                <w:color w:val="auto"/>
              </w:rPr>
              <w:t>(1)</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$116.3</w:t>
            </w:r>
          </w:p>
        </w:tc>
        <w:tc>
          <w:tcPr>
            <w:tcW w:w="270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CCCC"/>
          </w:tcPr>
          <w:p>
            <w:pPr>
              <w:spacing w:after="0"/>
              <w:rPr>
                <w:sz w:val="23"/>
                <w:szCs w:val="23"/>
                <w:color w:val="auto"/>
              </w:rPr>
            </w:pPr>
          </w:p>
        </w:tc>
      </w:tr>
      <w:tr>
        <w:trPr>
          <w:trHeight w:val="280"/>
        </w:trPr>
        <w:tc>
          <w:tcPr>
            <w:tcW w:w="60" w:type="dxa"/>
            <w:vAlign w:val="bottom"/>
          </w:tcPr>
          <w:p>
            <w:pPr>
              <w:spacing w:after="0"/>
              <w:rPr>
                <w:sz w:val="24"/>
                <w:szCs w:val="24"/>
                <w:color w:val="auto"/>
              </w:rPr>
            </w:pPr>
          </w:p>
        </w:tc>
        <w:tc>
          <w:tcPr>
            <w:tcW w:w="584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2720" w:type="dxa"/>
            <w:vAlign w:val="bottom"/>
            <w:shd w:val="clear" w:color="auto" w:fill="CCCCCC"/>
          </w:tcPr>
          <w:p>
            <w:pPr>
              <w:ind w:left="1140"/>
              <w:spacing w:after="0"/>
              <w:rPr>
                <w:sz w:val="20"/>
                <w:szCs w:val="20"/>
                <w:color w:val="auto"/>
              </w:rPr>
            </w:pPr>
            <w:r>
              <w:rPr>
                <w:rFonts w:ascii="Arial" w:cs="Arial" w:eastAsia="Arial" w:hAnsi="Arial"/>
                <w:sz w:val="18"/>
                <w:szCs w:val="18"/>
                <w:color w:val="auto"/>
              </w:rPr>
              <w:t>$145.4</w:t>
            </w:r>
          </w:p>
        </w:tc>
        <w:tc>
          <w:tcPr>
            <w:tcW w:w="2700" w:type="dxa"/>
            <w:vAlign w:val="bottom"/>
            <w:shd w:val="clear" w:color="auto" w:fill="CCCCCC"/>
          </w:tcPr>
          <w:p>
            <w:pPr>
              <w:ind w:left="1120"/>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CCCC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-1208405</wp:posOffset>
            </wp:positionV>
            <wp:extent cx="7212330" cy="1217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2179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2019 AND RECENT BUSINESS ACCOMPLISHMENTS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Procurement</w:t>
      </w:r>
    </w:p>
    <w:p>
      <w:pPr>
        <w:spacing w:after="0" w:line="225" w:lineRule="exact"/>
        <w:rPr>
          <w:sz w:val="20"/>
          <w:szCs w:val="20"/>
          <w:color w:val="auto"/>
        </w:rPr>
      </w:pPr>
    </w:p>
    <w:p>
      <w:pPr>
        <w:ind w:left="660" w:right="4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2C2C2C"/>
        </w:rPr>
        <w:t>Announced the contract award by the Office of the Assistant Secretary for Preparedness and Response (ASPR) in the U.S. Department of Health and Human Services (HHS) valued at approximately $2 billion over 10 years for the continued supply of ACAM2000®, (Smallpox (Vaccinia) Vaccine, Live) into the U.S. Strategic National Stockpile (SNS) in support of smallpox preparedness.</w:t>
      </w:r>
    </w:p>
    <w:p>
      <w:pPr>
        <w:spacing w:after="0" w:line="103" w:lineRule="exact"/>
        <w:rPr>
          <w:rFonts w:ascii="Arial" w:cs="Arial" w:eastAsia="Arial" w:hAnsi="Arial"/>
          <w:sz w:val="18"/>
          <w:szCs w:val="18"/>
          <w:color w:val="auto"/>
        </w:rPr>
      </w:pPr>
    </w:p>
    <w:p>
      <w:pPr>
        <w:ind w:left="660" w:right="40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exercise by the Biomedical Advanced Research and Development Authority (BARDA) of the first contract option, valued at $261 million, to procure doses of the next generation anthrax vaccine candidate AV7909 (anthrax vaccine adsorbed with adjuvant) for delivery into the SNS over 12 months.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Awarded a contract by the ASPR in HHS valued at up to $490 million over 10 years ($90 million agreed to now and the remaining $400 million to be negotiated and finalized over the next 6 months) for the continued</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 of 15</w:t>
      </w:r>
    </w:p>
    <w:p>
      <w:pPr>
        <w:sectPr>
          <w:pgSz w:w="11900" w:h="16838" w:orient="portrait"/>
          <w:cols w:equalWidth="0" w:num="1">
            <w:col w:w="11380"/>
          </w:cols>
          <w:pgMar w:left="240" w:top="1440" w:right="279" w:bottom="1440" w:gutter="0" w:footer="0" w:header="0"/>
        </w:sectPr>
      </w:pPr>
    </w:p>
    <w:bookmarkStart w:id="3" w:name="page4"/>
    <w:bookmarkEnd w:id="3"/>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ind w:left="660" w:right="140"/>
        <w:spacing w:after="0" w:line="341" w:lineRule="auto"/>
        <w:rPr>
          <w:sz w:val="20"/>
          <w:szCs w:val="20"/>
          <w:color w:val="auto"/>
        </w:rPr>
      </w:pPr>
      <w:r>
        <w:rPr>
          <w:rFonts w:ascii="Arial" w:cs="Arial" w:eastAsia="Arial" w:hAnsi="Arial"/>
          <w:sz w:val="18"/>
          <w:szCs w:val="18"/>
          <w:color w:val="auto"/>
        </w:rPr>
        <w:t>supply of BAT</w:t>
      </w:r>
      <w:r>
        <w:rPr>
          <w:rFonts w:ascii="Arial" w:cs="Arial" w:eastAsia="Arial" w:hAnsi="Arial"/>
          <w:sz w:val="18"/>
          <w:szCs w:val="18"/>
          <w:b w:val="1"/>
          <w:bCs w:val="1"/>
          <w:color w:val="2C2C2C"/>
        </w:rPr>
        <w:t>®</w:t>
      </w:r>
      <w:r>
        <w:rPr>
          <w:rFonts w:ascii="Arial" w:cs="Arial" w:eastAsia="Arial" w:hAnsi="Arial"/>
          <w:sz w:val="18"/>
          <w:szCs w:val="18"/>
          <w:color w:val="auto"/>
        </w:rPr>
        <w:t xml:space="preserve"> [Botulism Antitoxin Heptavalent (A, B, C, D, E, F, G) - (Equine)] into the SNS in support of botulism preparedness and response capability.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227" w:lineRule="exact"/>
        <w:rPr>
          <w:sz w:val="20"/>
          <w:szCs w:val="20"/>
          <w:color w:val="auto"/>
        </w:rPr>
      </w:pPr>
    </w:p>
    <w:p>
      <w:pPr>
        <w:ind w:left="660" w:right="60" w:hanging="328"/>
        <w:spacing w:after="0" w:line="32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Granted PRIority MEdicines, or PRIME, designation by the Committee for Medicinal Products for Human Use (CHMP) of the European Medicines Agency (EMA) for the company’s chikungunya virus (CHIKV) virus-like particle (VLP) vaccine candidate, CHIKV VLP.</w:t>
      </w:r>
    </w:p>
    <w:p>
      <w:pPr>
        <w:spacing w:after="0" w:line="122" w:lineRule="exact"/>
        <w:rPr>
          <w:rFonts w:ascii="Arial" w:cs="Arial" w:eastAsia="Arial" w:hAnsi="Arial"/>
          <w:sz w:val="17"/>
          <w:szCs w:val="17"/>
          <w:color w:val="auto"/>
        </w:rPr>
      </w:pPr>
    </w:p>
    <w:p>
      <w:pPr>
        <w:ind w:left="660" w:right="16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Awarded a research grant by the National Institute on Drug Abuse (NIDA), a component of the National Institutes of Health (NIH), in HHS, valued at approximately $6.3 million over two years, for the continued development of AP007, the company’s sustained-release nalmefene formulation for the treatment of opioid use disorder (OUD).</w:t>
      </w:r>
    </w:p>
    <w:p>
      <w:pPr>
        <w:spacing w:after="0" w:line="163" w:lineRule="exact"/>
        <w:rPr>
          <w:rFonts w:ascii="Arial" w:cs="Arial" w:eastAsia="Arial" w:hAnsi="Arial"/>
          <w:sz w:val="18"/>
          <w:szCs w:val="18"/>
          <w:color w:val="auto"/>
        </w:rPr>
      </w:pPr>
    </w:p>
    <w:p>
      <w:pPr>
        <w:jc w:val="both"/>
        <w:ind w:left="660" w:right="12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Awarded approximately $20 million to develop and manufacture an auto-injector containing diazepam (5 mg/mL) to treat nerve agent-induced seizures. Emergent’s device is being designed for intramuscular buddy-administration for use in military environments and for civilian emergencies.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PERFORMANCE (unaudited)</w:t>
      </w:r>
    </w:p>
    <w:p>
      <w:pPr>
        <w:spacing w:after="0" w:line="225" w:lineRule="exact"/>
        <w:rPr>
          <w:sz w:val="20"/>
          <w:szCs w:val="20"/>
          <w:color w:val="auto"/>
        </w:rPr>
      </w:pPr>
    </w:p>
    <w:p>
      <w:pPr>
        <w:ind w:right="7800" w:firstLine="8"/>
        <w:spacing w:after="0" w:line="502"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 Ended September 30, 2019 (Q3)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ind w:right="760"/>
        <w:spacing w:after="0" w:line="303" w:lineRule="auto"/>
        <w:rPr>
          <w:sz w:val="20"/>
          <w:szCs w:val="20"/>
          <w:color w:val="auto"/>
        </w:rPr>
      </w:pPr>
      <w:r>
        <w:rPr>
          <w:rFonts w:ascii="Arial" w:cs="Arial" w:eastAsia="Arial" w:hAnsi="Arial"/>
          <w:sz w:val="18"/>
          <w:szCs w:val="18"/>
          <w:color w:val="auto"/>
        </w:rPr>
        <w:t>For Q3 2019, total revenues were $311.8 million, an increase of 80% over 2018</w:t>
      </w:r>
      <w:r>
        <w:rPr>
          <w:rFonts w:ascii="Arial" w:cs="Arial" w:eastAsia="Arial" w:hAnsi="Arial"/>
          <w:sz w:val="18"/>
          <w:szCs w:val="18"/>
          <w:b w:val="1"/>
          <w:bCs w:val="1"/>
          <w:color w:val="2C2C2C"/>
        </w:rPr>
        <w:t>. Total revenues reflect the contribution of recently</w:t>
      </w:r>
      <w:r>
        <w:rPr>
          <w:rFonts w:ascii="Arial" w:cs="Arial" w:eastAsia="Arial" w:hAnsi="Arial"/>
          <w:sz w:val="18"/>
          <w:szCs w:val="18"/>
          <w:color w:val="auto"/>
        </w:rPr>
        <w:t xml:space="preserve"> </w:t>
      </w:r>
      <w:r>
        <w:rPr>
          <w:rFonts w:ascii="Arial" w:cs="Arial" w:eastAsia="Arial" w:hAnsi="Arial"/>
          <w:sz w:val="18"/>
          <w:szCs w:val="18"/>
          <w:b w:val="1"/>
          <w:bCs w:val="1"/>
          <w:color w:val="2C2C2C"/>
        </w:rPr>
        <w:t>acquired products as well as increased contracts and grants revenue.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Q3 2019, product sales were $256.2 million, an increase of $ 122.9 million or 92% as compared to 2018. The increase primarily reflects sales of both NARCAN® (naloxone HCl) Nasal Spray, which was acquired in October 2018, and increased sales of ACAM2000®, (Smallpox (Vaccinia) Vaccine, Live), offset by decreased sales of Anthrax vaccines (BioThrax® (Anthrax Vaccine Adsorbed) and AV7909) and other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54875" cy="1423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42367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620" w:type="dxa"/>
            <w:vAlign w:val="bottom"/>
            <w:shd w:val="clear" w:color="auto" w:fill="0F243E"/>
          </w:tcPr>
          <w:p>
            <w:pPr>
              <w:spacing w:after="0"/>
              <w:rPr>
                <w:sz w:val="23"/>
                <w:szCs w:val="23"/>
                <w:color w:val="auto"/>
              </w:rPr>
            </w:pPr>
          </w:p>
        </w:tc>
        <w:tc>
          <w:tcPr>
            <w:tcW w:w="5800" w:type="dxa"/>
            <w:vAlign w:val="bottom"/>
            <w:gridSpan w:val="3"/>
            <w:shd w:val="clear" w:color="auto" w:fill="0F243E"/>
          </w:tcPr>
          <w:p>
            <w:pPr>
              <w:jc w:val="right"/>
              <w:ind w:right="1270"/>
              <w:spacing w:after="0"/>
              <w:rPr>
                <w:sz w:val="20"/>
                <w:szCs w:val="20"/>
                <w:color w:val="auto"/>
              </w:rPr>
            </w:pPr>
            <w:r>
              <w:rPr>
                <w:rFonts w:ascii="Arial" w:cs="Arial" w:eastAsia="Arial" w:hAnsi="Arial"/>
                <w:sz w:val="18"/>
                <w:szCs w:val="18"/>
                <w:b w:val="1"/>
                <w:bCs w:val="1"/>
                <w:color w:val="FFFFFF"/>
              </w:rPr>
              <w:t>Three Months Ended September 30,</w:t>
            </w:r>
          </w:p>
        </w:tc>
      </w:tr>
      <w:tr>
        <w:trPr>
          <w:trHeight w:val="267"/>
        </w:trPr>
        <w:tc>
          <w:tcPr>
            <w:tcW w:w="562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960" w:type="dxa"/>
            <w:vAlign w:val="bottom"/>
            <w:shd w:val="clear" w:color="auto" w:fill="0F243E"/>
          </w:tcPr>
          <w:p>
            <w:pPr>
              <w:jc w:val="right"/>
              <w:ind w:right="690"/>
              <w:spacing w:after="0"/>
              <w:rPr>
                <w:sz w:val="20"/>
                <w:szCs w:val="20"/>
                <w:color w:val="auto"/>
              </w:rPr>
            </w:pPr>
            <w:r>
              <w:rPr>
                <w:rFonts w:ascii="Arial" w:cs="Arial" w:eastAsia="Arial" w:hAnsi="Arial"/>
                <w:sz w:val="18"/>
                <w:szCs w:val="18"/>
                <w:b w:val="1"/>
                <w:bCs w:val="1"/>
                <w:color w:val="FFFFFF"/>
              </w:rPr>
              <w:t>2019</w:t>
            </w:r>
          </w:p>
        </w:tc>
        <w:tc>
          <w:tcPr>
            <w:tcW w:w="2120" w:type="dxa"/>
            <w:vAlign w:val="bottom"/>
            <w:shd w:val="clear" w:color="auto" w:fill="0F243E"/>
          </w:tcPr>
          <w:p>
            <w:pPr>
              <w:jc w:val="right"/>
              <w:ind w:right="870"/>
              <w:spacing w:after="0"/>
              <w:rPr>
                <w:sz w:val="20"/>
                <w:szCs w:val="20"/>
                <w:color w:val="auto"/>
              </w:rPr>
            </w:pPr>
            <w:r>
              <w:rPr>
                <w:rFonts w:ascii="Arial" w:cs="Arial" w:eastAsia="Arial" w:hAnsi="Arial"/>
                <w:sz w:val="18"/>
                <w:szCs w:val="18"/>
                <w:b w:val="1"/>
                <w:bCs w:val="1"/>
                <w:color w:val="FFFFFF"/>
              </w:rPr>
              <w:t>2018</w:t>
            </w:r>
          </w:p>
        </w:tc>
        <w:tc>
          <w:tcPr>
            <w:tcW w:w="1720" w:type="dxa"/>
            <w:vAlign w:val="bottom"/>
            <w:shd w:val="clear" w:color="auto" w:fill="0F243E"/>
          </w:tcPr>
          <w:p>
            <w:pPr>
              <w:jc w:val="right"/>
              <w:ind w:right="450"/>
              <w:spacing w:after="0"/>
              <w:rPr>
                <w:sz w:val="20"/>
                <w:szCs w:val="20"/>
                <w:color w:val="auto"/>
              </w:rPr>
            </w:pPr>
            <w:r>
              <w:rPr>
                <w:rFonts w:ascii="Arial" w:cs="Arial" w:eastAsia="Arial" w:hAnsi="Arial"/>
                <w:sz w:val="18"/>
                <w:szCs w:val="18"/>
                <w:b w:val="1"/>
                <w:bCs w:val="1"/>
                <w:color w:val="FFFFFF"/>
              </w:rPr>
              <w:t>% Change</w:t>
            </w:r>
          </w:p>
        </w:tc>
      </w:tr>
      <w:tr>
        <w:trPr>
          <w:trHeight w:val="269"/>
        </w:trPr>
        <w:tc>
          <w:tcPr>
            <w:tcW w:w="56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Product Sales</w:t>
            </w:r>
          </w:p>
        </w:tc>
        <w:tc>
          <w:tcPr>
            <w:tcW w:w="1960" w:type="dxa"/>
            <w:vAlign w:val="bottom"/>
            <w:shd w:val="clear" w:color="auto" w:fill="CCCCCC"/>
          </w:tcPr>
          <w:p>
            <w:pPr>
              <w:spacing w:after="0"/>
              <w:rPr>
                <w:sz w:val="23"/>
                <w:szCs w:val="23"/>
                <w:color w:val="auto"/>
              </w:rPr>
            </w:pPr>
          </w:p>
        </w:tc>
        <w:tc>
          <w:tcPr>
            <w:tcW w:w="2120" w:type="dxa"/>
            <w:vAlign w:val="bottom"/>
            <w:shd w:val="clear" w:color="auto" w:fill="CCCCCC"/>
          </w:tcPr>
          <w:p>
            <w:pPr>
              <w:spacing w:after="0"/>
              <w:rPr>
                <w:sz w:val="23"/>
                <w:szCs w:val="23"/>
                <w:color w:val="auto"/>
              </w:rPr>
            </w:pPr>
          </w:p>
        </w:tc>
        <w:tc>
          <w:tcPr>
            <w:tcW w:w="1720" w:type="dxa"/>
            <w:vAlign w:val="bottom"/>
            <w:shd w:val="clear" w:color="auto" w:fill="CCCCCC"/>
          </w:tcPr>
          <w:p>
            <w:pPr>
              <w:spacing w:after="0"/>
              <w:rPr>
                <w:sz w:val="23"/>
                <w:szCs w:val="23"/>
                <w:color w:val="auto"/>
              </w:rPr>
            </w:pPr>
          </w:p>
        </w:tc>
      </w:tr>
      <w:tr>
        <w:trPr>
          <w:trHeight w:val="270"/>
        </w:trPr>
        <w:tc>
          <w:tcPr>
            <w:tcW w:w="56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NARCAN Nasal Spray</w:t>
            </w:r>
          </w:p>
        </w:tc>
        <w:tc>
          <w:tcPr>
            <w:tcW w:w="1960" w:type="dxa"/>
            <w:vAlign w:val="bottom"/>
            <w:shd w:val="clear" w:color="auto" w:fill="CCCCCC"/>
          </w:tcPr>
          <w:p>
            <w:pPr>
              <w:jc w:val="right"/>
              <w:ind w:right="50"/>
              <w:spacing w:after="0"/>
              <w:rPr>
                <w:sz w:val="20"/>
                <w:szCs w:val="20"/>
                <w:color w:val="auto"/>
              </w:rPr>
            </w:pPr>
            <w:r>
              <w:rPr>
                <w:rFonts w:ascii="Arial" w:cs="Arial" w:eastAsia="Arial" w:hAnsi="Arial"/>
                <w:sz w:val="18"/>
                <w:szCs w:val="18"/>
                <w:b w:val="1"/>
                <w:bCs w:val="1"/>
                <w:color w:val="auto"/>
              </w:rPr>
              <w:t>$75.0</w:t>
            </w:r>
          </w:p>
        </w:tc>
        <w:tc>
          <w:tcPr>
            <w:tcW w:w="212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CCCC"/>
          </w:tcPr>
          <w:p>
            <w:pPr>
              <w:jc w:val="right"/>
              <w:ind w:right="730"/>
              <w:spacing w:after="0"/>
              <w:rPr>
                <w:sz w:val="20"/>
                <w:szCs w:val="20"/>
                <w:color w:val="auto"/>
              </w:rPr>
            </w:pPr>
            <w:r>
              <w:rPr>
                <w:rFonts w:ascii="Arial" w:cs="Arial" w:eastAsia="Arial" w:hAnsi="Arial"/>
                <w:sz w:val="18"/>
                <w:szCs w:val="18"/>
                <w:color w:val="auto"/>
              </w:rPr>
              <w:t>NM</w:t>
            </w:r>
          </w:p>
        </w:tc>
      </w:tr>
      <w:tr>
        <w:trPr>
          <w:trHeight w:val="284"/>
        </w:trPr>
        <w:tc>
          <w:tcPr>
            <w:tcW w:w="56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ACAM2000</w:t>
            </w:r>
          </w:p>
        </w:tc>
        <w:tc>
          <w:tcPr>
            <w:tcW w:w="1960" w:type="dxa"/>
            <w:vAlign w:val="bottom"/>
            <w:shd w:val="clear" w:color="auto" w:fill="CCCCCC"/>
          </w:tcPr>
          <w:p>
            <w:pPr>
              <w:jc w:val="right"/>
              <w:ind w:right="50"/>
              <w:spacing w:after="0"/>
              <w:rPr>
                <w:sz w:val="20"/>
                <w:szCs w:val="20"/>
                <w:color w:val="auto"/>
              </w:rPr>
            </w:pPr>
            <w:r>
              <w:rPr>
                <w:rFonts w:ascii="Arial" w:cs="Arial" w:eastAsia="Arial" w:hAnsi="Arial"/>
                <w:sz w:val="18"/>
                <w:szCs w:val="18"/>
                <w:b w:val="1"/>
                <w:bCs w:val="1"/>
                <w:color w:val="auto"/>
              </w:rPr>
              <w:t>$112.1</w:t>
            </w:r>
          </w:p>
        </w:tc>
        <w:tc>
          <w:tcPr>
            <w:tcW w:w="212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$38.4</w:t>
            </w:r>
          </w:p>
        </w:tc>
        <w:tc>
          <w:tcPr>
            <w:tcW w:w="1720" w:type="dxa"/>
            <w:vAlign w:val="bottom"/>
            <w:shd w:val="clear" w:color="auto" w:fill="CCCCCC"/>
          </w:tcPr>
          <w:p>
            <w:pPr>
              <w:jc w:val="right"/>
              <w:ind w:right="730"/>
              <w:spacing w:after="0"/>
              <w:rPr>
                <w:sz w:val="20"/>
                <w:szCs w:val="20"/>
                <w:color w:val="auto"/>
              </w:rPr>
            </w:pPr>
            <w:r>
              <w:rPr>
                <w:rFonts w:ascii="Arial" w:cs="Arial" w:eastAsia="Arial" w:hAnsi="Arial"/>
                <w:sz w:val="18"/>
                <w:szCs w:val="18"/>
                <w:color w:val="auto"/>
              </w:rPr>
              <w:t>NM</w:t>
            </w:r>
          </w:p>
        </w:tc>
      </w:tr>
      <w:tr>
        <w:trPr>
          <w:trHeight w:val="284"/>
        </w:trPr>
        <w:tc>
          <w:tcPr>
            <w:tcW w:w="56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Anthrax vaccines</w:t>
            </w:r>
          </w:p>
        </w:tc>
        <w:tc>
          <w:tcPr>
            <w:tcW w:w="1960" w:type="dxa"/>
            <w:vAlign w:val="bottom"/>
            <w:shd w:val="clear" w:color="auto" w:fill="CCCCCC"/>
          </w:tcPr>
          <w:p>
            <w:pPr>
              <w:jc w:val="right"/>
              <w:ind w:right="50"/>
              <w:spacing w:after="0"/>
              <w:rPr>
                <w:sz w:val="20"/>
                <w:szCs w:val="20"/>
                <w:color w:val="auto"/>
              </w:rPr>
            </w:pPr>
            <w:r>
              <w:rPr>
                <w:rFonts w:ascii="Arial" w:cs="Arial" w:eastAsia="Arial" w:hAnsi="Arial"/>
                <w:sz w:val="18"/>
                <w:szCs w:val="18"/>
                <w:b w:val="1"/>
                <w:bCs w:val="1"/>
                <w:color w:val="auto"/>
              </w:rPr>
              <w:t>$40.3</w:t>
            </w:r>
          </w:p>
        </w:tc>
        <w:tc>
          <w:tcPr>
            <w:tcW w:w="212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$45.9</w:t>
            </w:r>
          </w:p>
        </w:tc>
        <w:tc>
          <w:tcPr>
            <w:tcW w:w="1720" w:type="dxa"/>
            <w:vAlign w:val="bottom"/>
            <w:shd w:val="clear" w:color="auto" w:fill="CCCCCC"/>
          </w:tcPr>
          <w:p>
            <w:pPr>
              <w:jc w:val="right"/>
              <w:ind w:right="630"/>
              <w:spacing w:after="0"/>
              <w:rPr>
                <w:sz w:val="20"/>
                <w:szCs w:val="20"/>
                <w:color w:val="auto"/>
              </w:rPr>
            </w:pPr>
            <w:r>
              <w:rPr>
                <w:rFonts w:ascii="Arial" w:cs="Arial" w:eastAsia="Arial" w:hAnsi="Arial"/>
                <w:sz w:val="18"/>
                <w:szCs w:val="18"/>
                <w:color w:val="auto"/>
              </w:rPr>
              <w:t>(12)%</w:t>
            </w:r>
          </w:p>
        </w:tc>
      </w:tr>
      <w:tr>
        <w:trPr>
          <w:trHeight w:val="284"/>
        </w:trPr>
        <w:tc>
          <w:tcPr>
            <w:tcW w:w="56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CCCC"/>
          </w:tcPr>
          <w:p>
            <w:pPr>
              <w:jc w:val="right"/>
              <w:ind w:right="50"/>
              <w:spacing w:after="0"/>
              <w:rPr>
                <w:sz w:val="20"/>
                <w:szCs w:val="20"/>
                <w:color w:val="auto"/>
              </w:rPr>
            </w:pPr>
            <w:r>
              <w:rPr>
                <w:rFonts w:ascii="Arial" w:cs="Arial" w:eastAsia="Arial" w:hAnsi="Arial"/>
                <w:sz w:val="18"/>
                <w:szCs w:val="18"/>
                <w:b w:val="1"/>
                <w:bCs w:val="1"/>
                <w:color w:val="auto"/>
              </w:rPr>
              <w:t>$28.8</w:t>
            </w:r>
          </w:p>
        </w:tc>
        <w:tc>
          <w:tcPr>
            <w:tcW w:w="212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$49.0</w:t>
            </w:r>
          </w:p>
        </w:tc>
        <w:tc>
          <w:tcPr>
            <w:tcW w:w="1720" w:type="dxa"/>
            <w:vAlign w:val="bottom"/>
            <w:shd w:val="clear" w:color="auto" w:fill="CCCCCC"/>
          </w:tcPr>
          <w:p>
            <w:pPr>
              <w:jc w:val="right"/>
              <w:ind w:right="630"/>
              <w:spacing w:after="0"/>
              <w:rPr>
                <w:sz w:val="20"/>
                <w:szCs w:val="20"/>
                <w:color w:val="auto"/>
              </w:rPr>
            </w:pPr>
            <w:r>
              <w:rPr>
                <w:rFonts w:ascii="Arial" w:cs="Arial" w:eastAsia="Arial" w:hAnsi="Arial"/>
                <w:sz w:val="18"/>
                <w:szCs w:val="18"/>
                <w:color w:val="auto"/>
              </w:rPr>
              <w:t>(41)%</w:t>
            </w:r>
          </w:p>
        </w:tc>
      </w:tr>
      <w:tr>
        <w:trPr>
          <w:trHeight w:val="299"/>
        </w:trPr>
        <w:tc>
          <w:tcPr>
            <w:tcW w:w="56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1960" w:type="dxa"/>
            <w:vAlign w:val="bottom"/>
            <w:shd w:val="clear" w:color="auto" w:fill="CCCCCC"/>
          </w:tcPr>
          <w:p>
            <w:pPr>
              <w:jc w:val="right"/>
              <w:ind w:right="50"/>
              <w:spacing w:after="0"/>
              <w:rPr>
                <w:sz w:val="20"/>
                <w:szCs w:val="20"/>
                <w:color w:val="auto"/>
              </w:rPr>
            </w:pPr>
            <w:r>
              <w:rPr>
                <w:rFonts w:ascii="Arial" w:cs="Arial" w:eastAsia="Arial" w:hAnsi="Arial"/>
                <w:sz w:val="18"/>
                <w:szCs w:val="18"/>
                <w:b w:val="1"/>
                <w:bCs w:val="1"/>
                <w:color w:val="auto"/>
              </w:rPr>
              <w:t>$256.2</w:t>
            </w:r>
          </w:p>
        </w:tc>
        <w:tc>
          <w:tcPr>
            <w:tcW w:w="212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$133.3</w:t>
            </w:r>
          </w:p>
        </w:tc>
        <w:tc>
          <w:tcPr>
            <w:tcW w:w="1720" w:type="dxa"/>
            <w:vAlign w:val="bottom"/>
            <w:shd w:val="clear" w:color="auto" w:fill="CCCCCC"/>
          </w:tcPr>
          <w:p>
            <w:pPr>
              <w:jc w:val="right"/>
              <w:ind w:right="690"/>
              <w:spacing w:after="0"/>
              <w:rPr>
                <w:sz w:val="20"/>
                <w:szCs w:val="20"/>
                <w:color w:val="auto"/>
              </w:rPr>
            </w:pPr>
            <w:r>
              <w:rPr>
                <w:rFonts w:ascii="Arial" w:cs="Arial" w:eastAsia="Arial" w:hAnsi="Arial"/>
                <w:sz w:val="18"/>
                <w:szCs w:val="18"/>
                <w:color w:val="auto"/>
              </w:rPr>
              <w:t>92%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17" w:lineRule="exact"/>
        <w:rPr>
          <w:sz w:val="20"/>
          <w:szCs w:val="20"/>
          <w:color w:val="auto"/>
        </w:rPr>
      </w:pPr>
    </w:p>
    <w:p>
      <w:pPr>
        <w:ind w:right="780"/>
        <w:spacing w:after="0" w:line="292" w:lineRule="auto"/>
        <w:rPr>
          <w:sz w:val="20"/>
          <w:szCs w:val="20"/>
          <w:color w:val="auto"/>
        </w:rPr>
      </w:pPr>
      <w:r>
        <w:rPr>
          <w:rFonts w:ascii="Arial" w:cs="Arial" w:eastAsia="Arial" w:hAnsi="Arial"/>
          <w:sz w:val="18"/>
          <w:szCs w:val="18"/>
          <w:color w:val="auto"/>
        </w:rPr>
        <w:t>For Q3 2019, revenue from the Company’s contract manufacturing operations was $20.0 million, a decrease of $2.1 million or 10% as compared to 2018. The decrease primarily reflects contracted service work in Q3 2018 that did not recur in Q3 2019.</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 of 15</w:t>
      </w:r>
    </w:p>
    <w:p>
      <w:pPr>
        <w:sectPr>
          <w:pgSz w:w="11900" w:h="16838" w:orient="portrait"/>
          <w:cols w:equalWidth="0" w:num="1">
            <w:col w:w="11420"/>
          </w:cols>
          <w:pgMar w:left="240" w:top="1440" w:right="239" w:bottom="1440" w:gutter="0" w:footer="0" w:header="0"/>
        </w:sectPr>
      </w:pPr>
    </w:p>
    <w:bookmarkStart w:id="4" w:name="page5"/>
    <w:bookmarkEnd w:id="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1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For Q3 2019, revenue from the Company’s development-based contracts and grants was $35.6 million, an increase of $17.4 million as compared to 2018. The increase primarily reflects increased R&amp;D activities related to certain ongoing funded development programs, most notably AV7909.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Q3 2019, cost of product sales and contract manufacturing was $108.0 million, an increase of $38.7 million or 56% as compared to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attributable to the increase in product sales.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For Q3 2019, gross R&amp;D expenses were $53.4 million, an increase of $16.4 million or 44% as compared to 2018. The increase primarily reflects costs associated with incremental development programs from the recent acquisitions of PaxVax and Adapt Pharma in October 2018, as well as timing of manufacturing development activities related to the AV7909 program.</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Q3 2019, net R&amp;D expense, which reflects investments made in development programs that are not currently funded in whole or in part by third-party partners and is calculated as gross research and development expenses minus contracts and grants revenue, was $17.8 million, a decrease of $1.0 million or 5% as compared to 2018. The decrease primarily reflects a reduction in raxibacumab technology transfer costs, partially offset by increases related to the development of the CHIKVVLP vaccine and various programs related to opioid overdose response. The Q3 2019 net R&amp;D expense was 6% of adjusted revenue (total revenue less contracts &amp; grants) compared to 12% of adjusted revenue in Q3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766560" cy="1534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6560" cy="153479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160" w:type="dxa"/>
            <w:vAlign w:val="bottom"/>
            <w:shd w:val="clear" w:color="auto" w:fill="0F243E"/>
          </w:tcPr>
          <w:p>
            <w:pPr>
              <w:spacing w:after="0"/>
              <w:rPr>
                <w:sz w:val="23"/>
                <w:szCs w:val="23"/>
                <w:color w:val="auto"/>
              </w:rPr>
            </w:pPr>
          </w:p>
        </w:tc>
        <w:tc>
          <w:tcPr>
            <w:tcW w:w="4500" w:type="dxa"/>
            <w:vAlign w:val="bottom"/>
            <w:gridSpan w:val="4"/>
            <w:shd w:val="clear" w:color="auto" w:fill="0F243E"/>
          </w:tcPr>
          <w:p>
            <w:pPr>
              <w:jc w:val="right"/>
              <w:ind w:right="610"/>
              <w:spacing w:after="0"/>
              <w:rPr>
                <w:sz w:val="20"/>
                <w:szCs w:val="20"/>
                <w:color w:val="auto"/>
              </w:rPr>
            </w:pPr>
            <w:r>
              <w:rPr>
                <w:rFonts w:ascii="Arial" w:cs="Arial" w:eastAsia="Arial" w:hAnsi="Arial"/>
                <w:sz w:val="18"/>
                <w:szCs w:val="18"/>
                <w:b w:val="1"/>
                <w:bCs w:val="1"/>
                <w:color w:val="FFFFFF"/>
              </w:rPr>
              <w:t>Three Months Ended September 30,</w:t>
            </w:r>
          </w:p>
        </w:tc>
        <w:tc>
          <w:tcPr>
            <w:tcW w:w="0" w:type="dxa"/>
            <w:vAlign w:val="bottom"/>
          </w:tcPr>
          <w:p>
            <w:pPr>
              <w:spacing w:after="0"/>
              <w:rPr>
                <w:sz w:val="1"/>
                <w:szCs w:val="1"/>
                <w:color w:val="auto"/>
              </w:rPr>
            </w:pPr>
          </w:p>
        </w:tc>
      </w:tr>
      <w:tr>
        <w:trPr>
          <w:trHeight w:val="267"/>
        </w:trPr>
        <w:tc>
          <w:tcPr>
            <w:tcW w:w="616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580" w:type="dxa"/>
            <w:vAlign w:val="bottom"/>
            <w:shd w:val="clear" w:color="auto" w:fill="0F243E"/>
          </w:tcPr>
          <w:p>
            <w:pPr>
              <w:jc w:val="right"/>
              <w:ind w:right="490"/>
              <w:spacing w:after="0"/>
              <w:rPr>
                <w:sz w:val="20"/>
                <w:szCs w:val="20"/>
                <w:color w:val="auto"/>
              </w:rPr>
            </w:pPr>
            <w:r>
              <w:rPr>
                <w:rFonts w:ascii="Arial" w:cs="Arial" w:eastAsia="Arial" w:hAnsi="Arial"/>
                <w:sz w:val="18"/>
                <w:szCs w:val="18"/>
                <w:b w:val="1"/>
                <w:bCs w:val="1"/>
                <w:color w:val="FFFFFF"/>
              </w:rPr>
              <w:t>2019</w:t>
            </w:r>
          </w:p>
        </w:tc>
        <w:tc>
          <w:tcPr>
            <w:tcW w:w="1240" w:type="dxa"/>
            <w:vAlign w:val="bottom"/>
            <w:shd w:val="clear" w:color="auto" w:fill="0F243E"/>
          </w:tcPr>
          <w:p>
            <w:pPr>
              <w:jc w:val="right"/>
              <w:ind w:right="150"/>
              <w:spacing w:after="0"/>
              <w:rPr>
                <w:sz w:val="20"/>
                <w:szCs w:val="20"/>
                <w:color w:val="auto"/>
              </w:rPr>
            </w:pPr>
            <w:r>
              <w:rPr>
                <w:rFonts w:ascii="Arial" w:cs="Arial" w:eastAsia="Arial" w:hAnsi="Arial"/>
                <w:sz w:val="18"/>
                <w:szCs w:val="18"/>
                <w:b w:val="1"/>
                <w:bCs w:val="1"/>
                <w:color w:val="FFFFFF"/>
              </w:rPr>
              <w:t>2018</w:t>
            </w:r>
          </w:p>
        </w:tc>
        <w:tc>
          <w:tcPr>
            <w:tcW w:w="360" w:type="dxa"/>
            <w:vAlign w:val="bottom"/>
            <w:shd w:val="clear" w:color="auto" w:fill="0F243E"/>
          </w:tcPr>
          <w:p>
            <w:pPr>
              <w:spacing w:after="0"/>
              <w:rPr>
                <w:sz w:val="23"/>
                <w:szCs w:val="23"/>
                <w:color w:val="auto"/>
              </w:rPr>
            </w:pPr>
          </w:p>
        </w:tc>
        <w:tc>
          <w:tcPr>
            <w:tcW w:w="1320" w:type="dxa"/>
            <w:vAlign w:val="bottom"/>
            <w:shd w:val="clear" w:color="auto" w:fill="0F243E"/>
          </w:tcPr>
          <w:p>
            <w:pPr>
              <w:jc w:val="right"/>
              <w:ind w:right="17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69"/>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shd w:val="clear" w:color="auto" w:fill="CCCCCC"/>
          </w:tcPr>
          <w:p>
            <w:pPr>
              <w:jc w:val="right"/>
              <w:ind w:right="530"/>
              <w:spacing w:after="0"/>
              <w:rPr>
                <w:sz w:val="20"/>
                <w:szCs w:val="20"/>
                <w:color w:val="auto"/>
              </w:rPr>
            </w:pPr>
            <w:r>
              <w:rPr>
                <w:rFonts w:ascii="Arial" w:cs="Arial" w:eastAsia="Arial" w:hAnsi="Arial"/>
                <w:sz w:val="18"/>
                <w:szCs w:val="18"/>
                <w:b w:val="1"/>
                <w:bCs w:val="1"/>
                <w:color w:val="auto"/>
              </w:rPr>
              <w:t>$53.4</w:t>
            </w:r>
          </w:p>
        </w:tc>
        <w:tc>
          <w:tcPr>
            <w:tcW w:w="160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b w:val="1"/>
                <w:bCs w:val="1"/>
                <w:color w:val="auto"/>
              </w:rPr>
              <w:t>$37.0</w:t>
            </w:r>
          </w:p>
        </w:tc>
        <w:tc>
          <w:tcPr>
            <w:tcW w:w="1320" w:type="dxa"/>
            <w:vAlign w:val="bottom"/>
            <w:shd w:val="clear" w:color="auto" w:fill="CCCCCC"/>
          </w:tcPr>
          <w:p>
            <w:pPr>
              <w:jc w:val="right"/>
              <w:ind w:right="4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6"/>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580" w:type="dxa"/>
            <w:vAlign w:val="bottom"/>
            <w:shd w:val="clear" w:color="auto" w:fill="CCCCCC"/>
          </w:tcPr>
          <w:p>
            <w:pPr>
              <w:spacing w:after="0"/>
              <w:rPr>
                <w:sz w:val="23"/>
                <w:szCs w:val="23"/>
                <w:color w:val="auto"/>
              </w:rPr>
            </w:pPr>
          </w:p>
        </w:tc>
        <w:tc>
          <w:tcPr>
            <w:tcW w:w="1240" w:type="dxa"/>
            <w:vAlign w:val="bottom"/>
            <w:shd w:val="clear" w:color="auto" w:fill="CCCCCC"/>
          </w:tcPr>
          <w:p>
            <w:pPr>
              <w:spacing w:after="0"/>
              <w:rPr>
                <w:sz w:val="23"/>
                <w:szCs w:val="23"/>
                <w:color w:val="auto"/>
              </w:rPr>
            </w:pPr>
          </w:p>
        </w:tc>
        <w:tc>
          <w:tcPr>
            <w:tcW w:w="360" w:type="dxa"/>
            <w:vAlign w:val="bottom"/>
            <w:shd w:val="clear" w:color="auto" w:fill="CCCCCC"/>
          </w:tcPr>
          <w:p>
            <w:pPr>
              <w:spacing w:after="0"/>
              <w:rPr>
                <w:sz w:val="23"/>
                <w:szCs w:val="23"/>
                <w:color w:val="auto"/>
              </w:rPr>
            </w:pPr>
          </w:p>
        </w:tc>
        <w:tc>
          <w:tcPr>
            <w:tcW w:w="132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160" w:type="dxa"/>
            <w:vAlign w:val="bottom"/>
            <w:shd w:val="clear" w:color="auto" w:fill="CCCCCC"/>
          </w:tcPr>
          <w:p>
            <w:pPr>
              <w:ind w:left="300"/>
              <w:spacing w:after="0"/>
              <w:rPr>
                <w:sz w:val="20"/>
                <w:szCs w:val="20"/>
                <w:color w:val="auto"/>
              </w:rPr>
            </w:pPr>
            <w:r>
              <w:rPr>
                <w:rFonts w:ascii="Arial" w:cs="Arial" w:eastAsia="Arial" w:hAnsi="Arial"/>
                <w:sz w:val="18"/>
                <w:szCs w:val="18"/>
                <w:color w:val="auto"/>
              </w:rPr>
              <w:t>Less Contracts and Grants Revenue</w:t>
            </w:r>
          </w:p>
        </w:tc>
        <w:tc>
          <w:tcPr>
            <w:tcW w:w="158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$35.6</w:t>
            </w:r>
          </w:p>
        </w:tc>
        <w:tc>
          <w:tcPr>
            <w:tcW w:w="160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$18.2</w:t>
            </w:r>
          </w:p>
        </w:tc>
        <w:tc>
          <w:tcPr>
            <w:tcW w:w="1320" w:type="dxa"/>
            <w:vAlign w:val="bottom"/>
            <w:shd w:val="clear" w:color="auto" w:fill="CCCCCC"/>
          </w:tcPr>
          <w:p>
            <w:pPr>
              <w:jc w:val="right"/>
              <w:ind w:right="4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84"/>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Research and Development Expenses</w:t>
            </w:r>
          </w:p>
        </w:tc>
        <w:tc>
          <w:tcPr>
            <w:tcW w:w="158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$17.8</w:t>
            </w:r>
          </w:p>
        </w:tc>
        <w:tc>
          <w:tcPr>
            <w:tcW w:w="160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b w:val="1"/>
                <w:bCs w:val="1"/>
                <w:color w:val="auto"/>
              </w:rPr>
              <w:t>$18.8</w:t>
            </w:r>
          </w:p>
        </w:tc>
        <w:tc>
          <w:tcPr>
            <w:tcW w:w="1320" w:type="dxa"/>
            <w:vAlign w:val="bottom"/>
            <w:shd w:val="clear" w:color="auto" w:fill="CCCCCC"/>
          </w:tcPr>
          <w:p>
            <w:pPr>
              <w:jc w:val="right"/>
              <w:ind w:right="4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Adjusted Revenue</w:t>
            </w:r>
          </w:p>
        </w:tc>
        <w:tc>
          <w:tcPr>
            <w:tcW w:w="1580" w:type="dxa"/>
            <w:vAlign w:val="bottom"/>
            <w:vMerge w:val="restart"/>
            <w:shd w:val="clear" w:color="auto" w:fill="CCCCCC"/>
          </w:tcPr>
          <w:p>
            <w:pPr>
              <w:jc w:val="right"/>
              <w:ind w:right="190"/>
              <w:spacing w:after="0"/>
              <w:rPr>
                <w:sz w:val="20"/>
                <w:szCs w:val="20"/>
                <w:color w:val="auto"/>
              </w:rPr>
            </w:pPr>
            <w:r>
              <w:rPr>
                <w:rFonts w:ascii="Arial" w:cs="Arial" w:eastAsia="Arial" w:hAnsi="Arial"/>
                <w:sz w:val="18"/>
                <w:szCs w:val="18"/>
                <w:b w:val="1"/>
                <w:bCs w:val="1"/>
                <w:color w:val="auto"/>
              </w:rPr>
              <w:t>$276.2</w:t>
            </w:r>
          </w:p>
        </w:tc>
        <w:tc>
          <w:tcPr>
            <w:tcW w:w="12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$155.4</w:t>
            </w:r>
          </w:p>
        </w:tc>
        <w:tc>
          <w:tcPr>
            <w:tcW w:w="360" w:type="dxa"/>
            <w:vAlign w:val="bottom"/>
            <w:shd w:val="clear" w:color="auto" w:fill="CCCCCC"/>
          </w:tcPr>
          <w:p>
            <w:pPr>
              <w:spacing w:after="0"/>
              <w:rPr>
                <w:sz w:val="20"/>
                <w:szCs w:val="20"/>
                <w:color w:val="auto"/>
              </w:rPr>
            </w:pPr>
          </w:p>
        </w:tc>
        <w:tc>
          <w:tcPr>
            <w:tcW w:w="1320" w:type="dxa"/>
            <w:vAlign w:val="bottom"/>
            <w:vMerge w:val="restart"/>
            <w:shd w:val="clear" w:color="auto" w:fill="CCCCCC"/>
          </w:tcPr>
          <w:p>
            <w:pPr>
              <w:jc w:val="right"/>
              <w:ind w:right="4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43"/>
        </w:trPr>
        <w:tc>
          <w:tcPr>
            <w:tcW w:w="616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580" w:type="dxa"/>
            <w:vAlign w:val="bottom"/>
            <w:vMerge w:val="continue"/>
            <w:shd w:val="clear" w:color="auto" w:fill="CCCCCC"/>
          </w:tcPr>
          <w:p>
            <w:pPr>
              <w:spacing w:after="0"/>
              <w:rPr>
                <w:sz w:val="12"/>
                <w:szCs w:val="12"/>
                <w:color w:val="auto"/>
              </w:rPr>
            </w:pPr>
          </w:p>
        </w:tc>
        <w:tc>
          <w:tcPr>
            <w:tcW w:w="1240" w:type="dxa"/>
            <w:vAlign w:val="bottom"/>
            <w:vMerge w:val="continue"/>
            <w:shd w:val="clear" w:color="auto" w:fill="CCCCCC"/>
          </w:tcPr>
          <w:p>
            <w:pPr>
              <w:spacing w:after="0"/>
              <w:rPr>
                <w:sz w:val="12"/>
                <w:szCs w:val="12"/>
                <w:color w:val="auto"/>
              </w:rPr>
            </w:pPr>
          </w:p>
        </w:tc>
        <w:tc>
          <w:tcPr>
            <w:tcW w:w="360" w:type="dxa"/>
            <w:vAlign w:val="bottom"/>
            <w:shd w:val="clear" w:color="auto" w:fill="CCCCCC"/>
          </w:tcPr>
          <w:p>
            <w:pPr>
              <w:spacing w:after="0"/>
              <w:rPr>
                <w:sz w:val="12"/>
                <w:szCs w:val="12"/>
                <w:color w:val="auto"/>
              </w:rPr>
            </w:pPr>
          </w:p>
        </w:tc>
        <w:tc>
          <w:tcPr>
            <w:tcW w:w="1320" w:type="dxa"/>
            <w:vAlign w:val="bottom"/>
            <w:vMerge w:val="continue"/>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160" w:type="dxa"/>
            <w:vAlign w:val="bottom"/>
            <w:vMerge w:val="continue"/>
            <w:shd w:val="clear" w:color="auto" w:fill="CCCCCC"/>
          </w:tcPr>
          <w:p>
            <w:pPr>
              <w:spacing w:after="0"/>
              <w:rPr>
                <w:sz w:val="9"/>
                <w:szCs w:val="9"/>
                <w:color w:val="auto"/>
              </w:rPr>
            </w:pPr>
          </w:p>
        </w:tc>
        <w:tc>
          <w:tcPr>
            <w:tcW w:w="1580" w:type="dxa"/>
            <w:vAlign w:val="bottom"/>
            <w:shd w:val="clear" w:color="auto" w:fill="CCCCCC"/>
          </w:tcPr>
          <w:p>
            <w:pPr>
              <w:spacing w:after="0"/>
              <w:rPr>
                <w:sz w:val="9"/>
                <w:szCs w:val="9"/>
                <w:color w:val="auto"/>
              </w:rPr>
            </w:pPr>
          </w:p>
        </w:tc>
        <w:tc>
          <w:tcPr>
            <w:tcW w:w="1240" w:type="dxa"/>
            <w:vAlign w:val="bottom"/>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320" w:type="dxa"/>
            <w:vAlign w:val="bottom"/>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16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R&amp;D as % of Adjusted Revenue (Net R&amp;D Margin)</w:t>
            </w:r>
          </w:p>
        </w:tc>
        <w:tc>
          <w:tcPr>
            <w:tcW w:w="1580" w:type="dxa"/>
            <w:vAlign w:val="bottom"/>
            <w:shd w:val="clear" w:color="auto" w:fill="CCCCCC"/>
          </w:tcPr>
          <w:p>
            <w:pPr>
              <w:jc w:val="right"/>
              <w:ind w:right="70"/>
              <w:spacing w:after="0"/>
              <w:rPr>
                <w:sz w:val="20"/>
                <w:szCs w:val="20"/>
                <w:color w:val="auto"/>
              </w:rPr>
            </w:pPr>
            <w:r>
              <w:rPr>
                <w:rFonts w:ascii="Arial" w:cs="Arial" w:eastAsia="Arial" w:hAnsi="Arial"/>
                <w:sz w:val="18"/>
                <w:szCs w:val="18"/>
                <w:b w:val="1"/>
                <w:bCs w:val="1"/>
                <w:color w:val="auto"/>
              </w:rPr>
              <w:t>6%</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For Q3 2019, selling, general and administrative expenses were $65.0 million, an increase of $22.9 million or 54% as compared to 2018. The increase primarily reflects the addition of the operations and integration costs associated with the PaxVax and Adapt Pharma acquisitions.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For Q3 2019, amortization of intangible assets was $14.7 million versus $3.9 million as compared to 2018. The increase entirely reflects higher non-cash intangible asset amortization costs associated with the PaxVax and Adapt Pharma acquisitions.</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 of 15</w:t>
      </w:r>
    </w:p>
    <w:p>
      <w:pPr>
        <w:sectPr>
          <w:pgSz w:w="11900" w:h="16838" w:orient="portrait"/>
          <w:cols w:equalWidth="0" w:num="1">
            <w:col w:w="11360"/>
          </w:cols>
          <w:pgMar w:left="240" w:top="1440" w:right="299" w:bottom="1440" w:gutter="0" w:footer="0" w:header="0"/>
        </w:sectPr>
      </w:pPr>
    </w:p>
    <w:bookmarkStart w:id="5" w:name="page6"/>
    <w:bookmarkEnd w:id="5"/>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Q3 2019, the income taxes expense in the amount of $15.7 million includes the impact of permanent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&amp; Adjusted Net Income</w:t>
      </w:r>
    </w:p>
    <w:p>
      <w:pPr>
        <w:spacing w:after="0" w:line="22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For Q3 2019, the Company recorded net income of $43.2 million, or $0.83 per diluted share, versus net income of $20.9 million, or $0.41 per diluted share, in 2018.</w:t>
      </w:r>
    </w:p>
    <w:p>
      <w:pPr>
        <w:spacing w:after="0" w:line="14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 xml:space="preserve">For Q3 2019, the Company recorded adjusted net income of $63.3 million, or $1.21 per diluted share, versus adjusted net income of $28.4 million, or $0.55 per diluted share, in 2018. </w:t>
      </w:r>
      <w:r>
        <w:rPr>
          <w:rFonts w:ascii="Arial" w:cs="Arial" w:eastAsia="Arial" w:hAnsi="Arial"/>
          <w:sz w:val="18"/>
          <w:szCs w:val="18"/>
          <w:i w:val="1"/>
          <w:iCs w:val="1"/>
          <w:color w:val="auto"/>
        </w:rPr>
        <w:t>(1)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&amp;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Q3 2019, the Company recorded EBITDA of $96.3 million versus $33.7 million in 2018. </w:t>
      </w:r>
      <w:r>
        <w:rPr>
          <w:rFonts w:ascii="Arial" w:cs="Arial" w:eastAsia="Arial" w:hAnsi="Arial"/>
          <w:sz w:val="18"/>
          <w:szCs w:val="18"/>
          <w:i w:val="1"/>
          <w:iCs w:val="1"/>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Q3 2019, the Company recorded adjusted EBITDA of $106.4 million versus $39.1 million in 2018. </w:t>
      </w:r>
      <w:r>
        <w:rPr>
          <w:rFonts w:ascii="Arial" w:cs="Arial" w:eastAsia="Arial" w:hAnsi="Arial"/>
          <w:sz w:val="18"/>
          <w:szCs w:val="18"/>
          <w:i w:val="1"/>
          <w:iCs w:val="1"/>
          <w:color w:val="auto"/>
        </w:rPr>
        <w:t>(1)</w:t>
      </w:r>
    </w:p>
    <w:p>
      <w:pPr>
        <w:spacing w:after="0" w:line="223" w:lineRule="exact"/>
        <w:rPr>
          <w:sz w:val="20"/>
          <w:szCs w:val="20"/>
          <w:color w:val="auto"/>
        </w:rPr>
      </w:pPr>
    </w:p>
    <w:p>
      <w:pPr>
        <w:ind w:right="6720" w:firstLine="8"/>
        <w:spacing w:after="0" w:line="502"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Nine months ended September 30, 2019 (unaudited)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color w:val="auto"/>
        </w:rPr>
        <w:t xml:space="preserve">For the nine months ended September 30, 2019, total revenues were $745.7 million, an increase of 46% over 2018. Total revenues reflect the contribution of recently acquired products </w:t>
      </w:r>
      <w:r>
        <w:rPr>
          <w:rFonts w:ascii="Arial" w:cs="Arial" w:eastAsia="Arial" w:hAnsi="Arial"/>
          <w:sz w:val="18"/>
          <w:szCs w:val="18"/>
          <w:b w:val="1"/>
          <w:bCs w:val="1"/>
          <w:color w:val="2C2C2C"/>
        </w:rPr>
        <w:t>as well as increased contracts and grants revenue</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nine months ended September 30, 2019, product sales were $ 592.7 million, an increase of $203.6 million or 52% as compared to 2018. The increase primarily reflects sales of NARCAN® Nasal Spray, which was acquired in October 2018, and ACAM2000®, offset by decreased sales of Anthrax vaccines (BioThrax® and AV7909).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766560" cy="141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6560" cy="141478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200" w:type="dxa"/>
            <w:vAlign w:val="bottom"/>
            <w:shd w:val="clear" w:color="auto" w:fill="0F243E"/>
          </w:tcPr>
          <w:p>
            <w:pPr>
              <w:spacing w:after="0"/>
              <w:rPr>
                <w:sz w:val="23"/>
                <w:szCs w:val="23"/>
                <w:color w:val="auto"/>
              </w:rPr>
            </w:pPr>
          </w:p>
        </w:tc>
        <w:tc>
          <w:tcPr>
            <w:tcW w:w="4460" w:type="dxa"/>
            <w:vAlign w:val="bottom"/>
            <w:gridSpan w:val="3"/>
            <w:shd w:val="clear" w:color="auto" w:fill="0F243E"/>
          </w:tcPr>
          <w:p>
            <w:pPr>
              <w:ind w:left="740"/>
              <w:spacing w:after="0"/>
              <w:rPr>
                <w:sz w:val="20"/>
                <w:szCs w:val="20"/>
                <w:color w:val="auto"/>
              </w:rPr>
            </w:pPr>
            <w:r>
              <w:rPr>
                <w:rFonts w:ascii="Arial" w:cs="Arial" w:eastAsia="Arial" w:hAnsi="Arial"/>
                <w:sz w:val="18"/>
                <w:szCs w:val="18"/>
                <w:b w:val="1"/>
                <w:bCs w:val="1"/>
                <w:color w:val="FFFFFF"/>
              </w:rPr>
              <w:t>Nine Months Ended September 30,</w:t>
            </w:r>
          </w:p>
        </w:tc>
      </w:tr>
      <w:tr>
        <w:trPr>
          <w:trHeight w:val="267"/>
        </w:trPr>
        <w:tc>
          <w:tcPr>
            <w:tcW w:w="620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500" w:type="dxa"/>
            <w:vAlign w:val="bottom"/>
            <w:shd w:val="clear" w:color="auto" w:fill="0F243E"/>
          </w:tcPr>
          <w:p>
            <w:pPr>
              <w:jc w:val="right"/>
              <w:ind w:right="470"/>
              <w:spacing w:after="0"/>
              <w:rPr>
                <w:sz w:val="20"/>
                <w:szCs w:val="20"/>
                <w:color w:val="auto"/>
              </w:rPr>
            </w:pPr>
            <w:r>
              <w:rPr>
                <w:rFonts w:ascii="Arial" w:cs="Arial" w:eastAsia="Arial" w:hAnsi="Arial"/>
                <w:sz w:val="18"/>
                <w:szCs w:val="18"/>
                <w:b w:val="1"/>
                <w:bCs w:val="1"/>
                <w:color w:val="FFFFFF"/>
              </w:rPr>
              <w:t>2019</w:t>
            </w:r>
          </w:p>
        </w:tc>
        <w:tc>
          <w:tcPr>
            <w:tcW w:w="1580" w:type="dxa"/>
            <w:vAlign w:val="bottom"/>
            <w:shd w:val="clear" w:color="auto" w:fill="0F243E"/>
          </w:tcPr>
          <w:p>
            <w:pPr>
              <w:jc w:val="right"/>
              <w:ind w:right="550"/>
              <w:spacing w:after="0"/>
              <w:rPr>
                <w:sz w:val="20"/>
                <w:szCs w:val="20"/>
                <w:color w:val="auto"/>
              </w:rPr>
            </w:pPr>
            <w:r>
              <w:rPr>
                <w:rFonts w:ascii="Arial" w:cs="Arial" w:eastAsia="Arial" w:hAnsi="Arial"/>
                <w:sz w:val="18"/>
                <w:szCs w:val="18"/>
                <w:b w:val="1"/>
                <w:bCs w:val="1"/>
                <w:color w:val="FFFFFF"/>
              </w:rPr>
              <w:t>2018</w:t>
            </w:r>
          </w:p>
        </w:tc>
        <w:tc>
          <w:tcPr>
            <w:tcW w:w="1380" w:type="dxa"/>
            <w:vAlign w:val="bottom"/>
            <w:shd w:val="clear" w:color="auto" w:fill="0F243E"/>
          </w:tcPr>
          <w:p>
            <w:pPr>
              <w:jc w:val="center"/>
              <w:ind w:right="30"/>
              <w:spacing w:after="0"/>
              <w:rPr>
                <w:sz w:val="20"/>
                <w:szCs w:val="20"/>
                <w:color w:val="auto"/>
              </w:rPr>
            </w:pPr>
            <w:r>
              <w:rPr>
                <w:rFonts w:ascii="Arial" w:cs="Arial" w:eastAsia="Arial" w:hAnsi="Arial"/>
                <w:sz w:val="18"/>
                <w:szCs w:val="18"/>
                <w:b w:val="1"/>
                <w:bCs w:val="1"/>
                <w:color w:val="FFFFFF"/>
                <w:w w:val="98"/>
              </w:rPr>
              <w:t>% Change</w:t>
            </w:r>
          </w:p>
        </w:tc>
      </w:tr>
      <w:tr>
        <w:trPr>
          <w:trHeight w:val="269"/>
        </w:trPr>
        <w:tc>
          <w:tcPr>
            <w:tcW w:w="620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Product Sales</w:t>
            </w:r>
          </w:p>
        </w:tc>
        <w:tc>
          <w:tcPr>
            <w:tcW w:w="1500" w:type="dxa"/>
            <w:vAlign w:val="bottom"/>
            <w:shd w:val="clear" w:color="auto" w:fill="CCCCCC"/>
          </w:tcPr>
          <w:p>
            <w:pPr>
              <w:spacing w:after="0"/>
              <w:rPr>
                <w:sz w:val="23"/>
                <w:szCs w:val="23"/>
                <w:color w:val="auto"/>
              </w:rPr>
            </w:pPr>
          </w:p>
        </w:tc>
        <w:tc>
          <w:tcPr>
            <w:tcW w:w="1580" w:type="dxa"/>
            <w:vAlign w:val="bottom"/>
            <w:shd w:val="clear" w:color="auto" w:fill="CCCCCC"/>
          </w:tcPr>
          <w:p>
            <w:pPr>
              <w:spacing w:after="0"/>
              <w:rPr>
                <w:sz w:val="23"/>
                <w:szCs w:val="23"/>
                <w:color w:val="auto"/>
              </w:rPr>
            </w:pPr>
          </w:p>
        </w:tc>
        <w:tc>
          <w:tcPr>
            <w:tcW w:w="1380" w:type="dxa"/>
            <w:vAlign w:val="bottom"/>
            <w:shd w:val="clear" w:color="auto" w:fill="CCCCCC"/>
          </w:tcPr>
          <w:p>
            <w:pPr>
              <w:spacing w:after="0"/>
              <w:rPr>
                <w:sz w:val="23"/>
                <w:szCs w:val="23"/>
                <w:color w:val="auto"/>
              </w:rPr>
            </w:pPr>
          </w:p>
        </w:tc>
      </w:tr>
      <w:tr>
        <w:trPr>
          <w:trHeight w:val="270"/>
        </w:trPr>
        <w:tc>
          <w:tcPr>
            <w:tcW w:w="6200" w:type="dxa"/>
            <w:vAlign w:val="bottom"/>
            <w:shd w:val="clear" w:color="auto" w:fill="CCCCCC"/>
          </w:tcPr>
          <w:p>
            <w:pPr>
              <w:ind w:left="300"/>
              <w:spacing w:after="0"/>
              <w:rPr>
                <w:sz w:val="20"/>
                <w:szCs w:val="20"/>
                <w:color w:val="auto"/>
              </w:rPr>
            </w:pPr>
            <w:r>
              <w:rPr>
                <w:rFonts w:ascii="Arial" w:cs="Arial" w:eastAsia="Arial" w:hAnsi="Arial"/>
                <w:sz w:val="18"/>
                <w:szCs w:val="18"/>
                <w:color w:val="auto"/>
              </w:rPr>
              <w:t>NARCAN Nasal Spray</w:t>
            </w:r>
          </w:p>
        </w:tc>
        <w:tc>
          <w:tcPr>
            <w:tcW w:w="1500" w:type="dxa"/>
            <w:vAlign w:val="bottom"/>
            <w:shd w:val="clear" w:color="auto" w:fill="CCCCCC"/>
          </w:tcPr>
          <w:p>
            <w:pPr>
              <w:jc w:val="center"/>
              <w:ind w:left="370"/>
              <w:spacing w:after="0"/>
              <w:rPr>
                <w:sz w:val="20"/>
                <w:szCs w:val="20"/>
                <w:color w:val="auto"/>
              </w:rPr>
            </w:pPr>
            <w:r>
              <w:rPr>
                <w:rFonts w:ascii="Arial" w:cs="Arial" w:eastAsia="Arial" w:hAnsi="Arial"/>
                <w:sz w:val="18"/>
                <w:szCs w:val="18"/>
                <w:b w:val="1"/>
                <w:bCs w:val="1"/>
                <w:color w:val="auto"/>
              </w:rPr>
              <w:t>$213.5</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NM</w:t>
            </w:r>
          </w:p>
        </w:tc>
      </w:tr>
      <w:tr>
        <w:trPr>
          <w:trHeight w:val="270"/>
        </w:trPr>
        <w:tc>
          <w:tcPr>
            <w:tcW w:w="6200" w:type="dxa"/>
            <w:vAlign w:val="bottom"/>
            <w:shd w:val="clear" w:color="auto" w:fill="CCCCCC"/>
          </w:tcPr>
          <w:p>
            <w:pPr>
              <w:ind w:left="300"/>
              <w:spacing w:after="0"/>
              <w:rPr>
                <w:sz w:val="20"/>
                <w:szCs w:val="20"/>
                <w:color w:val="auto"/>
              </w:rPr>
            </w:pPr>
            <w:r>
              <w:rPr>
                <w:rFonts w:ascii="Arial" w:cs="Arial" w:eastAsia="Arial" w:hAnsi="Arial"/>
                <w:sz w:val="18"/>
                <w:szCs w:val="18"/>
                <w:color w:val="auto"/>
              </w:rPr>
              <w:t>ACAM2000</w:t>
            </w:r>
          </w:p>
        </w:tc>
        <w:tc>
          <w:tcPr>
            <w:tcW w:w="1500" w:type="dxa"/>
            <w:vAlign w:val="bottom"/>
            <w:shd w:val="clear" w:color="auto" w:fill="CCCCCC"/>
          </w:tcPr>
          <w:p>
            <w:pPr>
              <w:jc w:val="center"/>
              <w:ind w:left="370"/>
              <w:spacing w:after="0"/>
              <w:rPr>
                <w:sz w:val="20"/>
                <w:szCs w:val="20"/>
                <w:color w:val="auto"/>
              </w:rPr>
            </w:pPr>
            <w:r>
              <w:rPr>
                <w:rFonts w:ascii="Arial" w:cs="Arial" w:eastAsia="Arial" w:hAnsi="Arial"/>
                <w:sz w:val="18"/>
                <w:szCs w:val="18"/>
                <w:b w:val="1"/>
                <w:bCs w:val="1"/>
                <w:color w:val="auto"/>
              </w:rPr>
              <w:t>$164.1</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$116.7</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41%</w:t>
            </w:r>
          </w:p>
        </w:tc>
      </w:tr>
      <w:tr>
        <w:trPr>
          <w:trHeight w:val="284"/>
        </w:trPr>
        <w:tc>
          <w:tcPr>
            <w:tcW w:w="6200" w:type="dxa"/>
            <w:vAlign w:val="bottom"/>
            <w:shd w:val="clear" w:color="auto" w:fill="CCCCCC"/>
          </w:tcPr>
          <w:p>
            <w:pPr>
              <w:ind w:left="300"/>
              <w:spacing w:after="0"/>
              <w:rPr>
                <w:sz w:val="20"/>
                <w:szCs w:val="20"/>
                <w:color w:val="auto"/>
              </w:rPr>
            </w:pPr>
            <w:r>
              <w:rPr>
                <w:rFonts w:ascii="Arial" w:cs="Arial" w:eastAsia="Arial" w:hAnsi="Arial"/>
                <w:sz w:val="18"/>
                <w:szCs w:val="18"/>
                <w:color w:val="auto"/>
              </w:rPr>
              <w:t>Anthrax vaccines</w:t>
            </w:r>
          </w:p>
        </w:tc>
        <w:tc>
          <w:tcPr>
            <w:tcW w:w="1500" w:type="dxa"/>
            <w:vAlign w:val="bottom"/>
            <w:shd w:val="clear" w:color="auto" w:fill="CCCCCC"/>
          </w:tcPr>
          <w:p>
            <w:pPr>
              <w:jc w:val="center"/>
              <w:ind w:left="370"/>
              <w:spacing w:after="0"/>
              <w:rPr>
                <w:sz w:val="20"/>
                <w:szCs w:val="20"/>
                <w:color w:val="auto"/>
              </w:rPr>
            </w:pPr>
            <w:r>
              <w:rPr>
                <w:rFonts w:ascii="Arial" w:cs="Arial" w:eastAsia="Arial" w:hAnsi="Arial"/>
                <w:sz w:val="18"/>
                <w:szCs w:val="18"/>
                <w:b w:val="1"/>
                <w:bCs w:val="1"/>
                <w:color w:val="auto"/>
                <w:w w:val="97"/>
              </w:rPr>
              <w:t>$79.9</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$143.7</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(44)%</w:t>
            </w:r>
          </w:p>
        </w:tc>
      </w:tr>
      <w:tr>
        <w:trPr>
          <w:trHeight w:val="284"/>
        </w:trPr>
        <w:tc>
          <w:tcPr>
            <w:tcW w:w="6200" w:type="dxa"/>
            <w:vAlign w:val="bottom"/>
            <w:shd w:val="clear" w:color="auto" w:fill="CCCCCC"/>
          </w:tcPr>
          <w:p>
            <w:pPr>
              <w:ind w:left="30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CCCC"/>
          </w:tcPr>
          <w:p>
            <w:pPr>
              <w:jc w:val="center"/>
              <w:ind w:left="370"/>
              <w:spacing w:after="0"/>
              <w:rPr>
                <w:sz w:val="20"/>
                <w:szCs w:val="20"/>
                <w:color w:val="auto"/>
              </w:rPr>
            </w:pPr>
            <w:r>
              <w:rPr>
                <w:rFonts w:ascii="Arial" w:cs="Arial" w:eastAsia="Arial" w:hAnsi="Arial"/>
                <w:sz w:val="18"/>
                <w:szCs w:val="18"/>
                <w:b w:val="1"/>
                <w:bCs w:val="1"/>
                <w:color w:val="auto"/>
              </w:rPr>
              <w:t>$135.2</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$128.7</w:t>
            </w:r>
          </w:p>
        </w:tc>
        <w:tc>
          <w:tcPr>
            <w:tcW w:w="1380" w:type="dxa"/>
            <w:vAlign w:val="bottom"/>
            <w:shd w:val="clear" w:color="auto" w:fill="CCCCCC"/>
          </w:tcPr>
          <w:p>
            <w:pPr>
              <w:jc w:val="center"/>
              <w:ind w:right="30"/>
              <w:spacing w:after="0"/>
              <w:rPr>
                <w:sz w:val="20"/>
                <w:szCs w:val="20"/>
                <w:color w:val="auto"/>
              </w:rPr>
            </w:pPr>
            <w:r>
              <w:rPr>
                <w:rFonts w:ascii="Arial" w:cs="Arial" w:eastAsia="Arial" w:hAnsi="Arial"/>
                <w:sz w:val="18"/>
                <w:szCs w:val="18"/>
                <w:color w:val="auto"/>
                <w:w w:val="99"/>
              </w:rPr>
              <w:t>5%</w:t>
            </w:r>
          </w:p>
        </w:tc>
      </w:tr>
      <w:tr>
        <w:trPr>
          <w:trHeight w:val="299"/>
        </w:trPr>
        <w:tc>
          <w:tcPr>
            <w:tcW w:w="620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1500" w:type="dxa"/>
            <w:vAlign w:val="bottom"/>
            <w:shd w:val="clear" w:color="auto" w:fill="CCCCCC"/>
          </w:tcPr>
          <w:p>
            <w:pPr>
              <w:jc w:val="center"/>
              <w:ind w:left="370"/>
              <w:spacing w:after="0"/>
              <w:rPr>
                <w:sz w:val="20"/>
                <w:szCs w:val="20"/>
                <w:color w:val="auto"/>
              </w:rPr>
            </w:pPr>
            <w:r>
              <w:rPr>
                <w:rFonts w:ascii="Arial" w:cs="Arial" w:eastAsia="Arial" w:hAnsi="Arial"/>
                <w:sz w:val="18"/>
                <w:szCs w:val="18"/>
                <w:b w:val="1"/>
                <w:bCs w:val="1"/>
                <w:color w:val="auto"/>
              </w:rPr>
              <w:t>$592.7</w:t>
            </w:r>
          </w:p>
        </w:tc>
        <w:tc>
          <w:tcPr>
            <w:tcW w:w="158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rPr>
              <w:t>$389.1</w:t>
            </w:r>
          </w:p>
        </w:tc>
        <w:tc>
          <w:tcPr>
            <w:tcW w:w="1380" w:type="dxa"/>
            <w:vAlign w:val="bottom"/>
            <w:shd w:val="clear" w:color="auto" w:fill="CCCCCC"/>
          </w:tcPr>
          <w:p>
            <w:pPr>
              <w:jc w:val="center"/>
              <w:ind w:right="10"/>
              <w:spacing w:after="0"/>
              <w:rPr>
                <w:sz w:val="20"/>
                <w:szCs w:val="20"/>
                <w:color w:val="auto"/>
              </w:rPr>
            </w:pPr>
            <w:r>
              <w:rPr>
                <w:rFonts w:ascii="Arial" w:cs="Arial" w:eastAsia="Arial" w:hAnsi="Arial"/>
                <w:sz w:val="18"/>
                <w:szCs w:val="18"/>
                <w:color w:val="auto"/>
                <w:w w:val="99"/>
              </w:rPr>
              <w:t>52%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nine months ended September 30, 2019, revenue from the Company’s contract manufacturing operations was $54.6 million, a decrease of $17.4 million or 24% as compared to 2018. The decrease primarily reflects contracted service work in the nine months of 2018 that did not recur in the nine months of 2019.</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 of 15</w:t>
      </w:r>
    </w:p>
    <w:p>
      <w:pPr>
        <w:sectPr>
          <w:pgSz w:w="11900" w:h="16838" w:orient="portrait"/>
          <w:cols w:equalWidth="0" w:num="1">
            <w:col w:w="11420"/>
          </w:cols>
          <w:pgMar w:left="240" w:top="1440" w:right="2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For the nine months ended September 30, 2019, revenue from the Company’s development-based contracts and grants was $98.4 million, an increase of $47.8 million or 94% as compared to 2018. The increase primarily reflects increased R&amp;D activities related to certain ongoing funded development programs, most notably AV7909.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17" w:lineRule="exact"/>
        <w:rPr>
          <w:sz w:val="20"/>
          <w:szCs w:val="20"/>
          <w:color w:val="auto"/>
        </w:rPr>
      </w:pPr>
    </w:p>
    <w:p>
      <w:pPr>
        <w:jc w:val="both"/>
        <w:ind w:right="320"/>
        <w:spacing w:after="0" w:line="292" w:lineRule="auto"/>
        <w:rPr>
          <w:sz w:val="20"/>
          <w:szCs w:val="20"/>
          <w:color w:val="auto"/>
        </w:rPr>
      </w:pPr>
      <w:r>
        <w:rPr>
          <w:rFonts w:ascii="Arial" w:cs="Arial" w:eastAsia="Arial" w:hAnsi="Arial"/>
          <w:sz w:val="18"/>
          <w:szCs w:val="18"/>
          <w:color w:val="auto"/>
        </w:rPr>
        <w:t>For the nine months ended September 30, 2019, cost of product sales and contract manufacturing was $300.7 million, an increase of $91.9 million or 44% as compared to 2018. The increase is attributable to the increase in product sales.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17"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For the nine months ended September 30, 2019, gross R&amp;D expenses were $ 163.4 million, an increase of $72.6 million compared to 2018. The increase primarily reflects costs associated with incremental development programs from the recent acquisitions of PaxVax and Adapt Pharma in October 2018, as well as timing of manufacturing development activities related to the AV7909 program.</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the nine months ended September 30, 2019, net R&amp;D expense, which reflects investments made in development programs that are not currently funded in whole or in part by third-party partners and is calculated as gross research and development expenses minus contracts and grants revenue, was $65.0 million, an increase of $24.8 million or 62% as compared to 2018. The increase primarily reflects investments in the development of the CHIKV-VLP vaccine and various programs related to opioid overdose response. The nine months of 2019 net R&amp;D expense was 10% of adjusted revenue (total revenue less contracts &amp; grants) compared to 9% of adjusted revenue in the nine months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211455</wp:posOffset>
            </wp:positionV>
            <wp:extent cx="6715125" cy="1534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5125" cy="1534795"/>
                    </a:xfrm>
                    <a:prstGeom prst="rect">
                      <a:avLst/>
                    </a:prstGeom>
                    <a:noFill/>
                  </pic:spPr>
                </pic:pic>
              </a:graphicData>
            </a:graphic>
          </wp:anchor>
        </w:drawing>
      </w: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6120" w:type="dxa"/>
            <w:vAlign w:val="bottom"/>
            <w:shd w:val="clear" w:color="auto" w:fill="0F243E"/>
          </w:tcPr>
          <w:p>
            <w:pPr>
              <w:spacing w:after="0"/>
              <w:rPr>
                <w:sz w:val="23"/>
                <w:szCs w:val="23"/>
                <w:color w:val="auto"/>
              </w:rPr>
            </w:pPr>
          </w:p>
        </w:tc>
        <w:tc>
          <w:tcPr>
            <w:tcW w:w="4460" w:type="dxa"/>
            <w:vAlign w:val="bottom"/>
            <w:gridSpan w:val="4"/>
            <w:shd w:val="clear" w:color="auto" w:fill="0F243E"/>
          </w:tcPr>
          <w:p>
            <w:pPr>
              <w:ind w:left="760"/>
              <w:spacing w:after="0"/>
              <w:rPr>
                <w:sz w:val="20"/>
                <w:szCs w:val="20"/>
                <w:color w:val="auto"/>
              </w:rPr>
            </w:pPr>
            <w:r>
              <w:rPr>
                <w:rFonts w:ascii="Arial" w:cs="Arial" w:eastAsia="Arial" w:hAnsi="Arial"/>
                <w:sz w:val="18"/>
                <w:szCs w:val="18"/>
                <w:b w:val="1"/>
                <w:bCs w:val="1"/>
                <w:color w:val="FFFFFF"/>
              </w:rPr>
              <w:t>Nine Months Ended September 30,</w:t>
            </w:r>
          </w:p>
        </w:tc>
        <w:tc>
          <w:tcPr>
            <w:tcW w:w="0" w:type="dxa"/>
            <w:vAlign w:val="bottom"/>
          </w:tcPr>
          <w:p>
            <w:pPr>
              <w:spacing w:after="0"/>
              <w:rPr>
                <w:sz w:val="1"/>
                <w:szCs w:val="1"/>
                <w:color w:val="auto"/>
              </w:rPr>
            </w:pPr>
          </w:p>
        </w:tc>
      </w:tr>
      <w:tr>
        <w:trPr>
          <w:trHeight w:val="267"/>
        </w:trPr>
        <w:tc>
          <w:tcPr>
            <w:tcW w:w="612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560" w:type="dxa"/>
            <w:vAlign w:val="bottom"/>
            <w:shd w:val="clear" w:color="auto" w:fill="0F243E"/>
          </w:tcPr>
          <w:p>
            <w:pPr>
              <w:jc w:val="right"/>
              <w:ind w:right="490"/>
              <w:spacing w:after="0"/>
              <w:rPr>
                <w:sz w:val="20"/>
                <w:szCs w:val="20"/>
                <w:color w:val="auto"/>
              </w:rPr>
            </w:pPr>
            <w:r>
              <w:rPr>
                <w:rFonts w:ascii="Arial" w:cs="Arial" w:eastAsia="Arial" w:hAnsi="Arial"/>
                <w:sz w:val="18"/>
                <w:szCs w:val="18"/>
                <w:b w:val="1"/>
                <w:bCs w:val="1"/>
                <w:color w:val="FFFFFF"/>
              </w:rPr>
              <w:t>2019</w:t>
            </w:r>
          </w:p>
        </w:tc>
        <w:tc>
          <w:tcPr>
            <w:tcW w:w="1220" w:type="dxa"/>
            <w:vAlign w:val="bottom"/>
            <w:shd w:val="clear" w:color="auto" w:fill="0F243E"/>
          </w:tcPr>
          <w:p>
            <w:pPr>
              <w:jc w:val="right"/>
              <w:ind w:right="150"/>
              <w:spacing w:after="0"/>
              <w:rPr>
                <w:sz w:val="20"/>
                <w:szCs w:val="20"/>
                <w:color w:val="auto"/>
              </w:rPr>
            </w:pPr>
            <w:r>
              <w:rPr>
                <w:rFonts w:ascii="Arial" w:cs="Arial" w:eastAsia="Arial" w:hAnsi="Arial"/>
                <w:sz w:val="18"/>
                <w:szCs w:val="18"/>
                <w:b w:val="1"/>
                <w:bCs w:val="1"/>
                <w:color w:val="FFFFFF"/>
              </w:rPr>
              <w:t>2018</w:t>
            </w:r>
          </w:p>
        </w:tc>
        <w:tc>
          <w:tcPr>
            <w:tcW w:w="360" w:type="dxa"/>
            <w:vAlign w:val="bottom"/>
            <w:shd w:val="clear" w:color="auto" w:fill="0F243E"/>
          </w:tcPr>
          <w:p>
            <w:pPr>
              <w:spacing w:after="0"/>
              <w:rPr>
                <w:sz w:val="23"/>
                <w:szCs w:val="23"/>
                <w:color w:val="auto"/>
              </w:rPr>
            </w:pPr>
          </w:p>
        </w:tc>
        <w:tc>
          <w:tcPr>
            <w:tcW w:w="132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69"/>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Research and Development Expenses</w:t>
            </w:r>
          </w:p>
        </w:tc>
        <w:tc>
          <w:tcPr>
            <w:tcW w:w="156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$163.4</w:t>
            </w:r>
          </w:p>
        </w:tc>
        <w:tc>
          <w:tcPr>
            <w:tcW w:w="15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$90.8</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76"/>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560" w:type="dxa"/>
            <w:vAlign w:val="bottom"/>
            <w:shd w:val="clear" w:color="auto" w:fill="CCCCCC"/>
          </w:tcPr>
          <w:p>
            <w:pPr>
              <w:spacing w:after="0"/>
              <w:rPr>
                <w:sz w:val="23"/>
                <w:szCs w:val="23"/>
                <w:color w:val="auto"/>
              </w:rPr>
            </w:pPr>
          </w:p>
        </w:tc>
        <w:tc>
          <w:tcPr>
            <w:tcW w:w="1220" w:type="dxa"/>
            <w:vAlign w:val="bottom"/>
            <w:shd w:val="clear" w:color="auto" w:fill="CCCCCC"/>
          </w:tcPr>
          <w:p>
            <w:pPr>
              <w:spacing w:after="0"/>
              <w:rPr>
                <w:sz w:val="23"/>
                <w:szCs w:val="23"/>
                <w:color w:val="auto"/>
              </w:rPr>
            </w:pPr>
          </w:p>
        </w:tc>
        <w:tc>
          <w:tcPr>
            <w:tcW w:w="360" w:type="dxa"/>
            <w:vAlign w:val="bottom"/>
            <w:shd w:val="clear" w:color="auto" w:fill="CCCCCC"/>
          </w:tcPr>
          <w:p>
            <w:pPr>
              <w:spacing w:after="0"/>
              <w:rPr>
                <w:sz w:val="23"/>
                <w:szCs w:val="23"/>
                <w:color w:val="auto"/>
              </w:rPr>
            </w:pPr>
          </w:p>
        </w:tc>
        <w:tc>
          <w:tcPr>
            <w:tcW w:w="132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120" w:type="dxa"/>
            <w:vAlign w:val="bottom"/>
            <w:shd w:val="clear" w:color="auto" w:fill="CCCCCC"/>
          </w:tcPr>
          <w:p>
            <w:pPr>
              <w:ind w:left="300"/>
              <w:spacing w:after="0"/>
              <w:rPr>
                <w:sz w:val="20"/>
                <w:szCs w:val="20"/>
                <w:color w:val="auto"/>
              </w:rPr>
            </w:pPr>
            <w:r>
              <w:rPr>
                <w:rFonts w:ascii="Arial" w:cs="Arial" w:eastAsia="Arial" w:hAnsi="Arial"/>
                <w:sz w:val="18"/>
                <w:szCs w:val="18"/>
                <w:color w:val="auto"/>
              </w:rPr>
              <w:t>Less Contracts and Grants Revenue</w:t>
            </w:r>
          </w:p>
        </w:tc>
        <w:tc>
          <w:tcPr>
            <w:tcW w:w="156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$98.4</w:t>
            </w:r>
          </w:p>
        </w:tc>
        <w:tc>
          <w:tcPr>
            <w:tcW w:w="15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$50.6</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94%</w:t>
            </w:r>
          </w:p>
        </w:tc>
        <w:tc>
          <w:tcPr>
            <w:tcW w:w="0" w:type="dxa"/>
            <w:vAlign w:val="bottom"/>
          </w:tcPr>
          <w:p>
            <w:pPr>
              <w:spacing w:after="0"/>
              <w:rPr>
                <w:sz w:val="1"/>
                <w:szCs w:val="1"/>
                <w:color w:val="auto"/>
              </w:rPr>
            </w:pPr>
          </w:p>
        </w:tc>
      </w:tr>
      <w:tr>
        <w:trPr>
          <w:trHeight w:val="284"/>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Research and Development Expenses</w:t>
            </w:r>
          </w:p>
        </w:tc>
        <w:tc>
          <w:tcPr>
            <w:tcW w:w="1560" w:type="dxa"/>
            <w:vAlign w:val="bottom"/>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$65.0</w:t>
            </w:r>
          </w:p>
        </w:tc>
        <w:tc>
          <w:tcPr>
            <w:tcW w:w="15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b w:val="1"/>
                <w:bCs w:val="1"/>
                <w:color w:val="auto"/>
              </w:rPr>
              <w:t>$40.2</w:t>
            </w:r>
          </w:p>
        </w:tc>
        <w:tc>
          <w:tcPr>
            <w:tcW w:w="13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35"/>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Adjusted Revenue</w:t>
            </w:r>
          </w:p>
        </w:tc>
        <w:tc>
          <w:tcPr>
            <w:tcW w:w="1560" w:type="dxa"/>
            <w:vAlign w:val="bottom"/>
            <w:vMerge w:val="restart"/>
            <w:shd w:val="clear" w:color="auto" w:fill="CCCCCC"/>
          </w:tcPr>
          <w:p>
            <w:pPr>
              <w:jc w:val="right"/>
              <w:ind w:right="190"/>
              <w:spacing w:after="0"/>
              <w:rPr>
                <w:sz w:val="20"/>
                <w:szCs w:val="20"/>
                <w:color w:val="auto"/>
              </w:rPr>
            </w:pPr>
            <w:r>
              <w:rPr>
                <w:rFonts w:ascii="Arial" w:cs="Arial" w:eastAsia="Arial" w:hAnsi="Arial"/>
                <w:sz w:val="18"/>
                <w:szCs w:val="18"/>
                <w:b w:val="1"/>
                <w:bCs w:val="1"/>
                <w:color w:val="auto"/>
              </w:rPr>
              <w:t>$647.3</w:t>
            </w:r>
          </w:p>
        </w:tc>
        <w:tc>
          <w:tcPr>
            <w:tcW w:w="122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$461.1</w:t>
            </w:r>
          </w:p>
        </w:tc>
        <w:tc>
          <w:tcPr>
            <w:tcW w:w="360" w:type="dxa"/>
            <w:vAlign w:val="bottom"/>
            <w:shd w:val="clear" w:color="auto" w:fill="CCCCCC"/>
          </w:tcPr>
          <w:p>
            <w:pPr>
              <w:spacing w:after="0"/>
              <w:rPr>
                <w:sz w:val="20"/>
                <w:szCs w:val="20"/>
                <w:color w:val="auto"/>
              </w:rPr>
            </w:pPr>
          </w:p>
        </w:tc>
        <w:tc>
          <w:tcPr>
            <w:tcW w:w="132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43"/>
        </w:trPr>
        <w:tc>
          <w:tcPr>
            <w:tcW w:w="612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560" w:type="dxa"/>
            <w:vAlign w:val="bottom"/>
            <w:vMerge w:val="continue"/>
            <w:shd w:val="clear" w:color="auto" w:fill="CCCCCC"/>
          </w:tcPr>
          <w:p>
            <w:pPr>
              <w:spacing w:after="0"/>
              <w:rPr>
                <w:sz w:val="12"/>
                <w:szCs w:val="12"/>
                <w:color w:val="auto"/>
              </w:rPr>
            </w:pPr>
          </w:p>
        </w:tc>
        <w:tc>
          <w:tcPr>
            <w:tcW w:w="1220" w:type="dxa"/>
            <w:vAlign w:val="bottom"/>
            <w:vMerge w:val="continue"/>
            <w:shd w:val="clear" w:color="auto" w:fill="CCCCCC"/>
          </w:tcPr>
          <w:p>
            <w:pPr>
              <w:spacing w:after="0"/>
              <w:rPr>
                <w:sz w:val="12"/>
                <w:szCs w:val="12"/>
                <w:color w:val="auto"/>
              </w:rPr>
            </w:pPr>
          </w:p>
        </w:tc>
        <w:tc>
          <w:tcPr>
            <w:tcW w:w="360" w:type="dxa"/>
            <w:vAlign w:val="bottom"/>
            <w:shd w:val="clear" w:color="auto" w:fill="CCCCCC"/>
          </w:tcPr>
          <w:p>
            <w:pPr>
              <w:spacing w:after="0"/>
              <w:rPr>
                <w:sz w:val="12"/>
                <w:szCs w:val="12"/>
                <w:color w:val="auto"/>
              </w:rPr>
            </w:pPr>
          </w:p>
        </w:tc>
        <w:tc>
          <w:tcPr>
            <w:tcW w:w="1320" w:type="dxa"/>
            <w:vAlign w:val="bottom"/>
            <w:vMerge w:val="continue"/>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120" w:type="dxa"/>
            <w:vAlign w:val="bottom"/>
            <w:vMerge w:val="continue"/>
            <w:shd w:val="clear" w:color="auto" w:fill="CCCCCC"/>
          </w:tcPr>
          <w:p>
            <w:pPr>
              <w:spacing w:after="0"/>
              <w:rPr>
                <w:sz w:val="9"/>
                <w:szCs w:val="9"/>
                <w:color w:val="auto"/>
              </w:rPr>
            </w:pPr>
          </w:p>
        </w:tc>
        <w:tc>
          <w:tcPr>
            <w:tcW w:w="1560" w:type="dxa"/>
            <w:vAlign w:val="bottom"/>
            <w:shd w:val="clear" w:color="auto" w:fill="CCCCCC"/>
          </w:tcPr>
          <w:p>
            <w:pPr>
              <w:spacing w:after="0"/>
              <w:rPr>
                <w:sz w:val="9"/>
                <w:szCs w:val="9"/>
                <w:color w:val="auto"/>
              </w:rPr>
            </w:pPr>
          </w:p>
        </w:tc>
        <w:tc>
          <w:tcPr>
            <w:tcW w:w="1220" w:type="dxa"/>
            <w:vAlign w:val="bottom"/>
            <w:shd w:val="clear" w:color="auto" w:fill="CCCCCC"/>
          </w:tcPr>
          <w:p>
            <w:pPr>
              <w:spacing w:after="0"/>
              <w:rPr>
                <w:sz w:val="9"/>
                <w:szCs w:val="9"/>
                <w:color w:val="auto"/>
              </w:rPr>
            </w:pPr>
          </w:p>
        </w:tc>
        <w:tc>
          <w:tcPr>
            <w:tcW w:w="360" w:type="dxa"/>
            <w:vAlign w:val="bottom"/>
            <w:shd w:val="clear" w:color="auto" w:fill="CCCCCC"/>
          </w:tcPr>
          <w:p>
            <w:pPr>
              <w:spacing w:after="0"/>
              <w:rPr>
                <w:sz w:val="9"/>
                <w:szCs w:val="9"/>
                <w:color w:val="auto"/>
              </w:rPr>
            </w:pPr>
          </w:p>
        </w:tc>
        <w:tc>
          <w:tcPr>
            <w:tcW w:w="1320" w:type="dxa"/>
            <w:vAlign w:val="bottom"/>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1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R&amp;D as % of Adjusted Revenue (Net R&amp;D Margin)</w:t>
            </w:r>
          </w:p>
        </w:tc>
        <w:tc>
          <w:tcPr>
            <w:tcW w:w="1560" w:type="dxa"/>
            <w:vAlign w:val="bottom"/>
            <w:shd w:val="clear" w:color="auto" w:fill="CCCCCC"/>
          </w:tcPr>
          <w:p>
            <w:pPr>
              <w:jc w:val="right"/>
              <w:ind w:right="70"/>
              <w:spacing w:after="0"/>
              <w:rPr>
                <w:sz w:val="20"/>
                <w:szCs w:val="20"/>
                <w:color w:val="auto"/>
              </w:rPr>
            </w:pPr>
            <w:r>
              <w:rPr>
                <w:rFonts w:ascii="Arial" w:cs="Arial" w:eastAsia="Arial" w:hAnsi="Arial"/>
                <w:sz w:val="18"/>
                <w:szCs w:val="18"/>
                <w:b w:val="1"/>
                <w:bCs w:val="1"/>
                <w:color w:val="auto"/>
              </w:rPr>
              <w:t>10%</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nine months ended September 30, 2019, selling, general and administrative expenses were $201.3 million, an increase of $79.5 million or 65% as compared to 2018. The increase primarily reflects the addition of the operations and integration costs associated with the PaxVax and Adapt Pharma acquisitions.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2019, amortization of intangible assets was $43.9 million versus $11.7 million as compared to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entirely reflects higher non-cash intangible asset amortization costs associated with the PaxVax and Adapt Pharma acquisitions.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 of 15</w:t>
      </w:r>
    </w:p>
    <w:p>
      <w:pPr>
        <w:sectPr>
          <w:pgSz w:w="11900" w:h="16838" w:orient="portrait"/>
          <w:cols w:equalWidth="0" w:num="1">
            <w:col w:w="11400"/>
          </w:cols>
          <w:pgMar w:left="240" w:top="1440" w:right="259" w:bottom="1440" w:gutter="0" w:footer="0" w:header="0"/>
        </w:sectPr>
      </w:pPr>
    </w:p>
    <w:bookmarkStart w:id="7" w:name="page8"/>
    <w:bookmarkEnd w:id="7"/>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2019, income tax benefit was $1.7 million, which includes the impact of permanent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&amp; Adjusted Net Income</w:t>
      </w:r>
    </w:p>
    <w:p>
      <w:pPr>
        <w:spacing w:after="0" w:line="11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For the nine months ended September 30, 2019, the Company recorded net income of $7.6 million, or $0.15 per diluted share, versus net income of $66.2 million, or $1.29 per diluted share, in 2018.</w:t>
      </w:r>
    </w:p>
    <w:p>
      <w:pPr>
        <w:spacing w:after="0" w:line="14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 xml:space="preserve">For the nine months ended September 30, 2019, the Company recorded adjusted net income of $67.0 million, or $1.28 per diluted share, versus adjusted net income of $83.3 million, or $1.63 per diluted share, in 2018. </w:t>
      </w:r>
      <w:r>
        <w:rPr>
          <w:rFonts w:ascii="Arial" w:cs="Arial" w:eastAsia="Arial" w:hAnsi="Arial"/>
          <w:sz w:val="18"/>
          <w:szCs w:val="18"/>
          <w:i w:val="1"/>
          <w:iCs w:val="1"/>
          <w:color w:val="auto"/>
        </w:rPr>
        <w:t>(1)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&amp; 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nine months ended September 30, 2019, the Company recorded EBITDA of $116.3 million versus $115.5 million in 2018. </w:t>
      </w:r>
      <w:r>
        <w:rPr>
          <w:rFonts w:ascii="Arial" w:cs="Arial" w:eastAsia="Arial" w:hAnsi="Arial"/>
          <w:sz w:val="18"/>
          <w:szCs w:val="18"/>
          <w:i w:val="1"/>
          <w:iCs w:val="1"/>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nine months ended September 30, 2019, the Company recorded adjusted EBITDA of $145.4 million versus $124.6 million in 2018. </w:t>
      </w:r>
      <w:r>
        <w:rPr>
          <w:rFonts w:ascii="Arial" w:cs="Arial" w:eastAsia="Arial" w:hAnsi="Arial"/>
          <w:sz w:val="18"/>
          <w:szCs w:val="18"/>
          <w:i w:val="1"/>
          <w:iCs w:val="1"/>
          <w:color w:val="auto"/>
        </w:rPr>
        <w:t>(1)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FINANCIAL FORECAST (Reaffirmed)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full year 2019, the company reaffirms its expectation of the following forecasted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1595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59512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vMerge w:val="restart"/>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7000" w:type="dxa"/>
            <w:vAlign w:val="bottom"/>
            <w:gridSpan w:val="2"/>
            <w:shd w:val="clear" w:color="auto" w:fill="0F243E"/>
          </w:tcPr>
          <w:p>
            <w:pPr>
              <w:jc w:val="center"/>
              <w:spacing w:after="0"/>
              <w:rPr>
                <w:sz w:val="20"/>
                <w:szCs w:val="20"/>
                <w:color w:val="auto"/>
              </w:rPr>
            </w:pPr>
            <w:r>
              <w:rPr>
                <w:rFonts w:ascii="Arial" w:cs="Arial" w:eastAsia="Arial" w:hAnsi="Arial"/>
                <w:sz w:val="18"/>
                <w:szCs w:val="18"/>
                <w:b w:val="1"/>
                <w:bCs w:val="1"/>
                <w:color w:val="FFFFFF"/>
                <w:w w:val="99"/>
              </w:rPr>
              <w:t>FULL YEAR 2019</w:t>
            </w:r>
          </w:p>
        </w:tc>
        <w:tc>
          <w:tcPr>
            <w:tcW w:w="0" w:type="dxa"/>
            <w:vAlign w:val="bottom"/>
          </w:tcPr>
          <w:p>
            <w:pPr>
              <w:spacing w:after="0"/>
              <w:rPr>
                <w:sz w:val="1"/>
                <w:szCs w:val="1"/>
                <w:color w:val="auto"/>
              </w:rPr>
            </w:pPr>
          </w:p>
        </w:tc>
      </w:tr>
      <w:tr>
        <w:trPr>
          <w:trHeight w:val="226"/>
        </w:trPr>
        <w:tc>
          <w:tcPr>
            <w:tcW w:w="4320" w:type="dxa"/>
            <w:vAlign w:val="bottom"/>
            <w:tcBorders>
              <w:bottom w:val="single" w:sz="8" w:color="0F243E"/>
            </w:tcBorders>
            <w:vMerge w:val="continue"/>
            <w:shd w:val="clear" w:color="auto" w:fill="0F243E"/>
          </w:tcPr>
          <w:p>
            <w:pPr>
              <w:spacing w:after="0"/>
              <w:rPr>
                <w:sz w:val="19"/>
                <w:szCs w:val="19"/>
                <w:color w:val="auto"/>
              </w:rPr>
            </w:pPr>
          </w:p>
        </w:tc>
        <w:tc>
          <w:tcPr>
            <w:tcW w:w="7000" w:type="dxa"/>
            <w:vAlign w:val="bottom"/>
            <w:tcBorders>
              <w:bottom w:val="single" w:sz="8" w:color="0F243E"/>
            </w:tcBorders>
            <w:gridSpan w:val="2"/>
            <w:shd w:val="clear" w:color="auto" w:fill="0F243E"/>
          </w:tcPr>
          <w:p>
            <w:pPr>
              <w:jc w:val="center"/>
              <w:spacing w:after="0"/>
              <w:rPr>
                <w:sz w:val="20"/>
                <w:szCs w:val="20"/>
                <w:color w:val="auto"/>
              </w:rPr>
            </w:pPr>
            <w:r>
              <w:rPr>
                <w:rFonts w:ascii="Arial" w:cs="Arial" w:eastAsia="Arial" w:hAnsi="Arial"/>
                <w:sz w:val="16"/>
                <w:szCs w:val="16"/>
                <w:i w:val="1"/>
                <w:iCs w:val="1"/>
                <w:color w:val="FFFFFF"/>
                <w:w w:val="99"/>
              </w:rPr>
              <w:t>(As of 11/6/2019)</w:t>
            </w:r>
          </w:p>
        </w:tc>
        <w:tc>
          <w:tcPr>
            <w:tcW w:w="0" w:type="dxa"/>
            <w:vAlign w:val="bottom"/>
          </w:tcPr>
          <w:p>
            <w:pPr>
              <w:spacing w:after="0"/>
              <w:rPr>
                <w:sz w:val="1"/>
                <w:szCs w:val="1"/>
                <w:color w:val="auto"/>
              </w:rPr>
            </w:pPr>
          </w:p>
        </w:tc>
      </w:tr>
      <w:tr>
        <w:trPr>
          <w:trHeight w:val="269"/>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Total Revenues</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$1,060</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$1,140</w:t>
            </w:r>
          </w:p>
        </w:tc>
        <w:tc>
          <w:tcPr>
            <w:tcW w:w="0" w:type="dxa"/>
            <w:vAlign w:val="bottom"/>
          </w:tcPr>
          <w:p>
            <w:pPr>
              <w:spacing w:after="0"/>
              <w:rPr>
                <w:sz w:val="1"/>
                <w:szCs w:val="1"/>
                <w:color w:val="auto"/>
              </w:rPr>
            </w:pPr>
          </w:p>
        </w:tc>
      </w:tr>
      <w:tr>
        <w:trPr>
          <w:trHeight w:val="270"/>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i w:val="1"/>
                <w:iCs w:val="1"/>
                <w:color w:val="auto"/>
              </w:rPr>
              <w:t>(1)</w:t>
            </w:r>
          </w:p>
        </w:tc>
        <w:tc>
          <w:tcPr>
            <w:tcW w:w="7000" w:type="dxa"/>
            <w:vAlign w:val="bottom"/>
            <w:gridSpan w:val="2"/>
            <w:shd w:val="clear" w:color="auto" w:fill="CCCCCC"/>
          </w:tcPr>
          <w:p>
            <w:pPr>
              <w:jc w:val="right"/>
              <w:ind w:right="2950"/>
              <w:spacing w:after="0"/>
              <w:rPr>
                <w:sz w:val="20"/>
                <w:szCs w:val="20"/>
                <w:color w:val="auto"/>
              </w:rPr>
            </w:pPr>
            <w:r>
              <w:rPr>
                <w:rFonts w:ascii="Arial" w:cs="Arial" w:eastAsia="Arial" w:hAnsi="Arial"/>
                <w:sz w:val="18"/>
                <w:szCs w:val="18"/>
                <w:b w:val="1"/>
                <w:bCs w:val="1"/>
                <w:color w:val="auto"/>
              </w:rPr>
              <w:t>$80 -- $110</w:t>
            </w:r>
          </w:p>
        </w:tc>
        <w:tc>
          <w:tcPr>
            <w:tcW w:w="0" w:type="dxa"/>
            <w:vAlign w:val="bottom"/>
          </w:tcPr>
          <w:p>
            <w:pPr>
              <w:spacing w:after="0"/>
              <w:rPr>
                <w:sz w:val="1"/>
                <w:szCs w:val="1"/>
                <w:color w:val="auto"/>
              </w:rPr>
            </w:pPr>
          </w:p>
        </w:tc>
      </w:tr>
      <w:tr>
        <w:trPr>
          <w:trHeight w:val="270"/>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$150</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$180</w:t>
            </w:r>
          </w:p>
        </w:tc>
        <w:tc>
          <w:tcPr>
            <w:tcW w:w="0" w:type="dxa"/>
            <w:vAlign w:val="bottom"/>
          </w:tcPr>
          <w:p>
            <w:pPr>
              <w:spacing w:after="0"/>
              <w:rPr>
                <w:sz w:val="1"/>
                <w:szCs w:val="1"/>
                <w:color w:val="auto"/>
              </w:rPr>
            </w:pPr>
          </w:p>
        </w:tc>
      </w:tr>
      <w:tr>
        <w:trPr>
          <w:trHeight w:val="270"/>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i w:val="1"/>
                <w:iCs w:val="1"/>
                <w:color w:val="auto"/>
              </w:rPr>
              <w:t>(1)</w:t>
            </w:r>
          </w:p>
        </w:tc>
        <w:tc>
          <w:tcPr>
            <w:tcW w:w="7000" w:type="dxa"/>
            <w:vAlign w:val="bottom"/>
            <w:gridSpan w:val="2"/>
            <w:shd w:val="clear" w:color="auto" w:fill="CCCCCC"/>
          </w:tcPr>
          <w:p>
            <w:pPr>
              <w:jc w:val="right"/>
              <w:ind w:right="2850"/>
              <w:spacing w:after="0"/>
              <w:rPr>
                <w:sz w:val="20"/>
                <w:szCs w:val="20"/>
                <w:color w:val="auto"/>
              </w:rPr>
            </w:pPr>
            <w:r>
              <w:rPr>
                <w:rFonts w:ascii="Arial" w:cs="Arial" w:eastAsia="Arial" w:hAnsi="Arial"/>
                <w:sz w:val="18"/>
                <w:szCs w:val="18"/>
                <w:b w:val="1"/>
                <w:bCs w:val="1"/>
                <w:color w:val="auto"/>
              </w:rPr>
              <w:t>$250 -- $280*</w:t>
            </w:r>
          </w:p>
        </w:tc>
        <w:tc>
          <w:tcPr>
            <w:tcW w:w="0" w:type="dxa"/>
            <w:vAlign w:val="bottom"/>
          </w:tcPr>
          <w:p>
            <w:pPr>
              <w:spacing w:after="0"/>
              <w:rPr>
                <w:sz w:val="1"/>
                <w:szCs w:val="1"/>
                <w:color w:val="auto"/>
              </w:rPr>
            </w:pPr>
          </w:p>
        </w:tc>
      </w:tr>
      <w:tr>
        <w:trPr>
          <w:trHeight w:val="272"/>
        </w:trPr>
        <w:tc>
          <w:tcPr>
            <w:tcW w:w="4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$280</w:t>
            </w:r>
          </w:p>
        </w:tc>
        <w:tc>
          <w:tcPr>
            <w:tcW w:w="35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 $310</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right="200" w:firstLine="9"/>
        <w:spacing w:after="0" w:line="255" w:lineRule="auto"/>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revision from previous guidance ($255-$285) due to the inclusion of changes in fair value of contingent consideration as an additional item for reconciliation in the calculation of Adjusted EBITDA; management has determined Adjusted EBITDA is more reflective of the Company's true operations than EBITDA alone and the guidance range for EBITDA has been revised based on current expectations.</w:t>
      </w:r>
    </w:p>
    <w:p>
      <w:pPr>
        <w:spacing w:after="0" w:line="20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Company’s financial forecast for 2019 includes the anticipated impact of full year product sales, continued contract manufacturing and contracts &amp; grants revenue as well as continued investment in internally funded development projects. The outlook for 2019 does not include estimates for potential new corporate development or other M&amp;A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29" w:lineRule="exact"/>
        <w:rPr>
          <w:sz w:val="20"/>
          <w:szCs w:val="20"/>
          <w:color w:val="auto"/>
        </w:rPr>
      </w:pPr>
    </w:p>
    <w:p>
      <w:pPr>
        <w:ind w:right="300" w:firstLine="8"/>
        <w:spacing w:after="0" w:line="289" w:lineRule="auto"/>
        <w:tabs>
          <w:tab w:leader="none" w:pos="27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See "Reconciliation of Net Income to Adjusted Net Income, EBITDA and Adjusted EBITDA" for a definition of terms and a reconciliation table.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16"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Company management will host a conference call at 5:00 pm (Eastern Time) today, November 6, 2019, to discuss these financial results. This conference call can be accessed live by telephone or through the Company's website.</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 of 15</w:t>
      </w:r>
    </w:p>
    <w:p>
      <w:pPr>
        <w:sectPr>
          <w:pgSz w:w="11900" w:h="16838" w:orient="portrait"/>
          <w:cols w:equalWidth="0" w:num="1">
            <w:col w:w="11320"/>
          </w:cols>
          <w:pgMar w:left="240" w:top="1440" w:right="339" w:bottom="1440" w:gutter="0" w:footer="0" w:header="0"/>
        </w:sectPr>
      </w:pPr>
    </w:p>
    <w:bookmarkStart w:id="8" w:name="page9"/>
    <w:bookmarkEnd w:id="8"/>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u w:val="single" w:color="auto"/>
          <w:color w:val="auto"/>
        </w:rPr>
        <w:t>Live Teleconference Information:</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Dial in: [US] (855) 766-6521; [International] (262) 912-6157</w:t>
      </w:r>
    </w:p>
    <w:p>
      <w:pPr>
        <w:ind w:left="520"/>
        <w:spacing w:after="0"/>
        <w:rPr>
          <w:sz w:val="20"/>
          <w:szCs w:val="20"/>
          <w:color w:val="auto"/>
        </w:rPr>
      </w:pPr>
      <w:r>
        <w:rPr>
          <w:rFonts w:ascii="Arial" w:cs="Arial" w:eastAsia="Arial" w:hAnsi="Arial"/>
          <w:sz w:val="18"/>
          <w:szCs w:val="18"/>
          <w:color w:val="auto"/>
        </w:rPr>
        <w:t>Conference ID: 1169597</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Webcast Information:</w:t>
      </w:r>
    </w:p>
    <w:p>
      <w:pPr>
        <w:spacing w:after="0" w:line="18"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Visit https://edge.media-server.com/m6/p/bzej96zz for the live webcast feed.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at www.emergentbiosolutions.com under “Investors.”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EMERGENT BIOSOLUTIONS INC.</w:t>
      </w:r>
    </w:p>
    <w:p>
      <w:pPr>
        <w:spacing w:after="0" w:line="11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Emergent BioSolutions Inc. is a global life sciences company seeking to protect and enhance life by focusing on providing specialty products for civilian and military populations that address accidental, deliberate, and naturally occurring public health threats. We aspire to be a Fortune 500 company recognized for protecting and enhancing life, driving innovation, and living our values. Additional information about the company may be found at www.emergentbiosolutions.com. Find us on LinkedIn and follow us on Twitter @emergentbiosolu and Instagram @life_at_emergent.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without limitation, our financial guidance, statements regarding product sales, continued contract manufacturing and contracts &amp; grants revenue, total contract award value as well as continued investment in discretionary funding development projects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government development or procurement contracts or awards, government appropriations, manufacturing capabilities, and Emergency Use Authorization (EUA) and the timing of other regulatory approvals or expenditures, the continued delivery of doses of AV7909, ACAM2000 and BAT into the SNS and the finalization of the BAT procurement contract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are a number of important factors that could cause the Company’s actual results to differ materially from those indicated by such forward-looking statements, including the availability of funding and the exercise of options under our anthrax vaccine contracts; appropriations for the procurement of our products; our ability to continue deliveries of AV7909, ACAM and VIG based on BARDA's initial procurement for the SNS; our ability to secure EUA designation and eventual licensure of AV7909 from the FDA within the anticipated timeframe, if at all; availability of funding for our U.S. government grants and contracts; our ability to successfully integrate and develop the operations, products or product candidates, programs, and personnel of any entities, businesses or products that we acquire, including our acquisitions of PaxVax and Adapt Pharma; our ability to complete expected deliveries of anthrax vaccines, BAT and raxibacumab; our ability to establish a multi-year follow -on contract for raxibacumab; our ability to identify and acquire or in-license products or product candidates that satisfy our selection criteria; our ability and the ability of our collaborators to defend underlying patents from infringement by generic naloxone entrants; whether anticipated synergies and benefits from an acquisition or in-license will be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the success of our ongoing and planned development programs; the timing and results of clinical trials; the timing of and our ability to obtain and maintain regulatory approvals for our product candidates; and our commercialization, marketing and manufacturing capabilities and strategy. The foregoing sets forth</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 of 15</w:t>
      </w:r>
    </w:p>
    <w:p>
      <w:pPr>
        <w:sectPr>
          <w:pgSz w:w="11900" w:h="16838" w:orient="portrait"/>
          <w:cols w:equalWidth="0" w:num="1">
            <w:col w:w="11420"/>
          </w:cols>
          <w:pgMar w:left="240" w:top="1440" w:right="239" w:bottom="1440" w:gutter="0" w:footer="0" w:header="0"/>
        </w:sectPr>
      </w:pPr>
    </w:p>
    <w:bookmarkStart w:id="9" w:name="page10"/>
    <w:bookmarkEnd w:id="9"/>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8"/>
          <w:szCs w:val="18"/>
          <w:color w:val="auto"/>
        </w:rPr>
        <w:t>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420"/>
          </w:cols>
          <w:pgMar w:left="240" w:top="1440" w:right="239" w:bottom="1440" w:gutter="0" w:footer="0" w:header="0"/>
        </w:sect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 Contact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Burrows</w:t>
      </w:r>
    </w:p>
    <w:p>
      <w:pPr>
        <w:ind w:left="40"/>
        <w:spacing w:after="0" w:line="234" w:lineRule="auto"/>
        <w:rPr>
          <w:sz w:val="20"/>
          <w:szCs w:val="20"/>
          <w:color w:val="auto"/>
        </w:rPr>
      </w:pPr>
      <w:r>
        <w:rPr>
          <w:rFonts w:ascii="Arial" w:cs="Arial" w:eastAsia="Arial" w:hAnsi="Arial"/>
          <w:sz w:val="18"/>
          <w:szCs w:val="18"/>
          <w:color w:val="auto"/>
        </w:rPr>
        <w:t>Vice President, Investor Relations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 240/631-3280; (m) 240/413-1917</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burrowsr@ebsi.com</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Lynn Kieffer</w:t>
      </w:r>
    </w:p>
    <w:p>
      <w:pPr>
        <w:spacing w:after="0" w:line="234" w:lineRule="auto"/>
        <w:rPr>
          <w:sz w:val="20"/>
          <w:szCs w:val="20"/>
          <w:color w:val="auto"/>
        </w:rPr>
      </w:pPr>
      <w:r>
        <w:rPr>
          <w:rFonts w:ascii="Arial" w:cs="Arial" w:eastAsia="Arial" w:hAnsi="Arial"/>
          <w:sz w:val="18"/>
          <w:szCs w:val="18"/>
          <w:color w:val="auto"/>
        </w:rPr>
        <w:t>Vice President, Corporate Communications</w:t>
      </w:r>
    </w:p>
    <w:p>
      <w:pPr>
        <w:spacing w:after="0" w:line="235" w:lineRule="auto"/>
        <w:rPr>
          <w:sz w:val="20"/>
          <w:szCs w:val="20"/>
          <w:color w:val="auto"/>
        </w:rPr>
      </w:pPr>
      <w:r>
        <w:rPr>
          <w:rFonts w:ascii="Arial" w:cs="Arial" w:eastAsia="Arial" w:hAnsi="Arial"/>
          <w:sz w:val="18"/>
          <w:szCs w:val="18"/>
          <w:color w:val="auto"/>
        </w:rPr>
        <w:t>(o) 240/631-3391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kiefferl@ebsi.com</w:t>
      </w:r>
    </w:p>
    <w:p>
      <w:pPr>
        <w:spacing w:after="0" w:line="200" w:lineRule="exact"/>
        <w:rPr>
          <w:sz w:val="20"/>
          <w:szCs w:val="20"/>
          <w:color w:val="auto"/>
        </w:rPr>
      </w:pPr>
    </w:p>
    <w:p>
      <w:pPr>
        <w:sectPr>
          <w:pgSz w:w="11900" w:h="16838" w:orient="portrait"/>
          <w:cols w:equalWidth="0" w:num="2">
            <w:col w:w="5020" w:space="720"/>
            <w:col w:w="5680"/>
          </w:cols>
          <w:pgMar w:left="240" w:top="1440" w:right="239" w:bottom="1440" w:gutter="0" w:footer="0" w:header="0"/>
          <w:type w:val="continuous"/>
        </w:sectPr>
      </w:pP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 of 15</w:t>
      </w:r>
    </w:p>
    <w:p>
      <w:pPr>
        <w:sectPr>
          <w:pgSz w:w="11900" w:h="16838" w:orient="portrait"/>
          <w:cols w:equalWidth="0" w:num="1">
            <w:col w:w="11420"/>
          </w:cols>
          <w:pgMar w:left="240" w:top="1440" w:right="239" w:bottom="1440" w:gutter="0" w:footer="0" w:header="0"/>
          <w:type w:val="continuous"/>
        </w:sectPr>
      </w:pPr>
    </w:p>
    <w:bookmarkStart w:id="10" w:name="page11"/>
    <w:bookmarkEnd w:id="10"/>
    <w:p>
      <w:pPr>
        <w:jc w:val="center"/>
        <w:ind w:right="459"/>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Consolidated Balance Sheets</w:t>
      </w:r>
    </w:p>
    <w:p>
      <w:pPr>
        <w:spacing w:after="0" w:line="55"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7"/>
                <w:szCs w:val="17"/>
                <w:color w:val="auto"/>
              </w:rPr>
            </w:pP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9"/>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604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139.2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281.2</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230.2</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74"/>
        </w:trPr>
        <w:tc>
          <w:tcPr>
            <w:tcW w:w="604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60"/>
        </w:trPr>
        <w:tc>
          <w:tcPr>
            <w:tcW w:w="604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700.0</w:t>
            </w: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529.1</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510.2</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727.7</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In-process research and development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41.0</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268.6</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274"/>
        </w:trPr>
        <w:tc>
          <w:tcPr>
            <w:tcW w:w="604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7"/>
        </w:trPr>
        <w:tc>
          <w:tcPr>
            <w:tcW w:w="604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91.3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Contingent consideration, current portion</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55.7</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55.8</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Debt, current portion</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4"/>
        </w:trPr>
        <w:tc>
          <w:tcPr>
            <w:tcW w:w="604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0"/>
        </w:trPr>
        <w:tc>
          <w:tcPr>
            <w:tcW w:w="604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275.3</w:t>
            </w: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Contingent consideration</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813.3</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784.5</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Deferred tax liability</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61.1</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Contract liabilities</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81.6</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74"/>
        </w:trPr>
        <w:tc>
          <w:tcPr>
            <w:tcW w:w="6040" w:type="dxa"/>
            <w:vAlign w:val="bottom"/>
          </w:tcPr>
          <w:p>
            <w:pPr>
              <w:ind w:left="1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60"/>
        </w:trPr>
        <w:tc>
          <w:tcPr>
            <w:tcW w:w="604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1,298.8</w:t>
            </w: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1,218.5</w:t>
            </w: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6040" w:type="dxa"/>
            <w:vAlign w:val="bottom"/>
          </w:tcPr>
          <w:p>
            <w:pPr>
              <w:ind w:left="140"/>
              <w:spacing w:after="0"/>
              <w:rPr>
                <w:sz w:val="20"/>
                <w:szCs w:val="20"/>
                <w:color w:val="auto"/>
              </w:rPr>
            </w:pPr>
            <w:r>
              <w:rPr>
                <w:rFonts w:ascii="Arial" w:cs="Arial" w:eastAsia="Arial" w:hAnsi="Arial"/>
                <w:sz w:val="14"/>
                <w:szCs w:val="14"/>
                <w:color w:val="auto"/>
              </w:rPr>
              <w:t>Preferred stock, $0.001 par value; 15.0 shares authorized, no shares issued or outstanding</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40" w:type="dxa"/>
            <w:vAlign w:val="bottom"/>
          </w:tcPr>
          <w:p>
            <w:pPr>
              <w:spacing w:after="0"/>
              <w:rPr>
                <w:sz w:val="20"/>
                <w:szCs w:val="20"/>
                <w:color w:val="auto"/>
              </w:rPr>
            </w:pPr>
            <w:r>
              <w:rPr>
                <w:rFonts w:ascii="Arial" w:cs="Arial" w:eastAsia="Arial" w:hAnsi="Arial"/>
                <w:sz w:val="14"/>
                <w:szCs w:val="14"/>
                <w:color w:val="auto"/>
              </w:rPr>
              <w:t>at both 2019 and 2018</w:t>
            </w: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6040" w:type="dxa"/>
            <w:vAlign w:val="bottom"/>
          </w:tcPr>
          <w:p>
            <w:pPr>
              <w:ind w:left="140"/>
              <w:spacing w:after="0"/>
              <w:rPr>
                <w:sz w:val="20"/>
                <w:szCs w:val="20"/>
                <w:color w:val="auto"/>
              </w:rPr>
            </w:pPr>
            <w:r>
              <w:rPr>
                <w:rFonts w:ascii="Arial" w:cs="Arial" w:eastAsia="Arial" w:hAnsi="Arial"/>
                <w:sz w:val="14"/>
                <w:szCs w:val="14"/>
                <w:color w:val="auto"/>
              </w:rPr>
              <w:t>Common stock, $0.001 par value; 200.0 shares authorized, 52.8 shares issued and 51.6</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40" w:type="dxa"/>
            <w:vAlign w:val="bottom"/>
          </w:tcPr>
          <w:p>
            <w:pPr>
              <w:spacing w:after="0"/>
              <w:rPr>
                <w:sz w:val="20"/>
                <w:szCs w:val="20"/>
                <w:color w:val="auto"/>
              </w:rPr>
            </w:pPr>
            <w:r>
              <w:rPr>
                <w:rFonts w:ascii="Arial" w:cs="Arial" w:eastAsia="Arial" w:hAnsi="Arial"/>
                <w:sz w:val="14"/>
                <w:szCs w:val="14"/>
                <w:color w:val="auto"/>
              </w:rPr>
              <w:t>shares outstanding at 2019; 52.4 shares issued and 51.2 shares outstanding at 2018</w:t>
            </w: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Treasury stock, at cost, 1.2 common shares at both 2019 and 2018</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(39.7)</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708.8</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4"/>
        </w:trPr>
        <w:tc>
          <w:tcPr>
            <w:tcW w:w="604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374.9</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264"/>
        </w:trPr>
        <w:tc>
          <w:tcPr>
            <w:tcW w:w="604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1,035.0</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1,010.9</w:t>
            </w:r>
          </w:p>
        </w:tc>
        <w:tc>
          <w:tcPr>
            <w:tcW w:w="0" w:type="dxa"/>
            <w:vAlign w:val="bottom"/>
          </w:tcPr>
          <w:p>
            <w:pPr>
              <w:spacing w:after="0"/>
              <w:rPr>
                <w:sz w:val="1"/>
                <w:szCs w:val="1"/>
                <w:color w:val="auto"/>
              </w:rPr>
            </w:pPr>
          </w:p>
        </w:tc>
      </w:tr>
      <w:tr>
        <w:trPr>
          <w:trHeight w:val="214"/>
        </w:trPr>
        <w:tc>
          <w:tcPr>
            <w:tcW w:w="604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9 of 15</w:t>
      </w:r>
    </w:p>
    <w:p>
      <w:pPr>
        <w:sectPr>
          <w:pgSz w:w="11900" w:h="16838" w:orient="portrait"/>
          <w:cols w:equalWidth="0" w:num="1">
            <w:col w:w="10179"/>
          </w:cols>
          <w:pgMar w:left="280" w:top="529" w:right="1440"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Pr>
          <w:p>
            <w:pPr>
              <w:spacing w:after="0"/>
              <w:rPr>
                <w:sz w:val="17"/>
                <w:szCs w:val="17"/>
                <w:color w:val="auto"/>
              </w:rPr>
            </w:pPr>
          </w:p>
        </w:tc>
        <w:tc>
          <w:tcPr>
            <w:tcW w:w="424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21"/>
                <w:szCs w:val="21"/>
                <w:color w:val="auto"/>
              </w:rPr>
            </w:pPr>
          </w:p>
        </w:tc>
        <w:tc>
          <w:tcPr>
            <w:tcW w:w="1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2"/>
        </w:trPr>
        <w:tc>
          <w:tcPr>
            <w:tcW w:w="54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40"/>
              <w:spacing w:after="0"/>
              <w:rPr>
                <w:sz w:val="20"/>
                <w:szCs w:val="20"/>
                <w:color w:val="auto"/>
              </w:rPr>
            </w:pPr>
            <w:r>
              <w:rPr>
                <w:rFonts w:ascii="Arial" w:cs="Arial" w:eastAsia="Arial" w:hAnsi="Arial"/>
                <w:sz w:val="14"/>
                <w:szCs w:val="14"/>
                <w:color w:val="auto"/>
              </w:rPr>
              <w:t>Product sales, net</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256.2</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4"/>
                <w:szCs w:val="14"/>
                <w:color w:val="auto"/>
              </w:rPr>
              <w:t>Contract manufacturing</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2"/>
        </w:trPr>
        <w:tc>
          <w:tcPr>
            <w:tcW w:w="5420" w:type="dxa"/>
            <w:vAlign w:val="bottom"/>
          </w:tcPr>
          <w:p>
            <w:pPr>
              <w:ind w:left="140"/>
              <w:spacing w:after="0"/>
              <w:rPr>
                <w:sz w:val="20"/>
                <w:szCs w:val="20"/>
                <w:color w:val="auto"/>
              </w:rPr>
            </w:pPr>
            <w:r>
              <w:rPr>
                <w:rFonts w:ascii="Arial" w:cs="Arial" w:eastAsia="Arial" w:hAnsi="Arial"/>
                <w:sz w:val="14"/>
                <w:szCs w:val="14"/>
                <w:color w:val="auto"/>
              </w:rPr>
              <w:t>Contracts and grants</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311.8</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513"/>
        </w:trPr>
        <w:tc>
          <w:tcPr>
            <w:tcW w:w="542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tcPr>
          <w:p>
            <w:pPr>
              <w:ind w:left="140"/>
              <w:spacing w:after="0"/>
              <w:rPr>
                <w:sz w:val="20"/>
                <w:szCs w:val="20"/>
                <w:color w:val="auto"/>
              </w:rPr>
            </w:pPr>
            <w:r>
              <w:rPr>
                <w:rFonts w:ascii="Arial" w:cs="Arial" w:eastAsia="Arial" w:hAnsi="Arial"/>
                <w:sz w:val="14"/>
                <w:szCs w:val="14"/>
                <w:color w:val="auto"/>
              </w:rPr>
              <w:t>Cost of product sales and contract manufacturing</w:t>
            </w:r>
          </w:p>
        </w:tc>
        <w:tc>
          <w:tcPr>
            <w:tcW w:w="17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108.0</w:t>
            </w:r>
          </w:p>
        </w:tc>
        <w:tc>
          <w:tcPr>
            <w:tcW w:w="17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65.0</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72"/>
        </w:trPr>
        <w:tc>
          <w:tcPr>
            <w:tcW w:w="542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241.1</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507"/>
        </w:trPr>
        <w:tc>
          <w:tcPr>
            <w:tcW w:w="542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7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17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519"/>
        </w:trPr>
        <w:tc>
          <w:tcPr>
            <w:tcW w:w="542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7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7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2"/>
        </w:trPr>
        <w:tc>
          <w:tcPr>
            <w:tcW w:w="542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b w:val="1"/>
                <w:bCs w:val="1"/>
                <w:color w:val="auto"/>
              </w:rPr>
              <w:t>Total other expense, net</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513"/>
        </w:trPr>
        <w:tc>
          <w:tcPr>
            <w:tcW w:w="542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17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58.9</w:t>
            </w:r>
          </w:p>
        </w:tc>
        <w:tc>
          <w:tcPr>
            <w:tcW w:w="17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color w:val="auto"/>
              </w:rPr>
              <w:t>Income tax expense</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72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c>
          <w:tcPr>
            <w:tcW w:w="172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Net income per share - basic</w:t>
            </w:r>
          </w:p>
        </w:tc>
        <w:tc>
          <w:tcPr>
            <w:tcW w:w="1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420" w:type="dxa"/>
            <w:vAlign w:val="bottom"/>
            <w:vMerge w:val="continue"/>
          </w:tcPr>
          <w:p>
            <w:pPr>
              <w:spacing w:after="0"/>
              <w:rPr>
                <w:sz w:val="24"/>
                <w:szCs w:val="24"/>
                <w:color w:val="auto"/>
              </w:rPr>
            </w:pP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0.84</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4"/>
                <w:szCs w:val="14"/>
                <w:b w:val="1"/>
                <w:bCs w:val="1"/>
                <w:color w:val="auto"/>
              </w:rPr>
              <w:t>Net income per share - diluted</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0.83</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513"/>
        </w:trPr>
        <w:tc>
          <w:tcPr>
            <w:tcW w:w="542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17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7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10 of 15</w:t>
      </w:r>
    </w:p>
    <w:p>
      <w:pPr>
        <w:sectPr>
          <w:pgSz w:w="11900" w:h="16838" w:orient="portrait"/>
          <w:cols w:equalWidth="0" w:num="1">
            <w:col w:w="10420"/>
          </w:cols>
          <w:pgMar w:left="280" w:top="529" w:right="119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Pr>
          <w:p>
            <w:pPr>
              <w:spacing w:after="0"/>
              <w:rPr>
                <w:sz w:val="17"/>
                <w:szCs w:val="17"/>
                <w:color w:val="auto"/>
              </w:rPr>
            </w:pPr>
          </w:p>
        </w:tc>
        <w:tc>
          <w:tcPr>
            <w:tcW w:w="424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21"/>
                <w:szCs w:val="21"/>
                <w:color w:val="auto"/>
              </w:rPr>
            </w:pPr>
          </w:p>
        </w:tc>
        <w:tc>
          <w:tcPr>
            <w:tcW w:w="1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2"/>
        </w:trPr>
        <w:tc>
          <w:tcPr>
            <w:tcW w:w="54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4"/>
                <w:szCs w:val="14"/>
                <w:color w:val="auto"/>
              </w:rPr>
              <w:t>Product sales, net</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592.7</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389.1</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14"/>
                <w:szCs w:val="14"/>
                <w:color w:val="auto"/>
              </w:rPr>
              <w:t>Contract manufacturing</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72"/>
        </w:trPr>
        <w:tc>
          <w:tcPr>
            <w:tcW w:w="5420" w:type="dxa"/>
            <w:vAlign w:val="bottom"/>
          </w:tcPr>
          <w:p>
            <w:pPr>
              <w:ind w:left="120"/>
              <w:spacing w:after="0"/>
              <w:rPr>
                <w:sz w:val="20"/>
                <w:szCs w:val="20"/>
                <w:color w:val="auto"/>
              </w:rPr>
            </w:pPr>
            <w:r>
              <w:rPr>
                <w:rFonts w:ascii="Arial" w:cs="Arial" w:eastAsia="Arial" w:hAnsi="Arial"/>
                <w:sz w:val="14"/>
                <w:szCs w:val="14"/>
                <w:color w:val="auto"/>
              </w:rPr>
              <w:t>Contracts and grants</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98.4</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745.7</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511.7</w:t>
            </w:r>
          </w:p>
        </w:tc>
        <w:tc>
          <w:tcPr>
            <w:tcW w:w="0" w:type="dxa"/>
            <w:vAlign w:val="bottom"/>
          </w:tcPr>
          <w:p>
            <w:pPr>
              <w:spacing w:after="0"/>
              <w:rPr>
                <w:sz w:val="1"/>
                <w:szCs w:val="1"/>
                <w:color w:val="auto"/>
              </w:rPr>
            </w:pPr>
          </w:p>
        </w:tc>
      </w:tr>
      <w:tr>
        <w:trPr>
          <w:trHeight w:val="513"/>
        </w:trPr>
        <w:tc>
          <w:tcPr>
            <w:tcW w:w="542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tcPr>
          <w:p>
            <w:pPr>
              <w:ind w:left="120"/>
              <w:spacing w:after="0"/>
              <w:rPr>
                <w:sz w:val="20"/>
                <w:szCs w:val="20"/>
                <w:color w:val="auto"/>
              </w:rPr>
            </w:pPr>
            <w:r>
              <w:rPr>
                <w:rFonts w:ascii="Arial" w:cs="Arial" w:eastAsia="Arial" w:hAnsi="Arial"/>
                <w:sz w:val="14"/>
                <w:szCs w:val="14"/>
                <w:color w:val="auto"/>
              </w:rPr>
              <w:t>Cost of product sales and contract manufacturing</w:t>
            </w:r>
          </w:p>
        </w:tc>
        <w:tc>
          <w:tcPr>
            <w:tcW w:w="17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300.7</w:t>
            </w:r>
          </w:p>
        </w:tc>
        <w:tc>
          <w:tcPr>
            <w:tcW w:w="17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163.4</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201.3</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72"/>
        </w:trPr>
        <w:tc>
          <w:tcPr>
            <w:tcW w:w="5420" w:type="dxa"/>
            <w:vAlign w:val="bottom"/>
          </w:tcPr>
          <w:p>
            <w:pPr>
              <w:ind w:left="120"/>
              <w:spacing w:after="0"/>
              <w:rPr>
                <w:sz w:val="20"/>
                <w:szCs w:val="20"/>
                <w:color w:val="auto"/>
              </w:rPr>
            </w:pPr>
            <w:r>
              <w:rPr>
                <w:rFonts w:ascii="Arial" w:cs="Arial" w:eastAsia="Arial" w:hAnsi="Arial"/>
                <w:sz w:val="14"/>
                <w:szCs w:val="14"/>
                <w:color w:val="auto"/>
              </w:rPr>
              <w:t>Amortization of acquisition-related intangible assets</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709.3</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507"/>
        </w:trPr>
        <w:tc>
          <w:tcPr>
            <w:tcW w:w="542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7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7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519"/>
        </w:trPr>
        <w:tc>
          <w:tcPr>
            <w:tcW w:w="542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17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7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2"/>
        </w:trPr>
        <w:tc>
          <w:tcPr>
            <w:tcW w:w="542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b w:val="1"/>
                <w:bCs w:val="1"/>
                <w:color w:val="auto"/>
              </w:rPr>
              <w:t>Total other expense, net</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513"/>
        </w:trPr>
        <w:tc>
          <w:tcPr>
            <w:tcW w:w="542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17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7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68"/>
        </w:trPr>
        <w:tc>
          <w:tcPr>
            <w:tcW w:w="542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7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7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72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72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Net income per share - basic</w:t>
            </w:r>
          </w:p>
        </w:tc>
        <w:tc>
          <w:tcPr>
            <w:tcW w:w="1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420" w:type="dxa"/>
            <w:vAlign w:val="bottom"/>
            <w:vMerge w:val="continue"/>
          </w:tcPr>
          <w:p>
            <w:pPr>
              <w:spacing w:after="0"/>
              <w:rPr>
                <w:sz w:val="24"/>
                <w:szCs w:val="24"/>
                <w:color w:val="auto"/>
              </w:rPr>
            </w:pP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4"/>
                <w:szCs w:val="14"/>
                <w:b w:val="1"/>
                <w:bCs w:val="1"/>
                <w:color w:val="auto"/>
              </w:rPr>
              <w:t>Net income per share - diluted</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17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513"/>
        </w:trPr>
        <w:tc>
          <w:tcPr>
            <w:tcW w:w="542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17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51.4</w:t>
            </w:r>
          </w:p>
        </w:tc>
        <w:tc>
          <w:tcPr>
            <w:tcW w:w="17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17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7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 of 15</w:t>
      </w:r>
    </w:p>
    <w:p>
      <w:pPr>
        <w:sectPr>
          <w:pgSz w:w="11900" w:h="16838" w:orient="portrait"/>
          <w:cols w:equalWidth="0" w:num="1">
            <w:col w:w="10420"/>
          </w:cols>
          <w:pgMar w:left="760" w:top="529" w:right="71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 in millions)</w:t>
      </w:r>
    </w:p>
    <w:p>
      <w:pPr>
        <w:sectPr>
          <w:pgSz w:w="11900" w:h="16838" w:orient="portrait"/>
          <w:cols w:equalWidth="0" w:num="1">
            <w:col w:w="10980"/>
          </w:cols>
          <w:pgMar w:left="480" w:top="35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provided by operating activities: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to net income to net cash provided by operating activities: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Share-based compensation expense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Amortization of deferred financing costs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Change in fair value of contingent consideration, net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Accrued compensation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used in investing activities: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property, plant and equipment and other</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Milestone payment from asset acquisition</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Net cash used in investing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provided by (used in) financing activities: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revolving credit facility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Principal payments on revolving credit facility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Principal payments on term loan facility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Issuance of stock under share-based benefit plans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Taxes paid on behalf of employees for equity activity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Contingent consideration payments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treasury stock</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financing activities:</w:t>
      </w:r>
    </w:p>
    <w:p>
      <w:pPr>
        <w:spacing w:after="0" w:line="109" w:lineRule="exact"/>
        <w:rPr>
          <w:sz w:val="20"/>
          <w:szCs w:val="20"/>
          <w:color w:val="auto"/>
        </w:rPr>
      </w:pPr>
    </w:p>
    <w:p>
      <w:pPr>
        <w:ind w:left="140" w:right="2140"/>
        <w:spacing w:after="0" w:line="402" w:lineRule="auto"/>
        <w:rPr>
          <w:sz w:val="20"/>
          <w:szCs w:val="20"/>
          <w:color w:val="auto"/>
        </w:rPr>
      </w:pPr>
      <w:r>
        <w:rPr>
          <w:rFonts w:ascii="Arial" w:cs="Arial" w:eastAsia="Arial" w:hAnsi="Arial"/>
          <w:sz w:val="14"/>
          <w:szCs w:val="14"/>
          <w:color w:val="auto"/>
        </w:rPr>
        <w:t>Effect of exchange rate changes on cash, cash equivalents and restricted cash Net increase in cash, cash equivalents and restricted cash</w:t>
      </w:r>
    </w:p>
    <w:p>
      <w:pPr>
        <w:spacing w:after="0" w:line="1" w:lineRule="exact"/>
        <w:rPr>
          <w:sz w:val="20"/>
          <w:szCs w:val="20"/>
          <w:color w:val="auto"/>
        </w:rPr>
      </w:pPr>
    </w:p>
    <w:p>
      <w:pPr>
        <w:ind w:left="140" w:right="2980"/>
        <w:spacing w:after="0" w:line="452" w:lineRule="auto"/>
        <w:rPr>
          <w:sz w:val="20"/>
          <w:szCs w:val="20"/>
          <w:color w:val="auto"/>
        </w:rPr>
      </w:pPr>
      <w:r>
        <w:rPr>
          <w:rFonts w:ascii="Arial" w:cs="Arial" w:eastAsia="Arial" w:hAnsi="Arial"/>
          <w:sz w:val="14"/>
          <w:szCs w:val="14"/>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Nine Months Ended September 30,</w:t>
      </w:r>
    </w:p>
    <w:p>
      <w:pPr>
        <w:spacing w:after="0" w:line="111"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4"/>
          <w:szCs w:val="14"/>
          <w:color w:val="auto"/>
        </w:rPr>
        <w:t>2019</w:t>
      </w:r>
      <w:r>
        <w:rPr>
          <w:sz w:val="20"/>
          <w:szCs w:val="20"/>
          <w:color w:val="auto"/>
        </w:rPr>
        <w:tab/>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66.2</w:t>
            </w:r>
          </w:p>
        </w:tc>
      </w:tr>
      <w:tr>
        <w:trPr>
          <w:trHeight w:val="540"/>
        </w:trPr>
        <w:tc>
          <w:tcPr>
            <w:tcW w:w="5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37.1</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r>
      <w:tr>
        <w:trPr>
          <w:trHeight w:val="540"/>
        </w:trPr>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66.5</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w:t>
            </w:r>
          </w:p>
        </w:tc>
      </w:tr>
      <w:tr>
        <w:trPr>
          <w:trHeight w:val="274"/>
        </w:trPr>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r>
      <w:tr>
        <w:trPr>
          <w:trHeight w:val="246"/>
        </w:trPr>
        <w:tc>
          <w:tcPr>
            <w:tcW w:w="5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207.6</w:t>
            </w:r>
          </w:p>
        </w:tc>
      </w:tr>
      <w:tr>
        <w:trPr>
          <w:trHeight w:val="540"/>
        </w:trPr>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4"/>
        </w:trPr>
        <w:tc>
          <w:tcPr>
            <w:tcW w:w="5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r>
      <w:tr>
        <w:trPr>
          <w:trHeight w:val="246"/>
        </w:trPr>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w:t>
            </w:r>
          </w:p>
        </w:tc>
      </w:tr>
      <w:tr>
        <w:trPr>
          <w:trHeight w:val="540"/>
        </w:trPr>
        <w:tc>
          <w:tcPr>
            <w:tcW w:w="5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11.4</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0"/>
        </w:trPr>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4"/>
        </w:trPr>
        <w:tc>
          <w:tcPr>
            <w:tcW w:w="5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6"/>
        </w:trPr>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r>
      <w:tr>
        <w:trPr>
          <w:trHeight w:val="274"/>
        </w:trPr>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46"/>
        </w:trPr>
        <w:tc>
          <w:tcPr>
            <w:tcW w:w="5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161.1</w:t>
            </w:r>
          </w:p>
        </w:tc>
      </w:tr>
      <w:tr>
        <w:trPr>
          <w:trHeight w:val="274"/>
        </w:trPr>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179.3</w:t>
            </w:r>
          </w:p>
        </w:tc>
      </w:tr>
      <w:tr>
        <w:trPr>
          <w:trHeight w:val="237"/>
        </w:trPr>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ectPr>
          <w:pgSz w:w="11900" w:h="16838" w:orient="portrait"/>
          <w:cols w:equalWidth="0" w:num="2">
            <w:col w:w="7280" w:space="720"/>
            <w:col w:w="2980"/>
          </w:cols>
          <w:pgMar w:left="480" w:top="35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 of 15</w:t>
      </w:r>
    </w:p>
    <w:p>
      <w:pPr>
        <w:sectPr>
          <w:pgSz w:w="11900" w:h="16838" w:orient="portrait"/>
          <w:cols w:equalWidth="0" w:num="1">
            <w:col w:w="10980"/>
          </w:cols>
          <w:pgMar w:left="480" w:top="351"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RECONCILIATION OF NET INCOME TO ADJUSTED NET INCOME, EBITDA AND ADJUSTED EBITDA (unaudited)</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This press release contains three financial measures </w:t>
      </w:r>
      <w:r>
        <w:rPr>
          <w:rFonts w:ascii="Arial" w:cs="Arial" w:eastAsia="Arial" w:hAnsi="Arial"/>
          <w:sz w:val="18"/>
          <w:szCs w:val="18"/>
          <w:b w:val="1"/>
          <w:bCs w:val="1"/>
          <w:color w:val="auto"/>
        </w:rPr>
        <w:t>(Adjusted Net Income, EBITDA (Earnings Before Interest, Taxes, Depreciation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Amortization), and Adjusted EBITDA) </w:t>
      </w:r>
      <w:r>
        <w:rPr>
          <w:rFonts w:ascii="Arial" w:cs="Arial" w:eastAsia="Arial" w:hAnsi="Arial"/>
          <w:sz w:val="18"/>
          <w:szCs w:val="18"/>
          <w:color w:val="auto"/>
        </w:rPr>
        <w:t>that are considered “non-GAAP” financial measures under applicable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(which are all tax effected utilizing the U.S federal statutory tax rate). EBITDA reflects net income excluding the impact of depreciation, amortization, interest expense and provision for income taxes. Adjusted EBITDA also excludes specified items that can be highly variable and the non-cash impact of certain purchase accounting adjustments (which are all tax effected utilizing the statutory tax rate for the US).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Adjusted Net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86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88658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800" w:type="dxa"/>
            <w:vAlign w:val="bottom"/>
            <w:shd w:val="clear" w:color="auto" w:fill="0F243E"/>
          </w:tcPr>
          <w:p>
            <w:pPr>
              <w:spacing w:after="0"/>
              <w:rPr>
                <w:sz w:val="21"/>
                <w:szCs w:val="21"/>
                <w:color w:val="auto"/>
              </w:rPr>
            </w:pPr>
          </w:p>
        </w:tc>
        <w:tc>
          <w:tcPr>
            <w:tcW w:w="6620" w:type="dxa"/>
            <w:vAlign w:val="bottom"/>
            <w:gridSpan w:val="3"/>
            <w:shd w:val="clear" w:color="auto" w:fill="0F243E"/>
          </w:tcPr>
          <w:p>
            <w:pPr>
              <w:ind w:left="2680"/>
              <w:spacing w:after="0"/>
              <w:rPr>
                <w:sz w:val="20"/>
                <w:szCs w:val="20"/>
                <w:color w:val="auto"/>
              </w:rPr>
            </w:pPr>
            <w:r>
              <w:rPr>
                <w:rFonts w:ascii="Arial" w:cs="Arial" w:eastAsia="Arial" w:hAnsi="Arial"/>
                <w:sz w:val="16"/>
                <w:szCs w:val="16"/>
                <w:b w:val="1"/>
                <w:bCs w:val="1"/>
                <w:color w:val="FFFFFF"/>
              </w:rPr>
              <w:t>Three Months Ended September 30,</w:t>
            </w:r>
          </w:p>
        </w:tc>
      </w:tr>
      <w:tr>
        <w:trPr>
          <w:trHeight w:val="264"/>
        </w:trPr>
        <w:tc>
          <w:tcPr>
            <w:tcW w:w="480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3320" w:type="dxa"/>
            <w:vAlign w:val="bottom"/>
            <w:shd w:val="clear" w:color="auto" w:fill="0F243E"/>
          </w:tcPr>
          <w:p>
            <w:pPr>
              <w:jc w:val="right"/>
              <w:ind w:right="699"/>
              <w:spacing w:after="0"/>
              <w:rPr>
                <w:sz w:val="20"/>
                <w:szCs w:val="20"/>
                <w:color w:val="auto"/>
              </w:rPr>
            </w:pPr>
            <w:r>
              <w:rPr>
                <w:rFonts w:ascii="Arial" w:cs="Arial" w:eastAsia="Arial" w:hAnsi="Arial"/>
                <w:sz w:val="16"/>
                <w:szCs w:val="16"/>
                <w:b w:val="1"/>
                <w:bCs w:val="1"/>
                <w:color w:val="FFFFFF"/>
              </w:rPr>
              <w:t>2019</w:t>
            </w:r>
          </w:p>
        </w:tc>
        <w:tc>
          <w:tcPr>
            <w:tcW w:w="1480" w:type="dxa"/>
            <w:vAlign w:val="bottom"/>
            <w:shd w:val="clear" w:color="auto" w:fill="0F243E"/>
          </w:tcPr>
          <w:p>
            <w:pPr>
              <w:jc w:val="right"/>
              <w:ind w:right="519"/>
              <w:spacing w:after="0"/>
              <w:rPr>
                <w:sz w:val="20"/>
                <w:szCs w:val="20"/>
                <w:color w:val="auto"/>
              </w:rPr>
            </w:pPr>
            <w:r>
              <w:rPr>
                <w:rFonts w:ascii="Arial" w:cs="Arial" w:eastAsia="Arial" w:hAnsi="Arial"/>
                <w:sz w:val="16"/>
                <w:szCs w:val="16"/>
                <w:b w:val="1"/>
                <w:bCs w:val="1"/>
                <w:color w:val="FFFFFF"/>
              </w:rPr>
              <w:t>2018</w:t>
            </w:r>
          </w:p>
        </w:tc>
        <w:tc>
          <w:tcPr>
            <w:tcW w:w="182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r>
      <w:tr>
        <w:trPr>
          <w:trHeight w:val="263"/>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color w:val="auto"/>
              </w:rPr>
              <w:t>$43.2</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$20.9</w:t>
            </w:r>
          </w:p>
        </w:tc>
        <w:tc>
          <w:tcPr>
            <w:tcW w:w="1820" w:type="dxa"/>
            <w:vAlign w:val="bottom"/>
            <w:shd w:val="clear" w:color="auto" w:fill="CCCCCC"/>
          </w:tcPr>
          <w:p>
            <w:pPr>
              <w:spacing w:after="0"/>
              <w:rPr>
                <w:sz w:val="22"/>
                <w:szCs w:val="22"/>
                <w:color w:val="auto"/>
              </w:rPr>
            </w:pPr>
          </w:p>
        </w:tc>
      </w:tr>
      <w:tr>
        <w:trPr>
          <w:trHeight w:val="262"/>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3320" w:type="dxa"/>
            <w:vAlign w:val="bottom"/>
            <w:shd w:val="clear" w:color="auto" w:fill="CCCCCC"/>
          </w:tcPr>
          <w:p>
            <w:pPr>
              <w:spacing w:after="0"/>
              <w:rPr>
                <w:sz w:val="22"/>
                <w:szCs w:val="22"/>
                <w:color w:val="auto"/>
              </w:rPr>
            </w:pPr>
          </w:p>
        </w:tc>
        <w:tc>
          <w:tcPr>
            <w:tcW w:w="1480" w:type="dxa"/>
            <w:vAlign w:val="bottom"/>
            <w:shd w:val="clear" w:color="auto" w:fill="CCCCCC"/>
          </w:tcPr>
          <w:p>
            <w:pPr>
              <w:spacing w:after="0"/>
              <w:rPr>
                <w:sz w:val="22"/>
                <w:szCs w:val="22"/>
                <w:color w:val="auto"/>
              </w:rPr>
            </w:pPr>
          </w:p>
        </w:tc>
        <w:tc>
          <w:tcPr>
            <w:tcW w:w="1820" w:type="dxa"/>
            <w:vAlign w:val="bottom"/>
            <w:shd w:val="clear" w:color="auto" w:fill="CCCCCC"/>
          </w:tcPr>
          <w:p>
            <w:pPr>
              <w:spacing w:after="0"/>
              <w:rPr>
                <w:sz w:val="22"/>
                <w:szCs w:val="22"/>
                <w:color w:val="auto"/>
              </w:rPr>
            </w:pPr>
          </w:p>
        </w:tc>
      </w:tr>
      <w:tr>
        <w:trPr>
          <w:trHeight w:val="265"/>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3.2</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5.2</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15.4</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4.0</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 Other Income</w:t>
            </w:r>
          </w:p>
        </w:tc>
      </w:tr>
      <w:tr>
        <w:trPr>
          <w:trHeight w:val="257"/>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Change in fair value of contingent consideration</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6.9</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0.2</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r>
      <w:tr>
        <w:trPr>
          <w:trHeight w:val="270"/>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(5.4)</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(1.9)</w:t>
            </w:r>
          </w:p>
        </w:tc>
        <w:tc>
          <w:tcPr>
            <w:tcW w:w="1820" w:type="dxa"/>
            <w:vAlign w:val="bottom"/>
            <w:shd w:val="clear" w:color="auto" w:fill="CCCCCC"/>
          </w:tcPr>
          <w:p>
            <w:pPr>
              <w:spacing w:after="0"/>
              <w:rPr>
                <w:sz w:val="23"/>
                <w:szCs w:val="23"/>
                <w:color w:val="auto"/>
              </w:rPr>
            </w:pPr>
          </w:p>
        </w:tc>
      </w:tr>
      <w:tr>
        <w:trPr>
          <w:trHeight w:val="284"/>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20.1</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7.5</w:t>
            </w:r>
          </w:p>
        </w:tc>
        <w:tc>
          <w:tcPr>
            <w:tcW w:w="1820" w:type="dxa"/>
            <w:vAlign w:val="bottom"/>
            <w:shd w:val="clear" w:color="auto" w:fill="CCCCCC"/>
          </w:tcPr>
          <w:p>
            <w:pPr>
              <w:spacing w:after="0"/>
              <w:rPr>
                <w:sz w:val="24"/>
                <w:szCs w:val="24"/>
                <w:color w:val="auto"/>
              </w:rPr>
            </w:pPr>
          </w:p>
        </w:tc>
      </w:tr>
      <w:tr>
        <w:trPr>
          <w:trHeight w:val="284"/>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320" w:type="dxa"/>
            <w:vAlign w:val="bottom"/>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$63.3</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$28.4</w:t>
            </w:r>
          </w:p>
        </w:tc>
        <w:tc>
          <w:tcPr>
            <w:tcW w:w="1820" w:type="dxa"/>
            <w:vAlign w:val="bottom"/>
            <w:shd w:val="clear" w:color="auto" w:fill="CCCCCC"/>
          </w:tcPr>
          <w:p>
            <w:pPr>
              <w:spacing w:after="0"/>
              <w:rPr>
                <w:sz w:val="24"/>
                <w:szCs w:val="24"/>
                <w:color w:val="auto"/>
              </w:rPr>
            </w:pPr>
          </w:p>
        </w:tc>
      </w:tr>
      <w:tr>
        <w:trPr>
          <w:trHeight w:val="285"/>
        </w:trPr>
        <w:tc>
          <w:tcPr>
            <w:tcW w:w="480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 Per Diluted Share</w:t>
            </w:r>
          </w:p>
        </w:tc>
        <w:tc>
          <w:tcPr>
            <w:tcW w:w="3320" w:type="dxa"/>
            <w:vAlign w:val="bottom"/>
            <w:tcBorders>
              <w:bottom w:val="single" w:sz="8" w:color="CCCCCC"/>
            </w:tcBorders>
            <w:shd w:val="clear" w:color="auto" w:fill="CCCCCC"/>
          </w:tcPr>
          <w:p>
            <w:pPr>
              <w:jc w:val="right"/>
              <w:ind w:right="139"/>
              <w:spacing w:after="0"/>
              <w:rPr>
                <w:sz w:val="20"/>
                <w:szCs w:val="20"/>
                <w:color w:val="auto"/>
              </w:rPr>
            </w:pPr>
            <w:r>
              <w:rPr>
                <w:rFonts w:ascii="Arial" w:cs="Arial" w:eastAsia="Arial" w:hAnsi="Arial"/>
                <w:sz w:val="16"/>
                <w:szCs w:val="16"/>
                <w:b w:val="1"/>
                <w:bCs w:val="1"/>
                <w:color w:val="auto"/>
              </w:rPr>
              <w:t>$1.21</w:t>
            </w:r>
          </w:p>
        </w:tc>
        <w:tc>
          <w:tcPr>
            <w:tcW w:w="148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$0.55</w:t>
            </w:r>
          </w:p>
        </w:tc>
        <w:tc>
          <w:tcPr>
            <w:tcW w:w="1820" w:type="dxa"/>
            <w:vAlign w:val="bottom"/>
            <w:tcBorders>
              <w:bottom w:val="single" w:sz="8" w:color="CCCCCC"/>
            </w:tcBorders>
            <w:shd w:val="clear" w:color="auto" w:fill="CCCCCC"/>
          </w:tcPr>
          <w:p>
            <w:pPr>
              <w:spacing w:after="0"/>
              <w:rPr>
                <w:sz w:val="24"/>
                <w:szCs w:val="24"/>
                <w:color w:val="auto"/>
              </w:rPr>
            </w:pPr>
          </w:p>
        </w:tc>
      </w:tr>
      <w:tr>
        <w:trPr>
          <w:trHeight w:val="365"/>
        </w:trPr>
        <w:tc>
          <w:tcPr>
            <w:tcW w:w="4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00" w:type="dxa"/>
            <w:vAlign w:val="bottom"/>
            <w:gridSpan w:val="2"/>
          </w:tcPr>
          <w:p>
            <w:pPr>
              <w:spacing w:after="0"/>
              <w:rPr>
                <w:sz w:val="24"/>
                <w:szCs w:val="24"/>
                <w:color w:val="auto"/>
              </w:rPr>
            </w:pPr>
          </w:p>
        </w:tc>
      </w:tr>
      <w:tr>
        <w:trPr>
          <w:trHeight w:val="249"/>
        </w:trPr>
        <w:tc>
          <w:tcPr>
            <w:tcW w:w="4800" w:type="dxa"/>
            <w:vAlign w:val="bottom"/>
            <w:shd w:val="clear" w:color="auto" w:fill="0F243E"/>
          </w:tcPr>
          <w:p>
            <w:pPr>
              <w:spacing w:after="0"/>
              <w:rPr>
                <w:sz w:val="21"/>
                <w:szCs w:val="21"/>
                <w:color w:val="auto"/>
              </w:rPr>
            </w:pPr>
          </w:p>
        </w:tc>
        <w:tc>
          <w:tcPr>
            <w:tcW w:w="6620" w:type="dxa"/>
            <w:vAlign w:val="bottom"/>
            <w:gridSpan w:val="3"/>
            <w:shd w:val="clear" w:color="auto" w:fill="0F243E"/>
          </w:tcPr>
          <w:p>
            <w:pPr>
              <w:ind w:left="2800"/>
              <w:spacing w:after="0"/>
              <w:rPr>
                <w:sz w:val="20"/>
                <w:szCs w:val="20"/>
                <w:color w:val="auto"/>
              </w:rPr>
            </w:pPr>
            <w:r>
              <w:rPr>
                <w:rFonts w:ascii="Arial" w:cs="Arial" w:eastAsia="Arial" w:hAnsi="Arial"/>
                <w:sz w:val="16"/>
                <w:szCs w:val="16"/>
                <w:b w:val="1"/>
                <w:bCs w:val="1"/>
                <w:color w:val="FFFFFF"/>
              </w:rPr>
              <w:t>Nine Months Ended September 30,</w:t>
            </w:r>
          </w:p>
        </w:tc>
      </w:tr>
      <w:tr>
        <w:trPr>
          <w:trHeight w:val="264"/>
        </w:trPr>
        <w:tc>
          <w:tcPr>
            <w:tcW w:w="480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3320" w:type="dxa"/>
            <w:vAlign w:val="bottom"/>
            <w:shd w:val="clear" w:color="auto" w:fill="0F243E"/>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480" w:type="dxa"/>
            <w:vAlign w:val="bottom"/>
            <w:shd w:val="clear" w:color="auto" w:fill="0F243E"/>
          </w:tcPr>
          <w:p>
            <w:pPr>
              <w:jc w:val="right"/>
              <w:ind w:right="459"/>
              <w:spacing w:after="0"/>
              <w:rPr>
                <w:sz w:val="20"/>
                <w:szCs w:val="20"/>
                <w:color w:val="auto"/>
              </w:rPr>
            </w:pPr>
            <w:r>
              <w:rPr>
                <w:rFonts w:ascii="Arial" w:cs="Arial" w:eastAsia="Arial" w:hAnsi="Arial"/>
                <w:sz w:val="16"/>
                <w:szCs w:val="16"/>
                <w:b w:val="1"/>
                <w:bCs w:val="1"/>
                <w:color w:val="FFFFFF"/>
              </w:rPr>
              <w:t>2018</w:t>
            </w:r>
          </w:p>
        </w:tc>
        <w:tc>
          <w:tcPr>
            <w:tcW w:w="182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r>
      <w:tr>
        <w:trPr>
          <w:trHeight w:val="263"/>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color w:val="auto"/>
              </w:rPr>
              <w:t>Net Income</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$7.6</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$66.2</w:t>
            </w:r>
          </w:p>
        </w:tc>
        <w:tc>
          <w:tcPr>
            <w:tcW w:w="1820" w:type="dxa"/>
            <w:vAlign w:val="bottom"/>
            <w:shd w:val="clear" w:color="auto" w:fill="CCCCCC"/>
          </w:tcPr>
          <w:p>
            <w:pPr>
              <w:spacing w:after="0"/>
              <w:rPr>
                <w:sz w:val="22"/>
                <w:szCs w:val="22"/>
                <w:color w:val="auto"/>
              </w:rPr>
            </w:pPr>
          </w:p>
        </w:tc>
      </w:tr>
      <w:tr>
        <w:trPr>
          <w:trHeight w:val="262"/>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3320" w:type="dxa"/>
            <w:vAlign w:val="bottom"/>
            <w:shd w:val="clear" w:color="auto" w:fill="CCCCCC"/>
          </w:tcPr>
          <w:p>
            <w:pPr>
              <w:spacing w:after="0"/>
              <w:rPr>
                <w:sz w:val="22"/>
                <w:szCs w:val="22"/>
                <w:color w:val="auto"/>
              </w:rPr>
            </w:pPr>
          </w:p>
        </w:tc>
        <w:tc>
          <w:tcPr>
            <w:tcW w:w="1480" w:type="dxa"/>
            <w:vAlign w:val="bottom"/>
            <w:shd w:val="clear" w:color="auto" w:fill="CCCCCC"/>
          </w:tcPr>
          <w:p>
            <w:pPr>
              <w:spacing w:after="0"/>
              <w:rPr>
                <w:sz w:val="22"/>
                <w:szCs w:val="22"/>
                <w:color w:val="auto"/>
              </w:rPr>
            </w:pPr>
          </w:p>
        </w:tc>
        <w:tc>
          <w:tcPr>
            <w:tcW w:w="1820" w:type="dxa"/>
            <w:vAlign w:val="bottom"/>
            <w:shd w:val="clear" w:color="auto" w:fill="CCCCCC"/>
          </w:tcPr>
          <w:p>
            <w:pPr>
              <w:spacing w:after="0"/>
              <w:rPr>
                <w:sz w:val="22"/>
                <w:szCs w:val="22"/>
                <w:color w:val="auto"/>
              </w:rPr>
            </w:pPr>
          </w:p>
        </w:tc>
      </w:tr>
      <w:tr>
        <w:trPr>
          <w:trHeight w:val="265"/>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10.6</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6.8</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46.1</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12.0</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 Other Income</w:t>
            </w:r>
          </w:p>
        </w:tc>
      </w:tr>
      <w:tr>
        <w:trPr>
          <w:trHeight w:val="257"/>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6.1</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r>
      <w:tr>
        <w:trPr>
          <w:trHeight w:val="257"/>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Change in fair value of contingent consideration</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12.4</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1.9</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r>
      <w:tr>
        <w:trPr>
          <w:trHeight w:val="249"/>
        </w:trPr>
        <w:tc>
          <w:tcPr>
            <w:tcW w:w="480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Exit and disposal costs</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0.4</w:t>
            </w:r>
          </w:p>
        </w:tc>
        <w:tc>
          <w:tcPr>
            <w:tcW w:w="182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78"/>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(15.8)</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(4.0)</w:t>
            </w:r>
          </w:p>
        </w:tc>
        <w:tc>
          <w:tcPr>
            <w:tcW w:w="1820" w:type="dxa"/>
            <w:vAlign w:val="bottom"/>
            <w:shd w:val="clear" w:color="auto" w:fill="CCCCCC"/>
          </w:tcPr>
          <w:p>
            <w:pPr>
              <w:spacing w:after="0"/>
              <w:rPr>
                <w:sz w:val="24"/>
                <w:szCs w:val="24"/>
                <w:color w:val="auto"/>
              </w:rPr>
            </w:pPr>
          </w:p>
        </w:tc>
      </w:tr>
      <w:tr>
        <w:trPr>
          <w:trHeight w:val="284"/>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59.4</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17.1</w:t>
            </w:r>
          </w:p>
        </w:tc>
        <w:tc>
          <w:tcPr>
            <w:tcW w:w="1820" w:type="dxa"/>
            <w:vAlign w:val="bottom"/>
            <w:shd w:val="clear" w:color="auto" w:fill="CCCCCC"/>
          </w:tcPr>
          <w:p>
            <w:pPr>
              <w:spacing w:after="0"/>
              <w:rPr>
                <w:sz w:val="24"/>
                <w:szCs w:val="24"/>
                <w:color w:val="auto"/>
              </w:rPr>
            </w:pPr>
          </w:p>
        </w:tc>
      </w:tr>
      <w:tr>
        <w:trPr>
          <w:trHeight w:val="284"/>
        </w:trPr>
        <w:tc>
          <w:tcPr>
            <w:tcW w:w="480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3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$67.0</w:t>
            </w:r>
          </w:p>
        </w:tc>
        <w:tc>
          <w:tcPr>
            <w:tcW w:w="14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$83.3</w:t>
            </w:r>
          </w:p>
        </w:tc>
        <w:tc>
          <w:tcPr>
            <w:tcW w:w="1820" w:type="dxa"/>
            <w:vAlign w:val="bottom"/>
            <w:shd w:val="clear" w:color="auto" w:fill="CCCCCC"/>
          </w:tcPr>
          <w:p>
            <w:pPr>
              <w:spacing w:after="0"/>
              <w:rPr>
                <w:sz w:val="24"/>
                <w:szCs w:val="24"/>
                <w:color w:val="auto"/>
              </w:rPr>
            </w:pPr>
          </w:p>
        </w:tc>
      </w:tr>
      <w:tr>
        <w:trPr>
          <w:trHeight w:val="285"/>
        </w:trPr>
        <w:tc>
          <w:tcPr>
            <w:tcW w:w="480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 Per Diluted Share</w:t>
            </w:r>
          </w:p>
        </w:tc>
        <w:tc>
          <w:tcPr>
            <w:tcW w:w="3320" w:type="dxa"/>
            <w:vAlign w:val="bottom"/>
            <w:tcBorders>
              <w:bottom w:val="single" w:sz="8" w:color="CCCCCC"/>
            </w:tcBorders>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$1.28</w:t>
            </w:r>
          </w:p>
        </w:tc>
        <w:tc>
          <w:tcPr>
            <w:tcW w:w="148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$1.63</w:t>
            </w:r>
          </w:p>
        </w:tc>
        <w:tc>
          <w:tcPr>
            <w:tcW w:w="1820" w:type="dxa"/>
            <w:vAlign w:val="bottom"/>
            <w:tcBorders>
              <w:bottom w:val="single" w:sz="8" w:color="CCCCCC"/>
            </w:tcBorders>
            <w:shd w:val="clear" w:color="auto" w:fill="CCCCCC"/>
          </w:tcPr>
          <w:p>
            <w:pPr>
              <w:spacing w:after="0"/>
              <w:rPr>
                <w:sz w:val="24"/>
                <w:szCs w:val="24"/>
                <w:color w:val="auto"/>
              </w:rPr>
            </w:pPr>
          </w:p>
        </w:tc>
      </w:tr>
      <w:tr>
        <w:trPr>
          <w:trHeight w:val="669"/>
        </w:trPr>
        <w:tc>
          <w:tcPr>
            <w:tcW w:w="4800" w:type="dxa"/>
            <w:vAlign w:val="bottom"/>
          </w:tcPr>
          <w:p>
            <w:pPr>
              <w:spacing w:after="0"/>
              <w:rPr>
                <w:sz w:val="24"/>
                <w:szCs w:val="24"/>
                <w:color w:val="auto"/>
              </w:rPr>
            </w:pPr>
          </w:p>
        </w:tc>
        <w:tc>
          <w:tcPr>
            <w:tcW w:w="3320" w:type="dxa"/>
            <w:vAlign w:val="bottom"/>
          </w:tcPr>
          <w:p>
            <w:pPr>
              <w:jc w:val="right"/>
              <w:ind w:right="2059"/>
              <w:spacing w:after="0"/>
              <w:rPr>
                <w:sz w:val="20"/>
                <w:szCs w:val="20"/>
                <w:color w:val="auto"/>
              </w:rPr>
            </w:pPr>
            <w:r>
              <w:rPr>
                <w:rFonts w:ascii="Times New Roman" w:cs="Times New Roman" w:eastAsia="Times New Roman" w:hAnsi="Times New Roman"/>
                <w:sz w:val="16"/>
                <w:szCs w:val="16"/>
                <w:color w:val="auto"/>
              </w:rPr>
              <w:t>13 of 15</w:t>
            </w: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-2628265</wp:posOffset>
            </wp:positionV>
            <wp:extent cx="7254875" cy="2212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21234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5" w:name="page16"/>
    <w:bookmarkEnd w:id="15"/>
    <w:tbl>
      <w:tblPr>
        <w:tblLayout w:type="fixed"/>
        <w:tblInd w:w="80" w:type="dxa"/>
        <w:tblCellMar>
          <w:top w:w="0" w:type="dxa"/>
          <w:left w:w="0" w:type="dxa"/>
          <w:bottom w:w="0" w:type="dxa"/>
          <w:right w:w="0" w:type="dxa"/>
        </w:tblCellMar>
      </w:tblPr>
      <w:tr>
        <w:trPr>
          <w:trHeight w:val="209"/>
        </w:trPr>
        <w:tc>
          <w:tcPr>
            <w:tcW w:w="6180" w:type="dxa"/>
            <w:vAlign w:val="bottom"/>
            <w:shd w:val="clear" w:color="auto" w:fill="0F243E"/>
          </w:tcPr>
          <w:p>
            <w:pPr>
              <w:spacing w:after="0"/>
              <w:rPr>
                <w:sz w:val="18"/>
                <w:szCs w:val="18"/>
                <w:color w:val="auto"/>
              </w:rPr>
            </w:pPr>
          </w:p>
        </w:tc>
        <w:tc>
          <w:tcPr>
            <w:tcW w:w="3260" w:type="dxa"/>
            <w:vAlign w:val="bottom"/>
            <w:shd w:val="clear" w:color="auto" w:fill="0F243E"/>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1780" w:type="dxa"/>
            <w:vAlign w:val="bottom"/>
            <w:shd w:val="clear" w:color="auto" w:fill="0F243E"/>
          </w:tcPr>
          <w:p>
            <w:pPr>
              <w:spacing w:after="0"/>
              <w:rPr>
                <w:sz w:val="18"/>
                <w:szCs w:val="18"/>
                <w:color w:val="auto"/>
              </w:rPr>
            </w:pPr>
          </w:p>
        </w:tc>
      </w:tr>
      <w:tr>
        <w:trPr>
          <w:trHeight w:val="229"/>
        </w:trPr>
        <w:tc>
          <w:tcPr>
            <w:tcW w:w="6180" w:type="dxa"/>
            <w:vAlign w:val="bottom"/>
            <w:shd w:val="clear" w:color="auto" w:fill="0F243E"/>
          </w:tcPr>
          <w:p>
            <w:pPr>
              <w:spacing w:after="0"/>
              <w:rPr>
                <w:sz w:val="19"/>
                <w:szCs w:val="19"/>
                <w:color w:val="auto"/>
              </w:rPr>
            </w:pPr>
          </w:p>
        </w:tc>
        <w:tc>
          <w:tcPr>
            <w:tcW w:w="3260" w:type="dxa"/>
            <w:vAlign w:val="bottom"/>
            <w:shd w:val="clear" w:color="auto" w:fill="0F243E"/>
          </w:tcPr>
          <w:p>
            <w:pPr>
              <w:jc w:val="right"/>
              <w:ind w:right="319"/>
              <w:spacing w:after="0"/>
              <w:rPr>
                <w:sz w:val="20"/>
                <w:szCs w:val="20"/>
                <w:color w:val="auto"/>
              </w:rPr>
            </w:pPr>
            <w:r>
              <w:rPr>
                <w:rFonts w:ascii="Arial" w:cs="Arial" w:eastAsia="Arial" w:hAnsi="Arial"/>
                <w:sz w:val="16"/>
                <w:szCs w:val="16"/>
                <w:b w:val="1"/>
                <w:bCs w:val="1"/>
                <w:color w:val="FFFFFF"/>
              </w:rPr>
              <w:t>Forecast</w:t>
            </w:r>
          </w:p>
        </w:tc>
        <w:tc>
          <w:tcPr>
            <w:tcW w:w="1780" w:type="dxa"/>
            <w:vAlign w:val="bottom"/>
            <w:shd w:val="clear" w:color="auto" w:fill="0F243E"/>
          </w:tcPr>
          <w:p>
            <w:pPr>
              <w:spacing w:after="0"/>
              <w:rPr>
                <w:sz w:val="19"/>
                <w:szCs w:val="19"/>
                <w:color w:val="auto"/>
              </w:rPr>
            </w:pPr>
          </w:p>
        </w:tc>
      </w:tr>
      <w:tr>
        <w:trPr>
          <w:trHeight w:val="264"/>
        </w:trPr>
        <w:tc>
          <w:tcPr>
            <w:tcW w:w="618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3260" w:type="dxa"/>
            <w:vAlign w:val="bottom"/>
            <w:shd w:val="clear" w:color="auto" w:fill="0F243E"/>
          </w:tcPr>
          <w:p>
            <w:pPr>
              <w:jc w:val="right"/>
              <w:ind w:right="1319"/>
              <w:spacing w:after="0"/>
              <w:rPr>
                <w:sz w:val="20"/>
                <w:szCs w:val="20"/>
                <w:color w:val="auto"/>
              </w:rPr>
            </w:pPr>
            <w:r>
              <w:rPr>
                <w:rFonts w:ascii="Arial" w:cs="Arial" w:eastAsia="Arial" w:hAnsi="Arial"/>
                <w:sz w:val="16"/>
                <w:szCs w:val="16"/>
                <w:b w:val="1"/>
                <w:bCs w:val="1"/>
                <w:color w:val="FFFFFF"/>
              </w:rPr>
              <w:t>2019F</w:t>
            </w:r>
          </w:p>
        </w:tc>
        <w:tc>
          <w:tcPr>
            <w:tcW w:w="178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r>
      <w:tr>
        <w:trPr>
          <w:trHeight w:val="263"/>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$80 - $110</w:t>
            </w:r>
          </w:p>
        </w:tc>
        <w:tc>
          <w:tcPr>
            <w:tcW w:w="1780" w:type="dxa"/>
            <w:vAlign w:val="bottom"/>
            <w:shd w:val="clear" w:color="auto" w:fill="CCCCCC"/>
          </w:tcPr>
          <w:p>
            <w:pPr>
              <w:spacing w:after="0"/>
              <w:rPr>
                <w:sz w:val="22"/>
                <w:szCs w:val="22"/>
                <w:color w:val="auto"/>
              </w:rPr>
            </w:pPr>
          </w:p>
        </w:tc>
      </w:tr>
      <w:tr>
        <w:trPr>
          <w:trHeight w:val="262"/>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3260" w:type="dxa"/>
            <w:vAlign w:val="bottom"/>
            <w:shd w:val="clear" w:color="auto" w:fill="CCCCCC"/>
          </w:tcPr>
          <w:p>
            <w:pPr>
              <w:spacing w:after="0"/>
              <w:rPr>
                <w:sz w:val="22"/>
                <w:szCs w:val="22"/>
                <w:color w:val="auto"/>
              </w:rPr>
            </w:pPr>
          </w:p>
        </w:tc>
        <w:tc>
          <w:tcPr>
            <w:tcW w:w="1780" w:type="dxa"/>
            <w:vAlign w:val="bottom"/>
            <w:shd w:val="clear" w:color="auto" w:fill="CCCCCC"/>
          </w:tcPr>
          <w:p>
            <w:pPr>
              <w:spacing w:after="0"/>
              <w:rPr>
                <w:sz w:val="22"/>
                <w:szCs w:val="22"/>
                <w:color w:val="auto"/>
              </w:rPr>
            </w:pPr>
          </w:p>
        </w:tc>
      </w:tr>
      <w:tr>
        <w:trPr>
          <w:trHeight w:val="265"/>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11</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59</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 Other Income</w:t>
            </w: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6</w:t>
            </w:r>
          </w:p>
        </w:tc>
        <w:tc>
          <w:tcPr>
            <w:tcW w:w="17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r>
      <w:tr>
        <w:trPr>
          <w:trHeight w:val="270"/>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Change in fair value of contingent consideration</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13</w:t>
            </w:r>
          </w:p>
        </w:tc>
        <w:tc>
          <w:tcPr>
            <w:tcW w:w="1780" w:type="dxa"/>
            <w:vAlign w:val="bottom"/>
            <w:shd w:val="clear" w:color="auto" w:fill="CCCCCC"/>
          </w:tcPr>
          <w:p>
            <w:pPr>
              <w:spacing w:after="0"/>
              <w:rPr>
                <w:sz w:val="23"/>
                <w:szCs w:val="23"/>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(19)</w:t>
            </w:r>
          </w:p>
        </w:tc>
        <w:tc>
          <w:tcPr>
            <w:tcW w:w="1780" w:type="dxa"/>
            <w:vAlign w:val="bottom"/>
            <w:shd w:val="clear" w:color="auto" w:fill="CCCCCC"/>
          </w:tcPr>
          <w:p>
            <w:pPr>
              <w:spacing w:after="0"/>
              <w:rPr>
                <w:sz w:val="24"/>
                <w:szCs w:val="24"/>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70</w:t>
            </w:r>
          </w:p>
        </w:tc>
        <w:tc>
          <w:tcPr>
            <w:tcW w:w="1780" w:type="dxa"/>
            <w:vAlign w:val="bottom"/>
            <w:shd w:val="clear" w:color="auto" w:fill="CCCCCC"/>
          </w:tcPr>
          <w:p>
            <w:pPr>
              <w:spacing w:after="0"/>
              <w:rPr>
                <w:sz w:val="24"/>
                <w:szCs w:val="24"/>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$150 - $180</w:t>
            </w:r>
          </w:p>
        </w:tc>
        <w:tc>
          <w:tcPr>
            <w:tcW w:w="1780" w:type="dxa"/>
            <w:vAlign w:val="bottom"/>
            <w:shd w:val="clear" w:color="auto" w:fill="CCCCCC"/>
          </w:tcPr>
          <w:p>
            <w:pPr>
              <w:spacing w:after="0"/>
              <w:rPr>
                <w:sz w:val="24"/>
                <w:szCs w:val="24"/>
                <w:color w:val="auto"/>
              </w:rPr>
            </w:pPr>
          </w:p>
        </w:tc>
      </w:tr>
      <w:tr>
        <w:trPr>
          <w:trHeight w:val="21"/>
        </w:trPr>
        <w:tc>
          <w:tcPr>
            <w:tcW w:w="6180" w:type="dxa"/>
            <w:vAlign w:val="bottom"/>
            <w:shd w:val="clear" w:color="auto" w:fill="CCCCCC"/>
          </w:tcPr>
          <w:p>
            <w:pPr>
              <w:spacing w:after="0" w:line="20" w:lineRule="exact"/>
              <w:rPr>
                <w:sz w:val="1"/>
                <w:szCs w:val="1"/>
                <w:color w:val="auto"/>
              </w:rPr>
            </w:pPr>
          </w:p>
        </w:tc>
        <w:tc>
          <w:tcPr>
            <w:tcW w:w="3260" w:type="dxa"/>
            <w:vAlign w:val="bottom"/>
            <w:shd w:val="clear" w:color="auto" w:fill="CCCCCC"/>
          </w:tcPr>
          <w:p>
            <w:pPr>
              <w:spacing w:after="0" w:line="20" w:lineRule="exact"/>
              <w:rPr>
                <w:sz w:val="1"/>
                <w:szCs w:val="1"/>
                <w:color w:val="auto"/>
              </w:rPr>
            </w:pPr>
          </w:p>
        </w:tc>
        <w:tc>
          <w:tcPr>
            <w:tcW w:w="1780" w:type="dxa"/>
            <w:vAlign w:val="bottom"/>
            <w:shd w:val="clear" w:color="auto" w:fill="CCCCCC"/>
          </w:tcPr>
          <w:p>
            <w:pPr>
              <w:spacing w:after="0" w:line="20" w:lineRule="exact"/>
              <w:rPr>
                <w:sz w:val="1"/>
                <w:szCs w:val="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328930</wp:posOffset>
            </wp:positionV>
            <wp:extent cx="7126605" cy="2006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20066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Reconciliation of Net Income to EBITDA and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106045</wp:posOffset>
            </wp:positionV>
            <wp:extent cx="7126605" cy="2615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2615565"/>
                    </a:xfrm>
                    <a:prstGeom prst="rect">
                      <a:avLst/>
                    </a:prstGeom>
                    <a:noFill/>
                  </pic:spPr>
                </pic:pic>
              </a:graphicData>
            </a:graphic>
          </wp:anchor>
        </w:drawing>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140" w:type="dxa"/>
            <w:vAlign w:val="bottom"/>
            <w:shd w:val="clear" w:color="auto" w:fill="0F243E"/>
          </w:tcPr>
          <w:p>
            <w:pPr>
              <w:spacing w:after="0"/>
              <w:rPr>
                <w:sz w:val="21"/>
                <w:szCs w:val="21"/>
                <w:color w:val="auto"/>
              </w:rPr>
            </w:pPr>
          </w:p>
        </w:tc>
        <w:tc>
          <w:tcPr>
            <w:tcW w:w="6480" w:type="dxa"/>
            <w:vAlign w:val="bottom"/>
            <w:shd w:val="clear" w:color="auto" w:fill="0F243E"/>
          </w:tcPr>
          <w:p>
            <w:pPr>
              <w:spacing w:after="0"/>
              <w:rPr>
                <w:sz w:val="21"/>
                <w:szCs w:val="21"/>
                <w:color w:val="auto"/>
              </w:rPr>
            </w:pPr>
          </w:p>
        </w:tc>
        <w:tc>
          <w:tcPr>
            <w:tcW w:w="4600" w:type="dxa"/>
            <w:vAlign w:val="bottom"/>
            <w:gridSpan w:val="2"/>
            <w:shd w:val="clear" w:color="auto" w:fill="0F243E"/>
          </w:tcPr>
          <w:p>
            <w:pPr>
              <w:jc w:val="right"/>
              <w:ind w:right="819"/>
              <w:spacing w:after="0"/>
              <w:rPr>
                <w:sz w:val="20"/>
                <w:szCs w:val="20"/>
                <w:color w:val="auto"/>
              </w:rPr>
            </w:pPr>
            <w:r>
              <w:rPr>
                <w:rFonts w:ascii="Arial" w:cs="Arial" w:eastAsia="Arial" w:hAnsi="Arial"/>
                <w:sz w:val="16"/>
                <w:szCs w:val="16"/>
                <w:b w:val="1"/>
                <w:bCs w:val="1"/>
                <w:color w:val="FFFFFF"/>
              </w:rPr>
              <w:t>Three Months Ended September 30,</w:t>
            </w:r>
          </w:p>
        </w:tc>
        <w:tc>
          <w:tcPr>
            <w:tcW w:w="20" w:type="dxa"/>
            <w:vAlign w:val="bottom"/>
          </w:tcPr>
          <w:p>
            <w:pPr>
              <w:spacing w:after="0"/>
              <w:rPr>
                <w:sz w:val="21"/>
                <w:szCs w:val="21"/>
                <w:color w:val="auto"/>
              </w:rPr>
            </w:pPr>
          </w:p>
        </w:tc>
      </w:tr>
      <w:tr>
        <w:trPr>
          <w:trHeight w:val="264"/>
        </w:trPr>
        <w:tc>
          <w:tcPr>
            <w:tcW w:w="6620" w:type="dxa"/>
            <w:vAlign w:val="bottom"/>
            <w:gridSpan w:val="2"/>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2340" w:type="dxa"/>
            <w:vAlign w:val="bottom"/>
            <w:shd w:val="clear" w:color="auto" w:fill="0F243E"/>
          </w:tcPr>
          <w:p>
            <w:pPr>
              <w:jc w:val="right"/>
              <w:ind w:right="879"/>
              <w:spacing w:after="0"/>
              <w:rPr>
                <w:sz w:val="20"/>
                <w:szCs w:val="20"/>
                <w:color w:val="auto"/>
              </w:rPr>
            </w:pPr>
            <w:r>
              <w:rPr>
                <w:rFonts w:ascii="Arial" w:cs="Arial" w:eastAsia="Arial" w:hAnsi="Arial"/>
                <w:sz w:val="16"/>
                <w:szCs w:val="16"/>
                <w:b w:val="1"/>
                <w:bCs w:val="1"/>
                <w:color w:val="FFFFFF"/>
              </w:rPr>
              <w:t>2019</w:t>
            </w:r>
          </w:p>
        </w:tc>
        <w:tc>
          <w:tcPr>
            <w:tcW w:w="2260" w:type="dxa"/>
            <w:vAlign w:val="bottom"/>
            <w:shd w:val="clear" w:color="auto" w:fill="0F243E"/>
          </w:tcPr>
          <w:p>
            <w:pPr>
              <w:jc w:val="right"/>
              <w:ind w:right="859"/>
              <w:spacing w:after="0"/>
              <w:rPr>
                <w:sz w:val="20"/>
                <w:szCs w:val="20"/>
                <w:color w:val="auto"/>
              </w:rPr>
            </w:pPr>
            <w:r>
              <w:rPr>
                <w:rFonts w:ascii="Arial" w:cs="Arial" w:eastAsia="Arial" w:hAnsi="Arial"/>
                <w:sz w:val="16"/>
                <w:szCs w:val="16"/>
                <w:b w:val="1"/>
                <w:bCs w:val="1"/>
                <w:color w:val="FFFFFF"/>
              </w:rPr>
              <w:t>2018</w:t>
            </w:r>
          </w:p>
        </w:tc>
        <w:tc>
          <w:tcPr>
            <w:tcW w:w="20" w:type="dxa"/>
            <w:vAlign w:val="bottom"/>
          </w:tcPr>
          <w:p>
            <w:pPr>
              <w:spacing w:after="0"/>
              <w:rPr>
                <w:sz w:val="22"/>
                <w:szCs w:val="22"/>
                <w:color w:val="auto"/>
              </w:rPr>
            </w:pPr>
          </w:p>
        </w:tc>
      </w:tr>
      <w:tr>
        <w:trPr>
          <w:trHeight w:val="263"/>
        </w:trPr>
        <w:tc>
          <w:tcPr>
            <w:tcW w:w="66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$43.2</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$20.9</w:t>
            </w:r>
          </w:p>
        </w:tc>
        <w:tc>
          <w:tcPr>
            <w:tcW w:w="20" w:type="dxa"/>
            <w:vAlign w:val="bottom"/>
          </w:tcPr>
          <w:p>
            <w:pPr>
              <w:spacing w:after="0"/>
              <w:rPr>
                <w:sz w:val="22"/>
                <w:szCs w:val="22"/>
                <w:color w:val="auto"/>
              </w:rPr>
            </w:pPr>
          </w:p>
        </w:tc>
      </w:tr>
      <w:tr>
        <w:trPr>
          <w:trHeight w:val="262"/>
        </w:trPr>
        <w:tc>
          <w:tcPr>
            <w:tcW w:w="140" w:type="dxa"/>
            <w:vAlign w:val="bottom"/>
            <w:shd w:val="clear" w:color="auto" w:fill="CCCCCC"/>
          </w:tcPr>
          <w:p>
            <w:pPr>
              <w:spacing w:after="0"/>
              <w:rPr>
                <w:sz w:val="22"/>
                <w:szCs w:val="22"/>
                <w:color w:val="auto"/>
              </w:rPr>
            </w:pPr>
          </w:p>
        </w:tc>
        <w:tc>
          <w:tcPr>
            <w:tcW w:w="64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2340" w:type="dxa"/>
            <w:vAlign w:val="bottom"/>
            <w:shd w:val="clear" w:color="auto" w:fill="CCCCCC"/>
          </w:tcPr>
          <w:p>
            <w:pPr>
              <w:spacing w:after="0"/>
              <w:rPr>
                <w:sz w:val="22"/>
                <w:szCs w:val="22"/>
                <w:color w:val="auto"/>
              </w:rPr>
            </w:pPr>
          </w:p>
        </w:tc>
        <w:tc>
          <w:tcPr>
            <w:tcW w:w="2260" w:type="dxa"/>
            <w:vAlign w:val="bottom"/>
            <w:shd w:val="clear" w:color="auto" w:fill="CCCCCC"/>
          </w:tcPr>
          <w:p>
            <w:pPr>
              <w:spacing w:after="0"/>
              <w:rPr>
                <w:sz w:val="22"/>
                <w:szCs w:val="22"/>
                <w:color w:val="auto"/>
              </w:rPr>
            </w:pPr>
          </w:p>
        </w:tc>
        <w:tc>
          <w:tcPr>
            <w:tcW w:w="20" w:type="dxa"/>
            <w:vAlign w:val="bottom"/>
          </w:tcPr>
          <w:p>
            <w:pPr>
              <w:spacing w:after="0"/>
              <w:rPr>
                <w:sz w:val="22"/>
                <w:szCs w:val="22"/>
                <w:color w:val="auto"/>
              </w:rPr>
            </w:pPr>
          </w:p>
        </w:tc>
      </w:tr>
      <w:tr>
        <w:trPr>
          <w:trHeight w:val="265"/>
        </w:trPr>
        <w:tc>
          <w:tcPr>
            <w:tcW w:w="140" w:type="dxa"/>
            <w:vAlign w:val="bottom"/>
            <w:shd w:val="clear" w:color="auto" w:fill="CCCCCC"/>
          </w:tcPr>
          <w:p>
            <w:pPr>
              <w:spacing w:after="0"/>
              <w:rPr>
                <w:sz w:val="23"/>
                <w:szCs w:val="23"/>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Depreciation &amp; amortization</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27.7</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12.3</w:t>
            </w:r>
          </w:p>
        </w:tc>
        <w:tc>
          <w:tcPr>
            <w:tcW w:w="20" w:type="dxa"/>
            <w:vAlign w:val="bottom"/>
          </w:tcPr>
          <w:p>
            <w:pPr>
              <w:spacing w:after="0"/>
              <w:rPr>
                <w:sz w:val="23"/>
                <w:szCs w:val="23"/>
                <w:color w:val="auto"/>
              </w:rPr>
            </w:pPr>
          </w:p>
        </w:tc>
      </w:tr>
      <w:tr>
        <w:trPr>
          <w:trHeight w:val="257"/>
        </w:trPr>
        <w:tc>
          <w:tcPr>
            <w:tcW w:w="140" w:type="dxa"/>
            <w:vAlign w:val="bottom"/>
            <w:shd w:val="clear" w:color="auto" w:fill="CCCCCC"/>
          </w:tcPr>
          <w:p>
            <w:pPr>
              <w:spacing w:after="0"/>
              <w:rPr>
                <w:sz w:val="22"/>
                <w:szCs w:val="22"/>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Provision for income taxes</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15.7</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0.6</w:t>
            </w:r>
          </w:p>
        </w:tc>
        <w:tc>
          <w:tcPr>
            <w:tcW w:w="20" w:type="dxa"/>
            <w:vAlign w:val="bottom"/>
          </w:tcPr>
          <w:p>
            <w:pPr>
              <w:spacing w:after="0"/>
              <w:rPr>
                <w:sz w:val="22"/>
                <w:szCs w:val="22"/>
                <w:color w:val="auto"/>
              </w:rPr>
            </w:pPr>
          </w:p>
        </w:tc>
      </w:tr>
      <w:tr>
        <w:trPr>
          <w:trHeight w:val="257"/>
        </w:trPr>
        <w:tc>
          <w:tcPr>
            <w:tcW w:w="140" w:type="dxa"/>
            <w:vAlign w:val="bottom"/>
            <w:shd w:val="clear" w:color="auto" w:fill="CCCCCC"/>
          </w:tcPr>
          <w:p>
            <w:pPr>
              <w:spacing w:after="0"/>
              <w:rPr>
                <w:sz w:val="22"/>
                <w:szCs w:val="22"/>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Total interest expense, net*</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9.7</w:t>
            </w:r>
          </w:p>
        </w:tc>
        <w:tc>
          <w:tcPr>
            <w:tcW w:w="22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(0.1)</w:t>
            </w:r>
          </w:p>
        </w:tc>
        <w:tc>
          <w:tcPr>
            <w:tcW w:w="20" w:type="dxa"/>
            <w:vAlign w:val="bottom"/>
          </w:tcPr>
          <w:p>
            <w:pPr>
              <w:spacing w:after="0"/>
              <w:rPr>
                <w:sz w:val="22"/>
                <w:szCs w:val="22"/>
                <w:color w:val="auto"/>
              </w:rPr>
            </w:pPr>
          </w:p>
        </w:tc>
      </w:tr>
      <w:tr>
        <w:trPr>
          <w:trHeight w:val="257"/>
        </w:trPr>
        <w:tc>
          <w:tcPr>
            <w:tcW w:w="66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53.1</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12.8</w:t>
            </w:r>
          </w:p>
        </w:tc>
        <w:tc>
          <w:tcPr>
            <w:tcW w:w="20" w:type="dxa"/>
            <w:vAlign w:val="bottom"/>
          </w:tcPr>
          <w:p>
            <w:pPr>
              <w:spacing w:after="0"/>
              <w:rPr>
                <w:sz w:val="22"/>
                <w:szCs w:val="22"/>
                <w:color w:val="auto"/>
              </w:rPr>
            </w:pPr>
          </w:p>
        </w:tc>
      </w:tr>
      <w:tr>
        <w:trPr>
          <w:trHeight w:val="270"/>
        </w:trPr>
        <w:tc>
          <w:tcPr>
            <w:tcW w:w="66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$96.3</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$33.7</w:t>
            </w:r>
          </w:p>
        </w:tc>
        <w:tc>
          <w:tcPr>
            <w:tcW w:w="20" w:type="dxa"/>
            <w:vAlign w:val="bottom"/>
          </w:tcPr>
          <w:p>
            <w:pPr>
              <w:spacing w:after="0"/>
              <w:rPr>
                <w:sz w:val="23"/>
                <w:szCs w:val="23"/>
                <w:color w:val="auto"/>
              </w:rPr>
            </w:pPr>
          </w:p>
        </w:tc>
      </w:tr>
      <w:tr>
        <w:trPr>
          <w:trHeight w:val="262"/>
        </w:trPr>
        <w:tc>
          <w:tcPr>
            <w:tcW w:w="140" w:type="dxa"/>
            <w:vAlign w:val="bottom"/>
            <w:shd w:val="clear" w:color="auto" w:fill="CCCCCC"/>
          </w:tcPr>
          <w:p>
            <w:pPr>
              <w:spacing w:after="0"/>
              <w:rPr>
                <w:sz w:val="22"/>
                <w:szCs w:val="22"/>
                <w:color w:val="auto"/>
              </w:rPr>
            </w:pPr>
          </w:p>
        </w:tc>
        <w:tc>
          <w:tcPr>
            <w:tcW w:w="64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Additional Adjustments:</w:t>
            </w:r>
          </w:p>
        </w:tc>
        <w:tc>
          <w:tcPr>
            <w:tcW w:w="2340" w:type="dxa"/>
            <w:vAlign w:val="bottom"/>
            <w:shd w:val="clear" w:color="auto" w:fill="CCCCCC"/>
          </w:tcPr>
          <w:p>
            <w:pPr>
              <w:spacing w:after="0"/>
              <w:rPr>
                <w:sz w:val="22"/>
                <w:szCs w:val="22"/>
                <w:color w:val="auto"/>
              </w:rPr>
            </w:pPr>
          </w:p>
        </w:tc>
        <w:tc>
          <w:tcPr>
            <w:tcW w:w="2260" w:type="dxa"/>
            <w:vAlign w:val="bottom"/>
            <w:shd w:val="clear" w:color="auto" w:fill="CCCCCC"/>
          </w:tcPr>
          <w:p>
            <w:pPr>
              <w:spacing w:after="0"/>
              <w:rPr>
                <w:sz w:val="22"/>
                <w:szCs w:val="22"/>
                <w:color w:val="auto"/>
              </w:rPr>
            </w:pPr>
          </w:p>
        </w:tc>
        <w:tc>
          <w:tcPr>
            <w:tcW w:w="20" w:type="dxa"/>
            <w:vAlign w:val="bottom"/>
          </w:tcPr>
          <w:p>
            <w:pPr>
              <w:spacing w:after="0"/>
              <w:rPr>
                <w:sz w:val="22"/>
                <w:szCs w:val="22"/>
                <w:color w:val="auto"/>
              </w:rPr>
            </w:pPr>
          </w:p>
        </w:tc>
      </w:tr>
      <w:tr>
        <w:trPr>
          <w:trHeight w:val="265"/>
        </w:trPr>
        <w:tc>
          <w:tcPr>
            <w:tcW w:w="140" w:type="dxa"/>
            <w:vAlign w:val="bottom"/>
            <w:shd w:val="clear" w:color="auto" w:fill="CCCCCC"/>
          </w:tcPr>
          <w:p>
            <w:pPr>
              <w:spacing w:after="0"/>
              <w:rPr>
                <w:sz w:val="23"/>
                <w:szCs w:val="23"/>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Acquisition-related costs (transaction &amp; integration)</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3.2</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5.2</w:t>
            </w:r>
          </w:p>
        </w:tc>
        <w:tc>
          <w:tcPr>
            <w:tcW w:w="20" w:type="dxa"/>
            <w:vAlign w:val="bottom"/>
          </w:tcPr>
          <w:p>
            <w:pPr>
              <w:spacing w:after="0"/>
              <w:rPr>
                <w:sz w:val="23"/>
                <w:szCs w:val="23"/>
                <w:color w:val="auto"/>
              </w:rPr>
            </w:pPr>
          </w:p>
        </w:tc>
      </w:tr>
      <w:tr>
        <w:trPr>
          <w:trHeight w:val="257"/>
        </w:trPr>
        <w:tc>
          <w:tcPr>
            <w:tcW w:w="140" w:type="dxa"/>
            <w:vAlign w:val="bottom"/>
            <w:shd w:val="clear" w:color="auto" w:fill="CCCCCC"/>
          </w:tcPr>
          <w:p>
            <w:pPr>
              <w:spacing w:after="0"/>
              <w:rPr>
                <w:sz w:val="22"/>
                <w:szCs w:val="22"/>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 Change in fair value of contingent consideration</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6.9</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0.2</w:t>
            </w:r>
          </w:p>
        </w:tc>
        <w:tc>
          <w:tcPr>
            <w:tcW w:w="20" w:type="dxa"/>
            <w:vAlign w:val="bottom"/>
          </w:tcPr>
          <w:p>
            <w:pPr>
              <w:spacing w:after="0"/>
              <w:rPr>
                <w:sz w:val="22"/>
                <w:szCs w:val="22"/>
                <w:color w:val="auto"/>
              </w:rPr>
            </w:pPr>
          </w:p>
        </w:tc>
      </w:tr>
      <w:tr>
        <w:trPr>
          <w:trHeight w:val="257"/>
        </w:trPr>
        <w:tc>
          <w:tcPr>
            <w:tcW w:w="66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10.1</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5.4</w:t>
            </w:r>
          </w:p>
        </w:tc>
        <w:tc>
          <w:tcPr>
            <w:tcW w:w="20" w:type="dxa"/>
            <w:vAlign w:val="bottom"/>
          </w:tcPr>
          <w:p>
            <w:pPr>
              <w:spacing w:after="0"/>
              <w:rPr>
                <w:sz w:val="22"/>
                <w:szCs w:val="22"/>
                <w:color w:val="auto"/>
              </w:rPr>
            </w:pPr>
          </w:p>
        </w:tc>
      </w:tr>
      <w:tr>
        <w:trPr>
          <w:trHeight w:val="270"/>
        </w:trPr>
        <w:tc>
          <w:tcPr>
            <w:tcW w:w="66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$106.4</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$39.1</w:t>
            </w:r>
          </w:p>
        </w:tc>
        <w:tc>
          <w:tcPr>
            <w:tcW w:w="20" w:type="dxa"/>
            <w:vAlign w:val="bottom"/>
          </w:tcPr>
          <w:p>
            <w:pPr>
              <w:spacing w:after="0"/>
              <w:rPr>
                <w:sz w:val="23"/>
                <w:szCs w:val="23"/>
                <w:color w:val="auto"/>
              </w:rPr>
            </w:pPr>
          </w:p>
        </w:tc>
      </w:tr>
      <w:tr>
        <w:trPr>
          <w:trHeight w:val="453"/>
        </w:trPr>
        <w:tc>
          <w:tcPr>
            <w:tcW w:w="662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 Includes interest income of $0.6 million in 2019 and $0.7 million in 2018</w:t>
            </w:r>
          </w:p>
        </w:tc>
        <w:tc>
          <w:tcPr>
            <w:tcW w:w="2340" w:type="dxa"/>
            <w:vAlign w:val="bottom"/>
            <w:shd w:val="clear" w:color="auto" w:fill="CCCCCC"/>
          </w:tcPr>
          <w:p>
            <w:pPr>
              <w:spacing w:after="0"/>
              <w:rPr>
                <w:sz w:val="24"/>
                <w:szCs w:val="24"/>
                <w:color w:val="auto"/>
              </w:rPr>
            </w:pPr>
          </w:p>
        </w:tc>
        <w:tc>
          <w:tcPr>
            <w:tcW w:w="2260" w:type="dxa"/>
            <w:vAlign w:val="bottom"/>
            <w:shd w:val="clear" w:color="auto" w:fill="CCCCCC"/>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9"/>
        </w:trPr>
        <w:tc>
          <w:tcPr>
            <w:tcW w:w="140" w:type="dxa"/>
            <w:vAlign w:val="bottom"/>
          </w:tcPr>
          <w:p>
            <w:pPr>
              <w:spacing w:after="0"/>
              <w:rPr>
                <w:sz w:val="21"/>
                <w:szCs w:val="21"/>
                <w:color w:val="auto"/>
              </w:rPr>
            </w:pPr>
          </w:p>
        </w:tc>
        <w:tc>
          <w:tcPr>
            <w:tcW w:w="6480" w:type="dxa"/>
            <w:vAlign w:val="bottom"/>
            <w:shd w:val="clear" w:color="auto" w:fill="0F243E"/>
          </w:tcPr>
          <w:p>
            <w:pPr>
              <w:spacing w:after="0"/>
              <w:rPr>
                <w:sz w:val="21"/>
                <w:szCs w:val="21"/>
                <w:color w:val="auto"/>
              </w:rPr>
            </w:pPr>
          </w:p>
        </w:tc>
        <w:tc>
          <w:tcPr>
            <w:tcW w:w="4600" w:type="dxa"/>
            <w:vAlign w:val="bottom"/>
            <w:gridSpan w:val="2"/>
            <w:shd w:val="clear" w:color="auto" w:fill="0F243E"/>
          </w:tcPr>
          <w:p>
            <w:pPr>
              <w:jc w:val="right"/>
              <w:ind w:right="779"/>
              <w:spacing w:after="0"/>
              <w:rPr>
                <w:sz w:val="20"/>
                <w:szCs w:val="20"/>
                <w:color w:val="auto"/>
              </w:rPr>
            </w:pPr>
            <w:r>
              <w:rPr>
                <w:rFonts w:ascii="Arial" w:cs="Arial" w:eastAsia="Arial" w:hAnsi="Arial"/>
                <w:sz w:val="16"/>
                <w:szCs w:val="16"/>
                <w:b w:val="1"/>
                <w:bCs w:val="1"/>
                <w:color w:val="FFFFFF"/>
              </w:rPr>
              <w:t>Nine Months Ended September 30,</w:t>
            </w:r>
          </w:p>
        </w:tc>
        <w:tc>
          <w:tcPr>
            <w:tcW w:w="20" w:type="dxa"/>
            <w:vAlign w:val="bottom"/>
            <w:shd w:val="clear" w:color="auto" w:fill="0F243E"/>
          </w:tcPr>
          <w:p>
            <w:pPr>
              <w:spacing w:after="0"/>
              <w:rPr>
                <w:sz w:val="21"/>
                <w:szCs w:val="21"/>
                <w:color w:val="auto"/>
              </w:rPr>
            </w:pPr>
          </w:p>
        </w:tc>
      </w:tr>
      <w:tr>
        <w:trPr>
          <w:trHeight w:val="264"/>
        </w:trPr>
        <w:tc>
          <w:tcPr>
            <w:tcW w:w="140" w:type="dxa"/>
            <w:vAlign w:val="bottom"/>
          </w:tcPr>
          <w:p>
            <w:pPr>
              <w:spacing w:after="0"/>
              <w:rPr>
                <w:sz w:val="22"/>
                <w:szCs w:val="22"/>
                <w:color w:val="auto"/>
              </w:rPr>
            </w:pPr>
          </w:p>
        </w:tc>
        <w:tc>
          <w:tcPr>
            <w:tcW w:w="6480" w:type="dxa"/>
            <w:vAlign w:val="bottom"/>
            <w:shd w:val="clear" w:color="auto" w:fill="0F243E"/>
          </w:tcPr>
          <w:p>
            <w:pPr>
              <w:ind w:left="20"/>
              <w:spacing w:after="0"/>
              <w:rPr>
                <w:sz w:val="20"/>
                <w:szCs w:val="20"/>
                <w:color w:val="auto"/>
              </w:rPr>
            </w:pPr>
            <w:r>
              <w:rPr>
                <w:rFonts w:ascii="Arial" w:cs="Arial" w:eastAsia="Arial" w:hAnsi="Arial"/>
                <w:sz w:val="16"/>
                <w:szCs w:val="16"/>
                <w:i w:val="1"/>
                <w:iCs w:val="1"/>
                <w:color w:val="FFFFFF"/>
              </w:rPr>
              <w:t>(in millions, except per share value)</w:t>
            </w:r>
          </w:p>
        </w:tc>
        <w:tc>
          <w:tcPr>
            <w:tcW w:w="2340" w:type="dxa"/>
            <w:vAlign w:val="bottom"/>
            <w:shd w:val="clear" w:color="auto" w:fill="0F243E"/>
          </w:tcPr>
          <w:p>
            <w:pPr>
              <w:jc w:val="right"/>
              <w:ind w:right="779"/>
              <w:spacing w:after="0"/>
              <w:rPr>
                <w:sz w:val="20"/>
                <w:szCs w:val="20"/>
                <w:color w:val="auto"/>
              </w:rPr>
            </w:pPr>
            <w:r>
              <w:rPr>
                <w:rFonts w:ascii="Arial" w:cs="Arial" w:eastAsia="Arial" w:hAnsi="Arial"/>
                <w:sz w:val="16"/>
                <w:szCs w:val="16"/>
                <w:b w:val="1"/>
                <w:bCs w:val="1"/>
                <w:color w:val="FFFFFF"/>
              </w:rPr>
              <w:t>2019</w:t>
            </w:r>
          </w:p>
        </w:tc>
        <w:tc>
          <w:tcPr>
            <w:tcW w:w="2260" w:type="dxa"/>
            <w:vAlign w:val="bottom"/>
            <w:shd w:val="clear" w:color="auto" w:fill="0F243E"/>
          </w:tcPr>
          <w:p>
            <w:pPr>
              <w:jc w:val="right"/>
              <w:ind w:right="839"/>
              <w:spacing w:after="0"/>
              <w:rPr>
                <w:sz w:val="20"/>
                <w:szCs w:val="20"/>
                <w:color w:val="auto"/>
              </w:rPr>
            </w:pPr>
            <w:r>
              <w:rPr>
                <w:rFonts w:ascii="Arial" w:cs="Arial" w:eastAsia="Arial" w:hAnsi="Arial"/>
                <w:sz w:val="16"/>
                <w:szCs w:val="16"/>
                <w:b w:val="1"/>
                <w:bCs w:val="1"/>
                <w:color w:val="FFFFFF"/>
              </w:rPr>
              <w:t>2018</w:t>
            </w:r>
          </w:p>
        </w:tc>
        <w:tc>
          <w:tcPr>
            <w:tcW w:w="20" w:type="dxa"/>
            <w:vAlign w:val="bottom"/>
            <w:shd w:val="clear" w:color="auto" w:fill="0F243E"/>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648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Net Income</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$7.6</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$66.2</w:t>
            </w:r>
          </w:p>
        </w:tc>
        <w:tc>
          <w:tcPr>
            <w:tcW w:w="20" w:type="dxa"/>
            <w:vAlign w:val="bottom"/>
            <w:shd w:val="clear" w:color="auto" w:fill="CCCCCC"/>
          </w:tcPr>
          <w:p>
            <w:pPr>
              <w:spacing w:after="0"/>
              <w:rPr>
                <w:sz w:val="22"/>
                <w:szCs w:val="22"/>
                <w:color w:val="auto"/>
              </w:rPr>
            </w:pPr>
          </w:p>
        </w:tc>
      </w:tr>
      <w:tr>
        <w:trPr>
          <w:trHeight w:val="262"/>
        </w:trPr>
        <w:tc>
          <w:tcPr>
            <w:tcW w:w="140" w:type="dxa"/>
            <w:vAlign w:val="bottom"/>
          </w:tcPr>
          <w:p>
            <w:pPr>
              <w:spacing w:after="0"/>
              <w:rPr>
                <w:sz w:val="22"/>
                <w:szCs w:val="22"/>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Adjustments:</w:t>
            </w:r>
          </w:p>
        </w:tc>
        <w:tc>
          <w:tcPr>
            <w:tcW w:w="2340" w:type="dxa"/>
            <w:vAlign w:val="bottom"/>
            <w:shd w:val="clear" w:color="auto" w:fill="CCCCCC"/>
          </w:tcPr>
          <w:p>
            <w:pPr>
              <w:spacing w:after="0"/>
              <w:rPr>
                <w:sz w:val="22"/>
                <w:szCs w:val="22"/>
                <w:color w:val="auto"/>
              </w:rPr>
            </w:pPr>
          </w:p>
        </w:tc>
        <w:tc>
          <w:tcPr>
            <w:tcW w:w="2260" w:type="dxa"/>
            <w:vAlign w:val="bottom"/>
            <w:shd w:val="clear" w:color="auto" w:fill="CCCCCC"/>
          </w:tcPr>
          <w:p>
            <w:pPr>
              <w:spacing w:after="0"/>
              <w:rPr>
                <w:sz w:val="22"/>
                <w:szCs w:val="22"/>
                <w:color w:val="auto"/>
              </w:rPr>
            </w:pPr>
          </w:p>
        </w:tc>
        <w:tc>
          <w:tcPr>
            <w:tcW w:w="20" w:type="dxa"/>
            <w:vAlign w:val="bottom"/>
            <w:shd w:val="clear" w:color="auto" w:fill="CCCCCC"/>
          </w:tcPr>
          <w:p>
            <w:pPr>
              <w:spacing w:after="0"/>
              <w:rPr>
                <w:sz w:val="22"/>
                <w:szCs w:val="22"/>
                <w:color w:val="auto"/>
              </w:rPr>
            </w:pPr>
          </w:p>
        </w:tc>
      </w:tr>
      <w:tr>
        <w:trPr>
          <w:trHeight w:val="265"/>
        </w:trPr>
        <w:tc>
          <w:tcPr>
            <w:tcW w:w="140" w:type="dxa"/>
            <w:vAlign w:val="bottom"/>
          </w:tcPr>
          <w:p>
            <w:pPr>
              <w:spacing w:after="0"/>
              <w:rPr>
                <w:sz w:val="23"/>
                <w:szCs w:val="23"/>
                <w:color w:val="auto"/>
              </w:rPr>
            </w:pPr>
          </w:p>
        </w:tc>
        <w:tc>
          <w:tcPr>
            <w:tcW w:w="64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Depreciation &amp; amortization</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82.8</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36.8</w:t>
            </w:r>
          </w:p>
        </w:tc>
        <w:tc>
          <w:tcPr>
            <w:tcW w:w="20" w:type="dxa"/>
            <w:vAlign w:val="bottom"/>
            <w:shd w:val="clear" w:color="auto" w:fill="CCCCCC"/>
          </w:tcPr>
          <w:p>
            <w:pPr>
              <w:spacing w:after="0"/>
              <w:rPr>
                <w:sz w:val="23"/>
                <w:szCs w:val="23"/>
                <w:color w:val="auto"/>
              </w:rPr>
            </w:pPr>
          </w:p>
        </w:tc>
      </w:tr>
      <w:tr>
        <w:trPr>
          <w:trHeight w:val="257"/>
        </w:trPr>
        <w:tc>
          <w:tcPr>
            <w:tcW w:w="140" w:type="dxa"/>
            <w:vAlign w:val="bottom"/>
          </w:tcPr>
          <w:p>
            <w:pPr>
              <w:spacing w:after="0"/>
              <w:rPr>
                <w:sz w:val="22"/>
                <w:szCs w:val="22"/>
                <w:color w:val="auto"/>
              </w:rPr>
            </w:pPr>
          </w:p>
        </w:tc>
        <w:tc>
          <w:tcPr>
            <w:tcW w:w="64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Total interest expense, net*</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27.6</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0.7</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64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Income tax (benefit)/expense</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(1.7)</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11.8</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648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Total Adjustments</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108.7</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49.3</w:t>
            </w:r>
          </w:p>
        </w:tc>
        <w:tc>
          <w:tcPr>
            <w:tcW w:w="20" w:type="dxa"/>
            <w:vAlign w:val="bottom"/>
            <w:shd w:val="clear" w:color="auto" w:fill="CCCCCC"/>
          </w:tcPr>
          <w:p>
            <w:pPr>
              <w:spacing w:after="0"/>
              <w:rPr>
                <w:sz w:val="22"/>
                <w:szCs w:val="22"/>
                <w:color w:val="auto"/>
              </w:rPr>
            </w:pPr>
          </w:p>
        </w:tc>
      </w:tr>
      <w:tr>
        <w:trPr>
          <w:trHeight w:val="270"/>
        </w:trPr>
        <w:tc>
          <w:tcPr>
            <w:tcW w:w="140" w:type="dxa"/>
            <w:vAlign w:val="bottom"/>
          </w:tcPr>
          <w:p>
            <w:pPr>
              <w:spacing w:after="0"/>
              <w:rPr>
                <w:sz w:val="23"/>
                <w:szCs w:val="23"/>
                <w:color w:val="auto"/>
              </w:rPr>
            </w:pPr>
          </w:p>
        </w:tc>
        <w:tc>
          <w:tcPr>
            <w:tcW w:w="648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EBITDA</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$116.3</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$115.5</w:t>
            </w:r>
          </w:p>
        </w:tc>
        <w:tc>
          <w:tcPr>
            <w:tcW w:w="20" w:type="dxa"/>
            <w:vAlign w:val="bottom"/>
            <w:shd w:val="clear" w:color="auto" w:fill="CCCCCC"/>
          </w:tcPr>
          <w:p>
            <w:pPr>
              <w:spacing w:after="0"/>
              <w:rPr>
                <w:sz w:val="23"/>
                <w:szCs w:val="23"/>
                <w:color w:val="auto"/>
              </w:rPr>
            </w:pPr>
          </w:p>
        </w:tc>
      </w:tr>
      <w:tr>
        <w:trPr>
          <w:trHeight w:val="262"/>
        </w:trPr>
        <w:tc>
          <w:tcPr>
            <w:tcW w:w="140" w:type="dxa"/>
            <w:vAlign w:val="bottom"/>
          </w:tcPr>
          <w:p>
            <w:pPr>
              <w:spacing w:after="0"/>
              <w:rPr>
                <w:sz w:val="22"/>
                <w:szCs w:val="22"/>
                <w:color w:val="auto"/>
              </w:rPr>
            </w:pPr>
          </w:p>
        </w:tc>
        <w:tc>
          <w:tcPr>
            <w:tcW w:w="6480" w:type="dxa"/>
            <w:vAlign w:val="bottom"/>
            <w:shd w:val="clear" w:color="auto" w:fill="CCCCCC"/>
          </w:tcPr>
          <w:p>
            <w:pPr>
              <w:ind w:left="160"/>
              <w:spacing w:after="0"/>
              <w:rPr>
                <w:sz w:val="20"/>
                <w:szCs w:val="20"/>
                <w:color w:val="auto"/>
              </w:rPr>
            </w:pPr>
            <w:r>
              <w:rPr>
                <w:rFonts w:ascii="Arial" w:cs="Arial" w:eastAsia="Arial" w:hAnsi="Arial"/>
                <w:sz w:val="16"/>
                <w:szCs w:val="16"/>
                <w:color w:val="auto"/>
              </w:rPr>
              <w:t>Additional Adjustments:</w:t>
            </w:r>
          </w:p>
        </w:tc>
        <w:tc>
          <w:tcPr>
            <w:tcW w:w="2340" w:type="dxa"/>
            <w:vAlign w:val="bottom"/>
            <w:shd w:val="clear" w:color="auto" w:fill="CCCCCC"/>
          </w:tcPr>
          <w:p>
            <w:pPr>
              <w:spacing w:after="0"/>
              <w:rPr>
                <w:sz w:val="22"/>
                <w:szCs w:val="22"/>
                <w:color w:val="auto"/>
              </w:rPr>
            </w:pPr>
          </w:p>
        </w:tc>
        <w:tc>
          <w:tcPr>
            <w:tcW w:w="2260" w:type="dxa"/>
            <w:vAlign w:val="bottom"/>
            <w:shd w:val="clear" w:color="auto" w:fill="CCCCCC"/>
          </w:tcPr>
          <w:p>
            <w:pPr>
              <w:spacing w:after="0"/>
              <w:rPr>
                <w:sz w:val="22"/>
                <w:szCs w:val="22"/>
                <w:color w:val="auto"/>
              </w:rPr>
            </w:pPr>
          </w:p>
        </w:tc>
        <w:tc>
          <w:tcPr>
            <w:tcW w:w="20" w:type="dxa"/>
            <w:vAlign w:val="bottom"/>
            <w:shd w:val="clear" w:color="auto" w:fill="CCCCCC"/>
          </w:tcPr>
          <w:p>
            <w:pPr>
              <w:spacing w:after="0"/>
              <w:rPr>
                <w:sz w:val="22"/>
                <w:szCs w:val="22"/>
                <w:color w:val="auto"/>
              </w:rPr>
            </w:pPr>
          </w:p>
        </w:tc>
      </w:tr>
      <w:tr>
        <w:trPr>
          <w:trHeight w:val="265"/>
        </w:trPr>
        <w:tc>
          <w:tcPr>
            <w:tcW w:w="140" w:type="dxa"/>
            <w:vAlign w:val="bottom"/>
          </w:tcPr>
          <w:p>
            <w:pPr>
              <w:spacing w:after="0"/>
              <w:rPr>
                <w:sz w:val="23"/>
                <w:szCs w:val="23"/>
                <w:color w:val="auto"/>
              </w:rPr>
            </w:pPr>
          </w:p>
        </w:tc>
        <w:tc>
          <w:tcPr>
            <w:tcW w:w="64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&amp; integration)</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10.6</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6.8</w:t>
            </w:r>
          </w:p>
        </w:tc>
        <w:tc>
          <w:tcPr>
            <w:tcW w:w="20" w:type="dxa"/>
            <w:vAlign w:val="bottom"/>
            <w:shd w:val="clear" w:color="auto" w:fill="CCCCCC"/>
          </w:tcPr>
          <w:p>
            <w:pPr>
              <w:spacing w:after="0"/>
              <w:rPr>
                <w:sz w:val="23"/>
                <w:szCs w:val="23"/>
                <w:color w:val="auto"/>
              </w:rPr>
            </w:pPr>
          </w:p>
        </w:tc>
      </w:tr>
      <w:tr>
        <w:trPr>
          <w:trHeight w:val="257"/>
        </w:trPr>
        <w:tc>
          <w:tcPr>
            <w:tcW w:w="140" w:type="dxa"/>
            <w:vAlign w:val="bottom"/>
          </w:tcPr>
          <w:p>
            <w:pPr>
              <w:spacing w:after="0"/>
              <w:rPr>
                <w:sz w:val="22"/>
                <w:szCs w:val="22"/>
                <w:color w:val="auto"/>
              </w:rPr>
            </w:pPr>
          </w:p>
        </w:tc>
        <w:tc>
          <w:tcPr>
            <w:tcW w:w="64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Impact of purchase accounting on inventory step-up</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6.1</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64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 in fair value of contingent consideration</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12.4</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CCCC"/>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648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Total Additional Adjustments</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29.1</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9.1</w:t>
            </w:r>
          </w:p>
        </w:tc>
        <w:tc>
          <w:tcPr>
            <w:tcW w:w="20" w:type="dxa"/>
            <w:vAlign w:val="bottom"/>
            <w:shd w:val="clear" w:color="auto" w:fill="CCCCCC"/>
          </w:tcPr>
          <w:p>
            <w:pPr>
              <w:spacing w:after="0"/>
              <w:rPr>
                <w:sz w:val="22"/>
                <w:szCs w:val="22"/>
                <w:color w:val="auto"/>
              </w:rPr>
            </w:pPr>
          </w:p>
        </w:tc>
      </w:tr>
      <w:tr>
        <w:trPr>
          <w:trHeight w:val="270"/>
        </w:trPr>
        <w:tc>
          <w:tcPr>
            <w:tcW w:w="140" w:type="dxa"/>
            <w:vAlign w:val="bottom"/>
          </w:tcPr>
          <w:p>
            <w:pPr>
              <w:spacing w:after="0"/>
              <w:rPr>
                <w:sz w:val="23"/>
                <w:szCs w:val="23"/>
                <w:color w:val="auto"/>
              </w:rPr>
            </w:pPr>
          </w:p>
        </w:tc>
        <w:tc>
          <w:tcPr>
            <w:tcW w:w="648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Adjusted EBITDA</w:t>
            </w:r>
          </w:p>
        </w:tc>
        <w:tc>
          <w:tcPr>
            <w:tcW w:w="23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$145.4</w:t>
            </w:r>
          </w:p>
        </w:tc>
        <w:tc>
          <w:tcPr>
            <w:tcW w:w="226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$124.6</w:t>
            </w:r>
          </w:p>
        </w:tc>
        <w:tc>
          <w:tcPr>
            <w:tcW w:w="20" w:type="dxa"/>
            <w:vAlign w:val="bottom"/>
            <w:shd w:val="clear" w:color="auto" w:fill="CCCCCC"/>
          </w:tcPr>
          <w:p>
            <w:pPr>
              <w:spacing w:after="0"/>
              <w:rPr>
                <w:sz w:val="23"/>
                <w:szCs w:val="23"/>
                <w:color w:val="auto"/>
              </w:rPr>
            </w:pPr>
          </w:p>
        </w:tc>
      </w:tr>
      <w:tr>
        <w:trPr>
          <w:trHeight w:val="426"/>
        </w:trPr>
        <w:tc>
          <w:tcPr>
            <w:tcW w:w="140" w:type="dxa"/>
            <w:vAlign w:val="bottom"/>
          </w:tcPr>
          <w:p>
            <w:pPr>
              <w:spacing w:after="0"/>
              <w:rPr>
                <w:sz w:val="24"/>
                <w:szCs w:val="24"/>
                <w:color w:val="auto"/>
              </w:rPr>
            </w:pPr>
          </w:p>
        </w:tc>
        <w:tc>
          <w:tcPr>
            <w:tcW w:w="648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 Includes interest income of $1.7 million in 2019 and $1.2 million in 2018</w:t>
            </w:r>
          </w:p>
        </w:tc>
        <w:tc>
          <w:tcPr>
            <w:tcW w:w="2340" w:type="dxa"/>
            <w:vAlign w:val="bottom"/>
            <w:shd w:val="clear" w:color="auto" w:fill="CCCCCC"/>
          </w:tcPr>
          <w:p>
            <w:pPr>
              <w:spacing w:after="0"/>
              <w:rPr>
                <w:sz w:val="24"/>
                <w:szCs w:val="24"/>
                <w:color w:val="auto"/>
              </w:rPr>
            </w:pPr>
          </w:p>
        </w:tc>
        <w:tc>
          <w:tcPr>
            <w:tcW w:w="226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-2752090</wp:posOffset>
            </wp:positionV>
            <wp:extent cx="7058025" cy="2761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8025" cy="2761615"/>
                    </a:xfrm>
                    <a:prstGeom prst="rect">
                      <a:avLst/>
                    </a:prstGeom>
                    <a:noFill/>
                  </pic:spPr>
                </pic:pic>
              </a:graphicData>
            </a:graphic>
          </wp:anchor>
        </w:drawing>
      </w:r>
    </w:p>
    <w:p>
      <w:pPr>
        <w:sectPr>
          <w:pgSz w:w="11900" w:h="16838" w:orient="portrait"/>
          <w:cols w:equalWidth="0" w:num="1">
            <w:col w:w="11320"/>
          </w:cols>
          <w:pgMar w:left="240" w:top="518"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14 of 15</w:t>
      </w:r>
    </w:p>
    <w:p>
      <w:pPr>
        <w:sectPr>
          <w:pgSz w:w="11900" w:h="16838" w:orient="portrait"/>
          <w:cols w:equalWidth="0" w:num="1">
            <w:col w:w="11320"/>
          </w:cols>
          <w:pgMar w:left="240" w:top="518"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9"/>
        </w:trPr>
        <w:tc>
          <w:tcPr>
            <w:tcW w:w="4760" w:type="dxa"/>
            <w:vAlign w:val="bottom"/>
            <w:shd w:val="clear" w:color="auto" w:fill="0F243E"/>
          </w:tcPr>
          <w:p>
            <w:pPr>
              <w:spacing w:after="0"/>
              <w:rPr>
                <w:sz w:val="18"/>
                <w:szCs w:val="18"/>
                <w:color w:val="auto"/>
              </w:rPr>
            </w:pPr>
          </w:p>
        </w:tc>
        <w:tc>
          <w:tcPr>
            <w:tcW w:w="6460" w:type="dxa"/>
            <w:vAlign w:val="bottom"/>
            <w:shd w:val="clear" w:color="auto" w:fill="0F243E"/>
          </w:tcPr>
          <w:p>
            <w:pPr>
              <w:jc w:val="center"/>
              <w:ind w:left="3339"/>
              <w:spacing w:after="0"/>
              <w:rPr>
                <w:sz w:val="20"/>
                <w:szCs w:val="20"/>
                <w:color w:val="auto"/>
              </w:rPr>
            </w:pPr>
            <w:r>
              <w:rPr>
                <w:rFonts w:ascii="Arial" w:cs="Arial" w:eastAsia="Arial" w:hAnsi="Arial"/>
                <w:sz w:val="16"/>
                <w:szCs w:val="16"/>
                <w:b w:val="1"/>
                <w:bCs w:val="1"/>
                <w:color w:val="FFFFFF"/>
              </w:rPr>
              <w:t>Full Year</w:t>
            </w:r>
          </w:p>
        </w:tc>
      </w:tr>
      <w:tr>
        <w:trPr>
          <w:trHeight w:val="229"/>
        </w:trPr>
        <w:tc>
          <w:tcPr>
            <w:tcW w:w="4760" w:type="dxa"/>
            <w:vAlign w:val="bottom"/>
            <w:shd w:val="clear" w:color="auto" w:fill="0F243E"/>
          </w:tcPr>
          <w:p>
            <w:pPr>
              <w:spacing w:after="0"/>
              <w:rPr>
                <w:sz w:val="19"/>
                <w:szCs w:val="19"/>
                <w:color w:val="auto"/>
              </w:rPr>
            </w:pPr>
          </w:p>
        </w:tc>
        <w:tc>
          <w:tcPr>
            <w:tcW w:w="6460" w:type="dxa"/>
            <w:vAlign w:val="bottom"/>
            <w:shd w:val="clear" w:color="auto" w:fill="0F243E"/>
          </w:tcPr>
          <w:p>
            <w:pPr>
              <w:jc w:val="center"/>
              <w:ind w:left="3339"/>
              <w:spacing w:after="0"/>
              <w:rPr>
                <w:sz w:val="20"/>
                <w:szCs w:val="20"/>
                <w:color w:val="auto"/>
              </w:rPr>
            </w:pPr>
            <w:r>
              <w:rPr>
                <w:rFonts w:ascii="Arial" w:cs="Arial" w:eastAsia="Arial" w:hAnsi="Arial"/>
                <w:sz w:val="16"/>
                <w:szCs w:val="16"/>
                <w:b w:val="1"/>
                <w:bCs w:val="1"/>
                <w:color w:val="FFFFFF"/>
              </w:rPr>
              <w:t>Forecast</w:t>
            </w:r>
          </w:p>
        </w:tc>
      </w:tr>
      <w:tr>
        <w:trPr>
          <w:trHeight w:val="264"/>
        </w:trPr>
        <w:tc>
          <w:tcPr>
            <w:tcW w:w="476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6460" w:type="dxa"/>
            <w:vAlign w:val="bottom"/>
            <w:shd w:val="clear" w:color="auto" w:fill="0F243E"/>
          </w:tcPr>
          <w:p>
            <w:pPr>
              <w:jc w:val="center"/>
              <w:ind w:left="3359"/>
              <w:spacing w:after="0"/>
              <w:rPr>
                <w:sz w:val="20"/>
                <w:szCs w:val="20"/>
                <w:color w:val="auto"/>
              </w:rPr>
            </w:pPr>
            <w:r>
              <w:rPr>
                <w:rFonts w:ascii="Arial" w:cs="Arial" w:eastAsia="Arial" w:hAnsi="Arial"/>
                <w:sz w:val="16"/>
                <w:szCs w:val="16"/>
                <w:b w:val="1"/>
                <w:bCs w:val="1"/>
                <w:color w:val="FFFFFF"/>
              </w:rPr>
              <w:t>2019F</w:t>
            </w:r>
          </w:p>
        </w:tc>
      </w:tr>
      <w:tr>
        <w:trPr>
          <w:trHeight w:val="249"/>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$80 - $110</w:t>
            </w:r>
          </w:p>
        </w:tc>
      </w:tr>
      <w:tr>
        <w:trPr>
          <w:trHeight w:val="249"/>
        </w:trPr>
        <w:tc>
          <w:tcPr>
            <w:tcW w:w="476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Adjustments:</w:t>
            </w:r>
          </w:p>
        </w:tc>
        <w:tc>
          <w:tcPr>
            <w:tcW w:w="6460" w:type="dxa"/>
            <w:vAlign w:val="bottom"/>
            <w:shd w:val="clear" w:color="auto" w:fill="CCCCCC"/>
          </w:tcPr>
          <w:p>
            <w:pPr>
              <w:spacing w:after="0"/>
              <w:rPr>
                <w:sz w:val="21"/>
                <w:szCs w:val="21"/>
                <w:color w:val="auto"/>
              </w:rPr>
            </w:pPr>
          </w:p>
        </w:tc>
      </w:tr>
      <w:tr>
        <w:trPr>
          <w:trHeight w:val="265"/>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Depreciation &amp; amortization</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105</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Provision for income taxes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28</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Total interest expense</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37</w:t>
            </w:r>
          </w:p>
        </w:tc>
      </w:tr>
      <w:tr>
        <w:trPr>
          <w:trHeight w:val="25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170</w:t>
            </w:r>
          </w:p>
        </w:tc>
      </w:tr>
      <w:tr>
        <w:trPr>
          <w:trHeight w:val="25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$250 - $280</w:t>
            </w:r>
          </w:p>
        </w:tc>
      </w:tr>
      <w:tr>
        <w:trPr>
          <w:trHeight w:val="249"/>
        </w:trPr>
        <w:tc>
          <w:tcPr>
            <w:tcW w:w="476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Additional Adjustments:</w:t>
            </w:r>
          </w:p>
        </w:tc>
        <w:tc>
          <w:tcPr>
            <w:tcW w:w="6460" w:type="dxa"/>
            <w:vAlign w:val="bottom"/>
            <w:shd w:val="clear" w:color="auto" w:fill="CCCCCC"/>
          </w:tcPr>
          <w:p>
            <w:pPr>
              <w:spacing w:after="0"/>
              <w:rPr>
                <w:sz w:val="21"/>
                <w:szCs w:val="21"/>
                <w:color w:val="auto"/>
              </w:rPr>
            </w:pPr>
          </w:p>
        </w:tc>
      </w:tr>
      <w:tr>
        <w:trPr>
          <w:trHeight w:val="265"/>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11</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6</w:t>
            </w:r>
          </w:p>
        </w:tc>
      </w:tr>
      <w:tr>
        <w:trPr>
          <w:trHeight w:val="257"/>
        </w:trPr>
        <w:tc>
          <w:tcPr>
            <w:tcW w:w="476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Change in fair value of contingent consideration</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13</w:t>
            </w:r>
          </w:p>
        </w:tc>
      </w:tr>
      <w:tr>
        <w:trPr>
          <w:trHeight w:val="257"/>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30</w:t>
            </w:r>
          </w:p>
        </w:tc>
      </w:tr>
      <w:tr>
        <w:trPr>
          <w:trHeight w:val="264"/>
        </w:trPr>
        <w:tc>
          <w:tcPr>
            <w:tcW w:w="476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646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$280 - $310</w:t>
            </w:r>
          </w:p>
        </w:tc>
      </w:tr>
      <w:tr>
        <w:trPr>
          <w:trHeight w:val="669"/>
        </w:trPr>
        <w:tc>
          <w:tcPr>
            <w:tcW w:w="4760" w:type="dxa"/>
            <w:vAlign w:val="bottom"/>
          </w:tcPr>
          <w:p>
            <w:pPr>
              <w:spacing w:after="0"/>
              <w:rPr>
                <w:sz w:val="24"/>
                <w:szCs w:val="24"/>
                <w:color w:val="auto"/>
              </w:rPr>
            </w:pPr>
          </w:p>
        </w:tc>
        <w:tc>
          <w:tcPr>
            <w:tcW w:w="6460" w:type="dxa"/>
            <w:vAlign w:val="bottom"/>
          </w:tcPr>
          <w:p>
            <w:pPr>
              <w:jc w:val="right"/>
              <w:ind w:right="5239"/>
              <w:spacing w:after="0"/>
              <w:rPr>
                <w:sz w:val="20"/>
                <w:szCs w:val="20"/>
                <w:color w:val="auto"/>
              </w:rPr>
            </w:pPr>
            <w:r>
              <w:rPr>
                <w:rFonts w:ascii="Times New Roman" w:cs="Times New Roman" w:eastAsia="Times New Roman" w:hAnsi="Times New Roman"/>
                <w:sz w:val="16"/>
                <w:szCs w:val="16"/>
                <w:color w:val="auto"/>
              </w:rPr>
              <w:t>15 of 15</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328930</wp:posOffset>
            </wp:positionV>
            <wp:extent cx="7126605" cy="257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6605" cy="2573020"/>
                    </a:xfrm>
                    <a:prstGeom prst="rect">
                      <a:avLst/>
                    </a:prstGeom>
                    <a:noFill/>
                  </pic:spPr>
                </pic:pic>
              </a:graphicData>
            </a:graphic>
          </wp:anchor>
        </w:drawing>
      </w:r>
    </w:p>
    <w:sectPr>
      <w:pgSz w:w="11900" w:h="16838" w:orient="portrait"/>
      <w:cols w:equalWidth="0" w:num="1">
        <w:col w:w="11220"/>
      </w:cols>
      <w:pgMar w:left="320" w:top="5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99"/>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upperLetter"/>
      <w:start w:val="9"/>
    </w:lvl>
  </w:abstractNum>
  <w:abstractNum w:abstractNumId="6">
    <w:nsid w:val="7545E146"/>
    <w:multiLevelType w:val="hybridMultilevel"/>
    <w:lvl w:ilvl="0">
      <w:lvlJc w:val="left"/>
      <w:lvlText w:val="(%1)"/>
      <w:numFmt w:val="upperLetter"/>
      <w:start w:val="35"/>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2019-12-28T02:20:45Z</dcterms:created>
  <dcterms:modified xsi:type="dcterms:W3CDTF">2019-12-28T02:20:45Z</dcterms:modified>
</cp:coreProperties>
</file>