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5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July 18, 2012</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88"/>
        </w:trPr>
        <w:tc>
          <w:tcPr>
            <w:tcW w:w="6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20850</w:t>
            </w:r>
          </w:p>
        </w:tc>
      </w:tr>
      <w:tr>
        <w:trPr>
          <w:trHeight w:val="230"/>
        </w:trPr>
        <w:tc>
          <w:tcPr>
            <w:tcW w:w="418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18, 2012, Emergent BioDefense Operations Lansing LLC, a wholly-owned subsidiary of Emergent BioSolutions Inc., entered into a modification of its contract, dated July 13, 2010, with the Biomedical Advanced Research and Development Authority of the U.S. Department of Health and Human Services, related to large-scale manufacturing of BioThrax at the Company’s vaccine manufacturing facility in Lansing, Michigan. The modification exercised options that include, among other things, biologics licensing application activities and clinical, feasibility and stability studies. The modification increased the value of the contract by approximately $38 million and extended the contract period of performance to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Date: July 25, 2012</w:t>
            </w:r>
          </w:p>
        </w:tc>
        <w:tc>
          <w:tcPr>
            <w:tcW w:w="7800" w:type="dxa"/>
            <w:vAlign w:val="bottom"/>
            <w:gridSpan w:val="3"/>
          </w:tcPr>
          <w:p>
            <w:pPr>
              <w:ind w:left="216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20" w:type="dxa"/>
            <w:vAlign w:val="bottom"/>
          </w:tcPr>
          <w:p>
            <w:pPr>
              <w:spacing w:after="0"/>
              <w:rPr>
                <w:sz w:val="16"/>
                <w:szCs w:val="16"/>
                <w:color w:val="auto"/>
              </w:rPr>
            </w:pPr>
          </w:p>
        </w:tc>
        <w:tc>
          <w:tcPr>
            <w:tcW w:w="7800" w:type="dxa"/>
            <w:vAlign w:val="bottom"/>
            <w:gridSpan w:val="3"/>
          </w:tcPr>
          <w:p>
            <w:pPr>
              <w:ind w:left="2480"/>
              <w:spacing w:after="0" w:line="190" w:lineRule="exact"/>
              <w:rPr>
                <w:sz w:val="20"/>
                <w:szCs w:val="20"/>
                <w:color w:val="auto"/>
              </w:rPr>
            </w:pPr>
            <w:r>
              <w:rPr>
                <w:rFonts w:ascii="Arial" w:cs="Arial" w:eastAsia="Arial" w:hAnsi="Arial"/>
                <w:sz w:val="18"/>
                <w:szCs w:val="18"/>
                <w:color w:val="auto"/>
              </w:rPr>
              <w:t>By:/s/Jay G. Reilly</w:t>
            </w:r>
          </w:p>
        </w:tc>
      </w:tr>
      <w:tr>
        <w:trPr>
          <w:trHeight w:val="222"/>
        </w:trPr>
        <w:tc>
          <w:tcPr>
            <w:tcW w:w="3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Jay G. Reilly</w:t>
            </w:r>
          </w:p>
        </w:tc>
        <w:tc>
          <w:tcPr>
            <w:tcW w:w="39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1361"/>
        </w:trPr>
        <w:tc>
          <w:tcPr>
            <w:tcW w:w="36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2019-12-09T18:00:59Z</dcterms:created>
  <dcterms:modified xsi:type="dcterms:W3CDTF">2019-12-09T18:00:59Z</dcterms:modified>
</cp:coreProperties>
</file>