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7"/>
        <w:spacing w:after="0"/>
        <w:rPr>
          <w:sz w:val="20"/>
          <w:szCs w:val="20"/>
          <w:color w:val="auto"/>
        </w:rPr>
      </w:pPr>
      <w:r>
        <w:rPr>
          <w:rFonts w:ascii="Arial" w:cs="Arial" w:eastAsia="Arial" w:hAnsi="Arial"/>
          <w:sz w:val="22"/>
          <w:szCs w:val="22"/>
          <w:b w:val="1"/>
          <w:bCs w:val="1"/>
          <w:color w:val="auto"/>
        </w:rPr>
        <w:t>UNITED STATES</w:t>
      </w:r>
    </w:p>
    <w:p>
      <w:pPr>
        <w:spacing w:after="0" w:line="18"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07"/>
        <w:spacing w:after="0"/>
        <w:rPr>
          <w:sz w:val="20"/>
          <w:szCs w:val="20"/>
          <w:color w:val="auto"/>
        </w:rPr>
      </w:pPr>
      <w:r>
        <w:rPr>
          <w:rFonts w:ascii="Arial" w:cs="Arial" w:eastAsia="Arial" w:hAnsi="Arial"/>
          <w:sz w:val="12"/>
          <w:szCs w:val="12"/>
          <w:b w:val="1"/>
          <w:bCs w:val="1"/>
          <w:color w:val="auto"/>
        </w:rPr>
        <w:t>WASHINGTON, D.C. 20549</w:t>
      </w:r>
    </w:p>
    <w:p>
      <w:pPr>
        <w:spacing w:after="0" w:line="130"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FORM 8-K</w:t>
      </w:r>
    </w:p>
    <w:p>
      <w:pPr>
        <w:spacing w:after="0" w:line="152"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CURRENT REPORT</w:t>
      </w:r>
    </w:p>
    <w:p>
      <w:pPr>
        <w:spacing w:after="0" w:line="154" w:lineRule="exact"/>
        <w:rPr>
          <w:sz w:val="24"/>
          <w:szCs w:val="24"/>
          <w:color w:val="auto"/>
        </w:rPr>
      </w:pPr>
    </w:p>
    <w:p>
      <w:pPr>
        <w:jc w:val="center"/>
        <w:ind w:right="-107"/>
        <w:spacing w:after="0"/>
        <w:rPr>
          <w:sz w:val="20"/>
          <w:szCs w:val="20"/>
          <w:color w:val="auto"/>
        </w:rPr>
      </w:pPr>
      <w:r>
        <w:rPr>
          <w:rFonts w:ascii="Arial" w:cs="Arial" w:eastAsia="Arial" w:hAnsi="Arial"/>
          <w:sz w:val="14"/>
          <w:szCs w:val="14"/>
          <w:b w:val="1"/>
          <w:bCs w:val="1"/>
          <w:color w:val="auto"/>
        </w:rPr>
        <w:t>Pursuant to Section 13 or 15(d) of the Securities Exchange Act of 1934</w:t>
      </w:r>
    </w:p>
    <w:p>
      <w:pPr>
        <w:spacing w:after="0" w:line="154"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Date of Report (Date of earliest event reported): July 29, 2021</w:t>
      </w:r>
    </w:p>
    <w:p>
      <w:pPr>
        <w:spacing w:after="0" w:line="140" w:lineRule="exact"/>
        <w:rPr>
          <w:sz w:val="24"/>
          <w:szCs w:val="24"/>
          <w:color w:val="auto"/>
        </w:rPr>
      </w:pPr>
    </w:p>
    <w:p>
      <w:pPr>
        <w:jc w:val="center"/>
        <w:ind w:right="-107"/>
        <w:spacing w:after="0"/>
        <w:rPr>
          <w:sz w:val="20"/>
          <w:szCs w:val="20"/>
          <w:color w:val="auto"/>
        </w:rPr>
      </w:pPr>
      <w:r>
        <w:rPr>
          <w:rFonts w:ascii="Arial" w:cs="Arial" w:eastAsia="Arial" w:hAnsi="Arial"/>
          <w:sz w:val="22"/>
          <w:szCs w:val="22"/>
          <w:b w:val="1"/>
          <w:bCs w:val="1"/>
          <w:color w:val="auto"/>
        </w:rPr>
        <w:t>EMERGENT BIOSOLUTIONS INC.</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(Exact name of registrant as specified in its charter)</w:t>
      </w:r>
    </w:p>
    <w:p>
      <w:pPr>
        <w:spacing w:after="0" w:line="226" w:lineRule="exact"/>
        <w:rPr>
          <w:sz w:val="24"/>
          <w:szCs w:val="24"/>
          <w:color w:val="auto"/>
        </w:rPr>
      </w:pPr>
    </w:p>
    <w:tbl>
      <w:tblPr>
        <w:tblLayout w:type="fixed"/>
        <w:tblInd w:w="1508" w:type="dxa"/>
        <w:tblCellMar>
          <w:top w:w="0" w:type="dxa"/>
          <w:left w:w="0" w:type="dxa"/>
          <w:bottom w:w="0" w:type="dxa"/>
          <w:right w:w="0" w:type="dxa"/>
        </w:tblCellMar>
      </w:tblPr>
      <w:tr>
        <w:trPr>
          <w:trHeight w:val="157"/>
        </w:trPr>
        <w:tc>
          <w:tcPr>
            <w:tcW w:w="2360" w:type="dxa"/>
            <w:vAlign w:val="bottom"/>
          </w:tcPr>
          <w:p>
            <w:pPr>
              <w:jc w:val="center"/>
              <w:ind w:right="1060"/>
              <w:spacing w:after="0"/>
              <w:rPr>
                <w:sz w:val="20"/>
                <w:szCs w:val="20"/>
                <w:color w:val="auto"/>
              </w:rPr>
            </w:pPr>
            <w:r>
              <w:rPr>
                <w:rFonts w:ascii="Arial" w:cs="Arial" w:eastAsia="Arial" w:hAnsi="Arial"/>
                <w:sz w:val="12"/>
                <w:szCs w:val="12"/>
                <w:b w:val="1"/>
                <w:bCs w:val="1"/>
                <w:color w:val="auto"/>
                <w:w w:val="91"/>
              </w:rPr>
              <w:t>Delaware</w:t>
            </w:r>
          </w:p>
        </w:tc>
        <w:tc>
          <w:tcPr>
            <w:tcW w:w="3640" w:type="dxa"/>
            <w:vAlign w:val="bottom"/>
          </w:tcPr>
          <w:p>
            <w:pPr>
              <w:jc w:val="right"/>
              <w:ind w:right="1560"/>
              <w:spacing w:after="0"/>
              <w:rPr>
                <w:sz w:val="20"/>
                <w:szCs w:val="20"/>
                <w:color w:val="auto"/>
              </w:rPr>
            </w:pPr>
            <w:r>
              <w:rPr>
                <w:rFonts w:ascii="Arial" w:cs="Arial" w:eastAsia="Arial" w:hAnsi="Arial"/>
                <w:sz w:val="12"/>
                <w:szCs w:val="12"/>
                <w:b w:val="1"/>
                <w:bCs w:val="1"/>
                <w:color w:val="auto"/>
              </w:rPr>
              <w:t>001-33137</w:t>
            </w:r>
          </w:p>
        </w:tc>
        <w:tc>
          <w:tcPr>
            <w:tcW w:w="2100" w:type="dxa"/>
            <w:vAlign w:val="bottom"/>
          </w:tcPr>
          <w:p>
            <w:pPr>
              <w:jc w:val="center"/>
              <w:ind w:left="1140"/>
              <w:spacing w:after="0"/>
              <w:rPr>
                <w:sz w:val="20"/>
                <w:szCs w:val="20"/>
                <w:color w:val="auto"/>
              </w:rPr>
            </w:pPr>
            <w:r>
              <w:rPr>
                <w:rFonts w:ascii="Arial" w:cs="Arial" w:eastAsia="Arial" w:hAnsi="Arial"/>
                <w:sz w:val="12"/>
                <w:szCs w:val="12"/>
                <w:b w:val="1"/>
                <w:bCs w:val="1"/>
                <w:color w:val="auto"/>
                <w:w w:val="90"/>
              </w:rPr>
              <w:t>14-1902018</w:t>
            </w:r>
          </w:p>
        </w:tc>
      </w:tr>
      <w:tr>
        <w:trPr>
          <w:trHeight w:val="153"/>
        </w:trPr>
        <w:tc>
          <w:tcPr>
            <w:tcW w:w="2360" w:type="dxa"/>
            <w:vAlign w:val="bottom"/>
          </w:tcPr>
          <w:p>
            <w:pPr>
              <w:jc w:val="center"/>
              <w:ind w:right="1040"/>
              <w:spacing w:after="0"/>
              <w:rPr>
                <w:sz w:val="20"/>
                <w:szCs w:val="20"/>
                <w:color w:val="auto"/>
              </w:rPr>
            </w:pPr>
            <w:r>
              <w:rPr>
                <w:rFonts w:ascii="Arial" w:cs="Arial" w:eastAsia="Arial" w:hAnsi="Arial"/>
                <w:sz w:val="12"/>
                <w:szCs w:val="12"/>
                <w:color w:val="auto"/>
                <w:w w:val="92"/>
              </w:rPr>
              <w:t>(State or other jurisdiction</w:t>
            </w:r>
          </w:p>
        </w:tc>
        <w:tc>
          <w:tcPr>
            <w:tcW w:w="3640" w:type="dxa"/>
            <w:vAlign w:val="bottom"/>
          </w:tcPr>
          <w:p>
            <w:pPr>
              <w:jc w:val="center"/>
              <w:ind w:right="60"/>
              <w:spacing w:after="0"/>
              <w:rPr>
                <w:sz w:val="20"/>
                <w:szCs w:val="20"/>
                <w:color w:val="auto"/>
              </w:rPr>
            </w:pPr>
            <w:r>
              <w:rPr>
                <w:rFonts w:ascii="Arial" w:cs="Arial" w:eastAsia="Arial" w:hAnsi="Arial"/>
                <w:sz w:val="12"/>
                <w:szCs w:val="12"/>
                <w:color w:val="auto"/>
                <w:w w:val="92"/>
              </w:rPr>
              <w:t>(Commission File Number)</w:t>
            </w:r>
          </w:p>
        </w:tc>
        <w:tc>
          <w:tcPr>
            <w:tcW w:w="2100" w:type="dxa"/>
            <w:vAlign w:val="bottom"/>
          </w:tcPr>
          <w:p>
            <w:pPr>
              <w:jc w:val="center"/>
              <w:ind w:left="1120"/>
              <w:spacing w:after="0"/>
              <w:rPr>
                <w:sz w:val="20"/>
                <w:szCs w:val="20"/>
                <w:color w:val="auto"/>
              </w:rPr>
            </w:pPr>
            <w:r>
              <w:rPr>
                <w:rFonts w:ascii="Arial" w:cs="Arial" w:eastAsia="Arial" w:hAnsi="Arial"/>
                <w:sz w:val="12"/>
                <w:szCs w:val="12"/>
                <w:color w:val="auto"/>
                <w:w w:val="92"/>
              </w:rPr>
              <w:t>(IRS Employer</w:t>
            </w:r>
          </w:p>
        </w:tc>
      </w:tr>
      <w:tr>
        <w:trPr>
          <w:trHeight w:val="153"/>
        </w:trPr>
        <w:tc>
          <w:tcPr>
            <w:tcW w:w="2360" w:type="dxa"/>
            <w:vAlign w:val="bottom"/>
          </w:tcPr>
          <w:p>
            <w:pPr>
              <w:jc w:val="center"/>
              <w:ind w:right="1040"/>
              <w:spacing w:after="0"/>
              <w:rPr>
                <w:sz w:val="20"/>
                <w:szCs w:val="20"/>
                <w:color w:val="auto"/>
              </w:rPr>
            </w:pPr>
            <w:r>
              <w:rPr>
                <w:rFonts w:ascii="Arial" w:cs="Arial" w:eastAsia="Arial" w:hAnsi="Arial"/>
                <w:sz w:val="12"/>
                <w:szCs w:val="12"/>
                <w:color w:val="auto"/>
                <w:w w:val="94"/>
              </w:rPr>
              <w:t>of incorporation)</w:t>
            </w:r>
          </w:p>
        </w:tc>
        <w:tc>
          <w:tcPr>
            <w:tcW w:w="3640" w:type="dxa"/>
            <w:vAlign w:val="bottom"/>
          </w:tcPr>
          <w:p>
            <w:pPr>
              <w:spacing w:after="0"/>
              <w:rPr>
                <w:sz w:val="13"/>
                <w:szCs w:val="13"/>
                <w:color w:val="auto"/>
              </w:rPr>
            </w:pPr>
          </w:p>
        </w:tc>
        <w:tc>
          <w:tcPr>
            <w:tcW w:w="2100" w:type="dxa"/>
            <w:vAlign w:val="bottom"/>
          </w:tcPr>
          <w:p>
            <w:pPr>
              <w:jc w:val="center"/>
              <w:ind w:left="1140"/>
              <w:spacing w:after="0"/>
              <w:rPr>
                <w:sz w:val="20"/>
                <w:szCs w:val="20"/>
                <w:color w:val="auto"/>
              </w:rPr>
            </w:pPr>
            <w:r>
              <w:rPr>
                <w:rFonts w:ascii="Arial" w:cs="Arial" w:eastAsia="Arial" w:hAnsi="Arial"/>
                <w:sz w:val="12"/>
                <w:szCs w:val="12"/>
                <w:color w:val="auto"/>
                <w:w w:val="96"/>
              </w:rPr>
              <w:t>Identification No.)</w:t>
            </w:r>
          </w:p>
        </w:tc>
      </w:tr>
    </w:tbl>
    <w:p>
      <w:pPr>
        <w:spacing w:after="0" w:line="45" w:lineRule="exact"/>
        <w:rPr>
          <w:sz w:val="24"/>
          <w:szCs w:val="24"/>
          <w:color w:val="auto"/>
        </w:rPr>
      </w:pPr>
    </w:p>
    <w:p>
      <w:pPr>
        <w:ind w:left="4648"/>
        <w:spacing w:after="0"/>
        <w:rPr>
          <w:sz w:val="20"/>
          <w:szCs w:val="20"/>
          <w:color w:val="auto"/>
        </w:rPr>
      </w:pPr>
      <w:r>
        <w:rPr>
          <w:rFonts w:ascii="Arial" w:cs="Arial" w:eastAsia="Arial" w:hAnsi="Arial"/>
          <w:sz w:val="14"/>
          <w:szCs w:val="14"/>
          <w:b w:val="1"/>
          <w:bCs w:val="1"/>
          <w:color w:val="auto"/>
        </w:rPr>
        <w:t>400 Professional Drive, Suite 400,</w:t>
      </w:r>
    </w:p>
    <w:p>
      <w:pPr>
        <w:spacing w:after="0" w:line="25" w:lineRule="exact"/>
        <w:rPr>
          <w:sz w:val="24"/>
          <w:szCs w:val="24"/>
          <w:color w:val="auto"/>
        </w:rPr>
      </w:pPr>
    </w:p>
    <w:p>
      <w:pPr>
        <w:ind w:left="4688"/>
        <w:spacing w:after="0"/>
        <w:rPr>
          <w:sz w:val="20"/>
          <w:szCs w:val="20"/>
          <w:color w:val="auto"/>
        </w:rPr>
      </w:pPr>
      <w:r>
        <w:rPr>
          <w:rFonts w:ascii="Arial" w:cs="Arial" w:eastAsia="Arial" w:hAnsi="Arial"/>
          <w:sz w:val="14"/>
          <w:szCs w:val="14"/>
          <w:b w:val="1"/>
          <w:bCs w:val="1"/>
          <w:color w:val="auto"/>
        </w:rPr>
        <w:t>Gaithersburg, Maryland 20879</w:t>
      </w:r>
    </w:p>
    <w:p>
      <w:pPr>
        <w:spacing w:after="0" w:line="58"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(Address of principal executive offices, including zip code)</w:t>
      </w:r>
    </w:p>
    <w:p>
      <w:pPr>
        <w:spacing w:after="0" w:line="146"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(240) 631-3200</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(Registrant’s telephone number, including area code)</w:t>
      </w:r>
    </w:p>
    <w:p>
      <w:pPr>
        <w:spacing w:after="0" w:line="155" w:lineRule="exact"/>
        <w:rPr>
          <w:sz w:val="24"/>
          <w:szCs w:val="24"/>
          <w:color w:val="auto"/>
        </w:rPr>
      </w:pPr>
    </w:p>
    <w:p>
      <w:pPr>
        <w:jc w:val="center"/>
        <w:ind w:right="-107"/>
        <w:spacing w:after="0"/>
        <w:rPr>
          <w:sz w:val="20"/>
          <w:szCs w:val="20"/>
          <w:color w:val="auto"/>
        </w:rPr>
      </w:pPr>
      <w:r>
        <w:rPr>
          <w:rFonts w:ascii="Arial" w:cs="Arial" w:eastAsia="Arial" w:hAnsi="Arial"/>
          <w:sz w:val="12"/>
          <w:szCs w:val="12"/>
          <w:b w:val="1"/>
          <w:bCs w:val="1"/>
          <w:color w:val="auto"/>
        </w:rPr>
        <w:t>N/A</w:t>
      </w:r>
    </w:p>
    <w:p>
      <w:pPr>
        <w:spacing w:after="0" w:line="19" w:lineRule="exact"/>
        <w:rPr>
          <w:sz w:val="24"/>
          <w:szCs w:val="24"/>
          <w:color w:val="auto"/>
        </w:rPr>
      </w:pPr>
    </w:p>
    <w:p>
      <w:pPr>
        <w:jc w:val="center"/>
        <w:ind w:right="-107"/>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41"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8" w:right="5700" w:hanging="8"/>
        <w:spacing w:after="0" w:line="500" w:lineRule="auto"/>
        <w:tabs>
          <w:tab w:leader="none" w:pos="149"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tbl>
      <w:tblPr>
        <w:tblLayout w:type="fixed"/>
        <w:tblInd w:w="258" w:type="dxa"/>
        <w:tblCellMar>
          <w:top w:w="0" w:type="dxa"/>
          <w:left w:w="0" w:type="dxa"/>
          <w:bottom w:w="0" w:type="dxa"/>
          <w:right w:w="0" w:type="dxa"/>
        </w:tblCellMar>
      </w:tblPr>
      <w:tr>
        <w:trPr>
          <w:trHeight w:val="143"/>
        </w:trPr>
        <w:tc>
          <w:tcPr>
            <w:tcW w:w="44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Title of each class</w:t>
            </w:r>
          </w:p>
        </w:tc>
        <w:tc>
          <w:tcPr>
            <w:tcW w:w="226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Trading Symbol(s)</w:t>
            </w:r>
          </w:p>
        </w:tc>
        <w:tc>
          <w:tcPr>
            <w:tcW w:w="41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Name of each exchange on which registered</w:t>
            </w:r>
          </w:p>
        </w:tc>
      </w:tr>
      <w:tr>
        <w:trPr>
          <w:trHeight w:val="142"/>
        </w:trPr>
        <w:tc>
          <w:tcPr>
            <w:tcW w:w="44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Common Stock, Par Value $0.001 per share</w:t>
            </w:r>
          </w:p>
        </w:tc>
        <w:tc>
          <w:tcPr>
            <w:tcW w:w="22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EBS</w:t>
            </w:r>
          </w:p>
        </w:tc>
        <w:tc>
          <w:tcPr>
            <w:tcW w:w="41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2"/>
                <w:szCs w:val="12"/>
                <w:color w:val="auto"/>
              </w:rPr>
              <w:t>New York Stock Exchange</w:t>
            </w:r>
          </w:p>
        </w:tc>
      </w:tr>
    </w:tbl>
    <w:p>
      <w:pPr>
        <w:spacing w:after="0" w:line="198" w:lineRule="exact"/>
        <w:rPr>
          <w:sz w:val="24"/>
          <w:szCs w:val="24"/>
          <w:color w:val="auto"/>
        </w:rPr>
      </w:pPr>
    </w:p>
    <w:p>
      <w:pPr>
        <w:ind w:left="8" w:right="8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
        <w:spacing w:after="0" w:line="138" w:lineRule="exact"/>
        <w:tabs>
          <w:tab w:leader="none" w:pos="1448" w:val="left"/>
        </w:tabs>
        <w:rPr>
          <w:sz w:val="20"/>
          <w:szCs w:val="20"/>
          <w:color w:val="auto"/>
        </w:rPr>
      </w:pPr>
      <w:r>
        <w:rPr>
          <w:rFonts w:ascii="Arial" w:cs="Arial" w:eastAsia="Arial" w:hAnsi="Arial"/>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2" w:lineRule="exact"/>
        <w:rPr>
          <w:sz w:val="24"/>
          <w:szCs w:val="24"/>
          <w:color w:val="auto"/>
        </w:rPr>
      </w:pPr>
    </w:p>
    <w:p>
      <w:pPr>
        <w:ind w:left="8"/>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351790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8"/>
          </w:cols>
          <w:pgMar w:left="292" w:top="706" w:right="3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2.02 Results of Operations and Financial Condition.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1"/>
          <w:szCs w:val="11"/>
          <w:color w:val="auto"/>
        </w:rPr>
        <w:t>On July 29, 2021, Emergent BioSolutions Inc. (the “Company”) announced financial and operating results for the three- and six-month periods ended June 30, 2021. The Company will also use presentation materials in connection with the conference call scheduled for the same day to discuss these results (“Earnings Call Slides”). Such presentation materials will be posted on the Company’s website at www.emergentbiosolutions.com. Copies of the earnings press release and Earnings Call Slides are furnished as Exhibit 99.1 and Exhibit 99.2 to this Current Report on Form 8-K, respectively, and are incorporated herein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disclosure contained in Item 2.02 of this Current Report on Form 8-K is incorporated herein by reference.</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8.01 Other Events.</w:t>
      </w:r>
    </w:p>
    <w:p>
      <w:pPr>
        <w:spacing w:after="0" w:line="154" w:lineRule="exact"/>
        <w:rPr>
          <w:sz w:val="20"/>
          <w:szCs w:val="20"/>
          <w:color w:val="auto"/>
        </w:rPr>
      </w:pPr>
    </w:p>
    <w:p>
      <w:pPr>
        <w:jc w:val="both"/>
        <w:ind w:right="20"/>
        <w:spacing w:after="0" w:line="245" w:lineRule="auto"/>
        <w:rPr>
          <w:sz w:val="20"/>
          <w:szCs w:val="20"/>
          <w:color w:val="auto"/>
        </w:rPr>
      </w:pPr>
      <w:r>
        <w:rPr>
          <w:rFonts w:ascii="Arial" w:cs="Arial" w:eastAsia="Arial" w:hAnsi="Arial"/>
          <w:sz w:val="12"/>
          <w:szCs w:val="12"/>
          <w:color w:val="auto"/>
        </w:rPr>
        <w:t>Also on July 29, 2021, the Company issued a press release announcing that the U.S. Food and Drug Administration is allowing the Company’s Bayview manufacturing facility to resume production of Johnson &amp; Johnson’s Covid-19 vaccine bulk drug substance. A copy of that press release is attached hereto as Exhibit 99.3 and incorporated herein by reference.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920" w:type="dxa"/>
            <w:vAlign w:val="bottom"/>
            <w:gridSpan w:val="2"/>
          </w:tcPr>
          <w:p>
            <w:pPr>
              <w:spacing w:after="0"/>
              <w:rPr>
                <w:sz w:val="20"/>
                <w:szCs w:val="20"/>
                <w:color w:val="auto"/>
              </w:rPr>
            </w:pPr>
            <w:r>
              <w:rPr>
                <w:rFonts w:ascii="Arial" w:cs="Arial" w:eastAsia="Arial" w:hAnsi="Arial"/>
                <w:sz w:val="12"/>
                <w:szCs w:val="12"/>
                <w:color w:val="auto"/>
              </w:rPr>
              <w:t>(d) Exhibits.</w:t>
            </w:r>
          </w:p>
        </w:tc>
        <w:tc>
          <w:tcPr>
            <w:tcW w:w="2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1920" w:type="dxa"/>
            <w:vAlign w:val="bottom"/>
            <w:gridSpan w:val="2"/>
          </w:tcPr>
          <w:p>
            <w:pPr>
              <w:spacing w:after="0"/>
              <w:rPr>
                <w:sz w:val="20"/>
                <w:szCs w:val="20"/>
                <w:color w:val="auto"/>
              </w:rPr>
            </w:pPr>
            <w:r>
              <w:rPr>
                <w:rFonts w:ascii="Arial" w:cs="Arial" w:eastAsia="Arial" w:hAnsi="Arial"/>
                <w:sz w:val="12"/>
                <w:szCs w:val="12"/>
                <w:b w:val="1"/>
                <w:bCs w:val="1"/>
                <w:color w:val="auto"/>
              </w:rPr>
              <w:t>Exhibit No.</w:t>
            </w: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60" w:type="dxa"/>
            <w:vAlign w:val="bottom"/>
          </w:tcPr>
          <w:p>
            <w:pPr>
              <w:ind w:left="780"/>
              <w:spacing w:after="0"/>
              <w:rPr>
                <w:sz w:val="20"/>
                <w:szCs w:val="20"/>
                <w:color w:val="auto"/>
              </w:rPr>
            </w:pPr>
            <w:r>
              <w:rPr>
                <w:rFonts w:ascii="Arial" w:cs="Arial" w:eastAsia="Arial" w:hAnsi="Arial"/>
                <w:sz w:val="12"/>
                <w:szCs w:val="12"/>
                <w:b w:val="1"/>
                <w:bCs w:val="1"/>
                <w:color w:val="auto"/>
              </w:rPr>
              <w:t>Description</w:t>
            </w:r>
          </w:p>
        </w:tc>
        <w:tc>
          <w:tcPr>
            <w:tcW w:w="0" w:type="dxa"/>
            <w:vAlign w:val="bottom"/>
          </w:tcPr>
          <w:p>
            <w:pPr>
              <w:spacing w:after="0"/>
              <w:rPr>
                <w:sz w:val="1"/>
                <w:szCs w:val="1"/>
                <w:color w:val="auto"/>
              </w:rPr>
            </w:pPr>
          </w:p>
        </w:tc>
      </w:tr>
      <w:tr>
        <w:trPr>
          <w:trHeight w:val="115"/>
        </w:trPr>
        <w:tc>
          <w:tcPr>
            <w:tcW w:w="1580" w:type="dxa"/>
            <w:vAlign w:val="bottom"/>
            <w:tcBorders>
              <w:top w:val="single" w:sz="8" w:color="auto"/>
            </w:tcBorders>
          </w:tcPr>
          <w:p>
            <w:pPr>
              <w:spacing w:after="0" w:line="115" w:lineRule="exact"/>
              <w:rPr>
                <w:sz w:val="20"/>
                <w:szCs w:val="20"/>
                <w:color w:val="auto"/>
              </w:rPr>
            </w:pPr>
            <w:r>
              <w:rPr>
                <w:rFonts w:ascii="Arial" w:cs="Arial" w:eastAsia="Arial" w:hAnsi="Arial"/>
                <w:sz w:val="12"/>
                <w:szCs w:val="12"/>
                <w:color w:val="auto"/>
              </w:rPr>
              <w:t>99.1</w:t>
            </w:r>
          </w:p>
        </w:tc>
        <w:tc>
          <w:tcPr>
            <w:tcW w:w="3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340" w:type="dxa"/>
            <w:vAlign w:val="bottom"/>
            <w:tcBorders>
              <w:top w:val="single" w:sz="8" w:color="auto"/>
            </w:tcBorders>
            <w:gridSpan w:val="4"/>
          </w:tcPr>
          <w:p>
            <w:pPr>
              <w:spacing w:after="0" w:line="115" w:lineRule="exact"/>
              <w:rPr>
                <w:rFonts w:ascii="Arial" w:cs="Arial" w:eastAsia="Arial" w:hAnsi="Arial"/>
                <w:sz w:val="12"/>
                <w:szCs w:val="12"/>
                <w:color w:val="0000FF"/>
              </w:rPr>
            </w:pPr>
            <w:hyperlink w:anchor="page3">
              <w:r>
                <w:rPr>
                  <w:rFonts w:ascii="Arial" w:cs="Arial" w:eastAsia="Arial" w:hAnsi="Arial"/>
                  <w:sz w:val="12"/>
                  <w:szCs w:val="12"/>
                  <w:color w:val="0000FF"/>
                </w:rPr>
                <w:t>Earnings Press release issued by the Company on July 29, 2021.</w:t>
              </w:r>
            </w:hyperlink>
          </w:p>
        </w:tc>
        <w:tc>
          <w:tcPr>
            <w:tcW w:w="0" w:type="dxa"/>
            <w:vAlign w:val="bottom"/>
          </w:tcPr>
          <w:p>
            <w:pPr>
              <w:spacing w:after="0"/>
              <w:rPr>
                <w:sz w:val="1"/>
                <w:szCs w:val="1"/>
                <w:color w:val="auto"/>
              </w:rPr>
            </w:pPr>
          </w:p>
        </w:tc>
      </w:tr>
      <w:tr>
        <w:trPr>
          <w:trHeight w:val="133"/>
        </w:trPr>
        <w:tc>
          <w:tcPr>
            <w:tcW w:w="1580" w:type="dxa"/>
            <w:vAlign w:val="bottom"/>
          </w:tcPr>
          <w:p>
            <w:pPr>
              <w:spacing w:after="0" w:line="133" w:lineRule="exact"/>
              <w:rPr>
                <w:sz w:val="20"/>
                <w:szCs w:val="20"/>
                <w:color w:val="auto"/>
              </w:rPr>
            </w:pPr>
            <w:r>
              <w:rPr>
                <w:rFonts w:ascii="Arial" w:cs="Arial" w:eastAsia="Arial" w:hAnsi="Arial"/>
                <w:sz w:val="12"/>
                <w:szCs w:val="12"/>
                <w:color w:val="auto"/>
              </w:rPr>
              <w:t>99.2</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80" w:type="dxa"/>
            <w:vAlign w:val="bottom"/>
            <w:tcBorders>
              <w:top w:val="single" w:sz="8" w:color="0000FF"/>
            </w:tcBorders>
            <w:gridSpan w:val="3"/>
          </w:tcPr>
          <w:p>
            <w:pPr>
              <w:spacing w:after="0" w:line="133" w:lineRule="exact"/>
              <w:rPr>
                <w:rFonts w:ascii="Arial" w:cs="Arial" w:eastAsia="Arial" w:hAnsi="Arial"/>
                <w:sz w:val="12"/>
                <w:szCs w:val="12"/>
                <w:color w:val="0000FF"/>
              </w:rPr>
            </w:pPr>
            <w:hyperlink w:anchor="page16">
              <w:r>
                <w:rPr>
                  <w:rFonts w:ascii="Arial" w:cs="Arial" w:eastAsia="Arial" w:hAnsi="Arial"/>
                  <w:sz w:val="12"/>
                  <w:szCs w:val="12"/>
                  <w:color w:val="0000FF"/>
                </w:rPr>
                <w:t>Earnings Call Slides, dated July 29, 2021.</w:t>
              </w:r>
            </w:hyperlink>
          </w:p>
        </w:tc>
        <w:tc>
          <w:tcPr>
            <w:tcW w:w="5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580" w:type="dxa"/>
            <w:vAlign w:val="bottom"/>
          </w:tcPr>
          <w:p>
            <w:pPr>
              <w:spacing w:after="0" w:line="133" w:lineRule="exact"/>
              <w:rPr>
                <w:sz w:val="20"/>
                <w:szCs w:val="20"/>
                <w:color w:val="auto"/>
              </w:rPr>
            </w:pPr>
            <w:r>
              <w:rPr>
                <w:rFonts w:ascii="Arial" w:cs="Arial" w:eastAsia="Arial" w:hAnsi="Arial"/>
                <w:sz w:val="12"/>
                <w:szCs w:val="12"/>
                <w:color w:val="auto"/>
              </w:rPr>
              <w:t>99.3</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340" w:type="dxa"/>
            <w:vAlign w:val="bottom"/>
            <w:gridSpan w:val="4"/>
          </w:tcPr>
          <w:p>
            <w:pPr>
              <w:spacing w:after="0" w:line="133" w:lineRule="exact"/>
              <w:rPr>
                <w:rFonts w:ascii="Arial" w:cs="Arial" w:eastAsia="Arial" w:hAnsi="Arial"/>
                <w:sz w:val="12"/>
                <w:szCs w:val="12"/>
                <w:color w:val="0000FF"/>
              </w:rPr>
            </w:pPr>
            <w:hyperlink w:anchor="page41">
              <w:r>
                <w:rPr>
                  <w:rFonts w:ascii="Arial" w:cs="Arial" w:eastAsia="Arial" w:hAnsi="Arial"/>
                  <w:sz w:val="12"/>
                  <w:szCs w:val="12"/>
                  <w:color w:val="0000FF"/>
                </w:rPr>
                <w:t>Press release issued by the Company on July 29, 2021.</w:t>
              </w:r>
            </w:hyperlink>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5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580" w:type="dxa"/>
            <w:vAlign w:val="bottom"/>
            <w:vMerge w:val="restart"/>
          </w:tcPr>
          <w:p>
            <w:pPr>
              <w:spacing w:after="0"/>
              <w:rPr>
                <w:sz w:val="20"/>
                <w:szCs w:val="20"/>
                <w:color w:val="auto"/>
              </w:rPr>
            </w:pPr>
            <w:r>
              <w:rPr>
                <w:rFonts w:ascii="Arial" w:cs="Arial" w:eastAsia="Arial" w:hAnsi="Arial"/>
                <w:sz w:val="12"/>
                <w:szCs w:val="12"/>
                <w:color w:val="auto"/>
              </w:rPr>
              <w:t>101</w:t>
            </w: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340" w:type="dxa"/>
            <w:vAlign w:val="bottom"/>
            <w:gridSpan w:val="4"/>
          </w:tcPr>
          <w:p>
            <w:pPr>
              <w:spacing w:after="0" w:line="124" w:lineRule="exact"/>
              <w:rPr>
                <w:sz w:val="20"/>
                <w:szCs w:val="20"/>
                <w:color w:val="auto"/>
              </w:rPr>
            </w:pPr>
            <w:r>
              <w:rPr>
                <w:rFonts w:ascii="Arial" w:cs="Arial" w:eastAsia="Arial" w:hAnsi="Arial"/>
                <w:sz w:val="12"/>
                <w:szCs w:val="12"/>
                <w:color w:val="auto"/>
                <w:w w:val="93"/>
              </w:rPr>
              <w:t>Emergent BioSolutions Inc. Current Report on Form 8-K, dated July 29, 2021 formatted in XBRL (Extensible Business Reporting Language): Cover Page. The instance</w:t>
            </w:r>
          </w:p>
        </w:tc>
        <w:tc>
          <w:tcPr>
            <w:tcW w:w="0" w:type="dxa"/>
            <w:vAlign w:val="bottom"/>
          </w:tcPr>
          <w:p>
            <w:pPr>
              <w:spacing w:after="0"/>
              <w:rPr>
                <w:sz w:val="1"/>
                <w:szCs w:val="1"/>
                <w:color w:val="auto"/>
              </w:rPr>
            </w:pPr>
          </w:p>
        </w:tc>
      </w:tr>
      <w:tr>
        <w:trPr>
          <w:trHeight w:val="90"/>
        </w:trPr>
        <w:tc>
          <w:tcPr>
            <w:tcW w:w="158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340" w:type="dxa"/>
            <w:vAlign w:val="bottom"/>
            <w:gridSpan w:val="4"/>
            <w:vMerge w:val="restart"/>
          </w:tcPr>
          <w:p>
            <w:pPr>
              <w:spacing w:after="0"/>
              <w:rPr>
                <w:sz w:val="20"/>
                <w:szCs w:val="20"/>
                <w:color w:val="auto"/>
              </w:rPr>
            </w:pPr>
            <w:r>
              <w:rPr>
                <w:rFonts w:ascii="Arial" w:cs="Arial" w:eastAsia="Arial" w:hAnsi="Arial"/>
                <w:sz w:val="12"/>
                <w:szCs w:val="12"/>
                <w:color w:val="auto"/>
              </w:rPr>
              <w:t>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63"/>
        </w:trPr>
        <w:tc>
          <w:tcPr>
            <w:tcW w:w="1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3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580" w:type="dxa"/>
            <w:vAlign w:val="bottom"/>
          </w:tcPr>
          <w:p>
            <w:pPr>
              <w:spacing w:after="0"/>
              <w:rPr>
                <w:sz w:val="20"/>
                <w:szCs w:val="20"/>
                <w:color w:val="auto"/>
              </w:rPr>
            </w:pPr>
            <w:r>
              <w:rPr>
                <w:rFonts w:ascii="Arial" w:cs="Arial" w:eastAsia="Arial" w:hAnsi="Arial"/>
                <w:sz w:val="12"/>
                <w:szCs w:val="12"/>
                <w:color w:val="auto"/>
              </w:rPr>
              <w:t>104</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40" w:type="dxa"/>
            <w:vAlign w:val="bottom"/>
            <w:gridSpan w:val="4"/>
          </w:tcPr>
          <w:p>
            <w:pPr>
              <w:spacing w:after="0"/>
              <w:rPr>
                <w:sz w:val="20"/>
                <w:szCs w:val="20"/>
                <w:color w:val="auto"/>
              </w:rPr>
            </w:pPr>
            <w:r>
              <w:rPr>
                <w:rFonts w:ascii="Arial" w:cs="Arial" w:eastAsia="Arial" w:hAnsi="Arial"/>
                <w:sz w:val="12"/>
                <w:szCs w:val="12"/>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7" w:lineRule="exact"/>
        <w:rPr>
          <w:sz w:val="20"/>
          <w:szCs w:val="20"/>
          <w:color w:val="auto"/>
        </w:rPr>
      </w:pPr>
    </w:p>
    <w:p>
      <w:pPr>
        <w:ind w:left="5780"/>
        <w:spacing w:after="0"/>
        <w:rPr>
          <w:sz w:val="20"/>
          <w:szCs w:val="20"/>
          <w:color w:val="auto"/>
        </w:rPr>
      </w:pPr>
      <w:r>
        <w:rPr>
          <w:rFonts w:ascii="Arial" w:cs="Arial" w:eastAsia="Arial" w:hAnsi="Arial"/>
          <w:sz w:val="12"/>
          <w:szCs w:val="12"/>
          <w:b w:val="1"/>
          <w:bCs w:val="1"/>
          <w:color w:val="auto"/>
        </w:rPr>
        <w:t>EMERGENT BIOSOLUTIONS INC.</w:t>
      </w:r>
    </w:p>
    <w:p>
      <w:pPr>
        <w:spacing w:after="0" w:line="172" w:lineRule="exact"/>
        <w:rPr>
          <w:sz w:val="20"/>
          <w:szCs w:val="20"/>
          <w:color w:val="auto"/>
        </w:rPr>
      </w:pPr>
    </w:p>
    <w:p>
      <w:pPr>
        <w:ind w:left="500"/>
        <w:spacing w:after="0"/>
        <w:tabs>
          <w:tab w:leader="none" w:pos="5760" w:val="left"/>
          <w:tab w:leader="none" w:pos="6240" w:val="left"/>
        </w:tabs>
        <w:rPr>
          <w:sz w:val="20"/>
          <w:szCs w:val="20"/>
          <w:color w:val="auto"/>
        </w:rPr>
      </w:pPr>
      <w:r>
        <w:rPr>
          <w:rFonts w:ascii="Arial" w:cs="Arial" w:eastAsia="Arial" w:hAnsi="Arial"/>
          <w:sz w:val="12"/>
          <w:szCs w:val="12"/>
          <w:color w:val="auto"/>
        </w:rPr>
        <w:t>Dated: July 29, 2021</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3972560</wp:posOffset>
            </wp:positionH>
            <wp:positionV relativeFrom="paragraph">
              <wp:posOffset>9525</wp:posOffset>
            </wp:positionV>
            <wp:extent cx="288607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6075" cy="5715"/>
                    </a:xfrm>
                    <a:prstGeom prst="rect">
                      <a:avLst/>
                    </a:prstGeom>
                    <a:noFill/>
                  </pic:spPr>
                </pic:pic>
              </a:graphicData>
            </a:graphic>
          </wp:anchor>
        </w:drawing>
      </w:r>
    </w:p>
    <w:p>
      <w:pPr>
        <w:ind w:left="6260"/>
        <w:spacing w:after="0"/>
        <w:rPr>
          <w:sz w:val="20"/>
          <w:szCs w:val="20"/>
          <w:color w:val="auto"/>
        </w:rPr>
      </w:pPr>
      <w:r>
        <w:rPr>
          <w:rFonts w:ascii="Arial" w:cs="Arial" w:eastAsia="Arial" w:hAnsi="Arial"/>
          <w:sz w:val="12"/>
          <w:szCs w:val="12"/>
          <w:color w:val="auto"/>
        </w:rPr>
        <w:t>Name: Richard S. Lindahl</w:t>
      </w:r>
    </w:p>
    <w:p>
      <w:pPr>
        <w:ind w:left="6260"/>
        <w:spacing w:after="0" w:line="203" w:lineRule="auto"/>
        <w:rPr>
          <w:sz w:val="20"/>
          <w:szCs w:val="20"/>
          <w:color w:val="auto"/>
        </w:rPr>
      </w:pPr>
      <w:r>
        <w:rPr>
          <w:rFonts w:ascii="Arial" w:cs="Arial" w:eastAsia="Arial" w:hAnsi="Arial"/>
          <w:sz w:val="12"/>
          <w:szCs w:val="12"/>
          <w:color w:val="auto"/>
        </w:rPr>
        <w:t>Title: Executive Vice President, Chief Financial</w:t>
      </w:r>
    </w:p>
    <w:p>
      <w:pPr>
        <w:ind w:left="6680"/>
        <w:spacing w:after="0"/>
        <w:rPr>
          <w:sz w:val="20"/>
          <w:szCs w:val="20"/>
          <w:color w:val="auto"/>
        </w:rPr>
      </w:pPr>
      <w:r>
        <w:rPr>
          <w:rFonts w:ascii="Arial" w:cs="Arial" w:eastAsia="Arial" w:hAnsi="Arial"/>
          <w:sz w:val="12"/>
          <w:szCs w:val="12"/>
          <w:color w:val="auto"/>
        </w:rPr>
        <w:t>Officer and Treasurer</w:t>
      </w:r>
    </w:p>
    <w:p>
      <w:pPr>
        <w:sectPr>
          <w:pgSz w:w="11900" w:h="16838" w:orient="portrait"/>
          <w:cols w:equalWidth="0" w:num="1">
            <w:col w:w="11300"/>
          </w:cols>
          <w:pgMar w:left="300" w:top="640" w:right="299" w:bottom="1440" w:gutter="0" w:footer="0" w:header="0"/>
        </w:sectPr>
      </w:pPr>
    </w:p>
    <w:bookmarkStart w:id="2" w:name="page3"/>
    <w:bookmarkEnd w:id="2"/>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6351905</wp:posOffset>
            </wp:positionH>
            <wp:positionV relativeFrom="page">
              <wp:posOffset>191770</wp:posOffset>
            </wp:positionV>
            <wp:extent cx="1011555" cy="434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34340"/>
                    </a:xfrm>
                    <a:prstGeom prst="rect">
                      <a:avLst/>
                    </a:prstGeom>
                    <a:noFill/>
                  </pic:spPr>
                </pic:pic>
              </a:graphicData>
            </a:graphic>
          </wp:anchor>
        </w:drawing>
        <w:t>EMERGENT BIOSOLUTIONS REPORTS FINANCIAL RESULTS FOR SECOND QUARTER 2021</w:t>
      </w:r>
    </w:p>
    <w:p>
      <w:pPr>
        <w:spacing w:after="0" w:line="183" w:lineRule="exact"/>
        <w:rPr>
          <w:sz w:val="20"/>
          <w:szCs w:val="20"/>
          <w:color w:val="auto"/>
        </w:rPr>
      </w:pPr>
    </w:p>
    <w:p>
      <w:pPr>
        <w:ind w:left="380" w:hanging="172"/>
        <w:spacing w:after="0"/>
        <w:tabs>
          <w:tab w:leader="none" w:pos="380" w:val="left"/>
        </w:tabs>
        <w:numPr>
          <w:ilvl w:val="0"/>
          <w:numId w:val="2"/>
        </w:numPr>
        <w:rPr>
          <w:rFonts w:ascii="Arial" w:cs="Arial" w:eastAsia="Arial" w:hAnsi="Arial"/>
          <w:sz w:val="13"/>
          <w:szCs w:val="13"/>
          <w:color w:val="auto"/>
        </w:rPr>
      </w:pPr>
      <w:r>
        <w:rPr>
          <w:rFonts w:ascii="Arial" w:cs="Arial" w:eastAsia="Arial" w:hAnsi="Arial"/>
          <w:sz w:val="13"/>
          <w:szCs w:val="13"/>
          <w:color w:val="auto"/>
        </w:rPr>
        <w:t>Reaffirms 2021 Full Year Forecast for Revenues and Profit</w:t>
      </w:r>
    </w:p>
    <w:p>
      <w:pPr>
        <w:spacing w:after="0" w:line="1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GAITHERSBURG, Md., July 29, 2021</w:t>
      </w:r>
      <w:r>
        <w:rPr>
          <w:rFonts w:ascii="Arial" w:cs="Arial" w:eastAsia="Arial" w:hAnsi="Arial"/>
          <w:sz w:val="12"/>
          <w:szCs w:val="12"/>
          <w:color w:val="auto"/>
        </w:rPr>
        <w:t>—Emergent BioSolutions Inc. (NYSE: EBS) today reported financial results for the second quarter ended June 30, 2021</w:t>
      </w:r>
      <w:r>
        <w:rPr>
          <w:rFonts w:ascii="Arial" w:cs="Arial" w:eastAsia="Arial" w:hAnsi="Arial"/>
          <w:sz w:val="14"/>
          <w:szCs w:val="14"/>
          <w:color w:val="auto"/>
        </w:rPr>
        <w:t>.</w:t>
      </w:r>
    </w:p>
    <w:p>
      <w:pPr>
        <w:spacing w:after="0" w:line="149" w:lineRule="exact"/>
        <w:rPr>
          <w:sz w:val="20"/>
          <w:szCs w:val="20"/>
          <w:color w:val="auto"/>
        </w:rPr>
      </w:pPr>
    </w:p>
    <w:p>
      <w:pPr>
        <w:ind w:right="100"/>
        <w:spacing w:after="0" w:line="229" w:lineRule="auto"/>
        <w:rPr>
          <w:sz w:val="20"/>
          <w:szCs w:val="20"/>
          <w:color w:val="auto"/>
        </w:rPr>
      </w:pPr>
      <w:r>
        <w:rPr>
          <w:rFonts w:ascii="Arial" w:cs="Arial" w:eastAsia="Arial" w:hAnsi="Arial"/>
          <w:sz w:val="12"/>
          <w:szCs w:val="12"/>
          <w:color w:val="auto"/>
        </w:rPr>
        <w:t>“Our second quarter performance demonstrates the strength of our strategy and diversified business model,” said Robert G. Kramer, president and chief executive officer of Emergent BioSolutions. “Through continued investment and innovation, we will play an important role in helping deliver solutions to the public health threats we face. We are proud to be resuming production of COVID-19 vaccine batches following additional reviews and collaboration with the Food and Drug Administration and our manufacturing partner."</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color w:val="auto"/>
        </w:rPr>
        <w:t>Kramer added, “I am thankful for the relentless determination of our Emergent team across the globe to deliver for our patients, customers and partners.”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860" w:type="dxa"/>
            <w:vAlign w:val="bottom"/>
          </w:tcPr>
          <w:p>
            <w:pPr>
              <w:spacing w:after="0"/>
              <w:rPr>
                <w:sz w:val="20"/>
                <w:szCs w:val="20"/>
                <w:color w:val="auto"/>
              </w:rPr>
            </w:pPr>
            <w:r>
              <w:rPr>
                <w:rFonts w:ascii="Arial" w:cs="Arial" w:eastAsia="Arial" w:hAnsi="Arial"/>
                <w:sz w:val="12"/>
                <w:szCs w:val="12"/>
                <w:b w:val="1"/>
                <w:bCs w:val="1"/>
                <w:color w:val="auto"/>
              </w:rPr>
              <w:t>FINANCIAL HIGHLIGHTS (1)</w:t>
            </w:r>
          </w:p>
        </w:tc>
        <w:tc>
          <w:tcPr>
            <w:tcW w:w="2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57"/>
        </w:trPr>
        <w:tc>
          <w:tcPr>
            <w:tcW w:w="486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 in millions, except per share amounts)</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Q2 2021</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Q2 2020</w:t>
            </w:r>
          </w:p>
        </w:tc>
        <w:tc>
          <w:tcPr>
            <w:tcW w:w="2160" w:type="dxa"/>
            <w:vAlign w:val="bottom"/>
            <w:shd w:val="clear" w:color="auto" w:fill="0F243E"/>
          </w:tcPr>
          <w:p>
            <w:pPr>
              <w:ind w:left="80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$397.5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$394.7</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income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$4.6</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$92.7</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(95)%</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income per diluted share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$0.09</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$1.73</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(95)%</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$18.0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$105.7</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(83)%</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2"/>
                <w:szCs w:val="12"/>
                <w:i w:val="1"/>
                <w:iCs w:val="1"/>
                <w:color w:val="auto"/>
              </w:rPr>
              <w:t>(2)</w:t>
            </w:r>
            <w:r>
              <w:rPr>
                <w:rFonts w:ascii="Arial" w:cs="Arial" w:eastAsia="Arial" w:hAnsi="Arial"/>
                <w:sz w:val="12"/>
                <w:szCs w:val="12"/>
                <w:color w:val="auto"/>
              </w:rPr>
              <w:t xml:space="preserve"> per diluted share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$0.33</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$1.98</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(83)%</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EBITDA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$49.5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$156.1</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-713740</wp:posOffset>
            </wp:positionV>
            <wp:extent cx="7183755" cy="14916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3755" cy="149161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6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 in millions, except per share amounts)</w:t>
            </w:r>
          </w:p>
        </w:tc>
        <w:tc>
          <w:tcPr>
            <w:tcW w:w="2140" w:type="dxa"/>
            <w:vAlign w:val="bottom"/>
            <w:shd w:val="clear" w:color="auto" w:fill="0F243E"/>
          </w:tcPr>
          <w:p>
            <w:pPr>
              <w:ind w:left="800"/>
              <w:spacing w:after="0"/>
              <w:rPr>
                <w:sz w:val="20"/>
                <w:szCs w:val="20"/>
                <w:color w:val="auto"/>
              </w:rPr>
            </w:pPr>
            <w:r>
              <w:rPr>
                <w:rFonts w:ascii="Arial" w:cs="Arial" w:eastAsia="Arial" w:hAnsi="Arial"/>
                <w:sz w:val="12"/>
                <w:szCs w:val="12"/>
                <w:b w:val="1"/>
                <w:bCs w:val="1"/>
                <w:color w:val="FFFFFF"/>
              </w:rPr>
              <w:t>YTD 2021</w:t>
            </w:r>
          </w:p>
        </w:tc>
        <w:tc>
          <w:tcPr>
            <w:tcW w:w="2140" w:type="dxa"/>
            <w:vAlign w:val="bottom"/>
            <w:shd w:val="clear" w:color="auto" w:fill="0F243E"/>
          </w:tcPr>
          <w:p>
            <w:pPr>
              <w:ind w:left="800"/>
              <w:spacing w:after="0"/>
              <w:rPr>
                <w:sz w:val="20"/>
                <w:szCs w:val="20"/>
                <w:color w:val="auto"/>
              </w:rPr>
            </w:pPr>
            <w:r>
              <w:rPr>
                <w:rFonts w:ascii="Arial" w:cs="Arial" w:eastAsia="Arial" w:hAnsi="Arial"/>
                <w:sz w:val="12"/>
                <w:szCs w:val="12"/>
                <w:b w:val="1"/>
                <w:bCs w:val="1"/>
                <w:color w:val="FFFFFF"/>
              </w:rPr>
              <w:t>YTD 2020</w:t>
            </w:r>
          </w:p>
        </w:tc>
        <w:tc>
          <w:tcPr>
            <w:tcW w:w="2160" w:type="dxa"/>
            <w:vAlign w:val="bottom"/>
            <w:shd w:val="clear" w:color="auto" w:fill="0F243E"/>
          </w:tcPr>
          <w:p>
            <w:pPr>
              <w:ind w:left="80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$740.5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$587.2</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26%</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income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$74.3</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$80.2</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(7)%</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income per diluted share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$1.37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$1.51</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(9)%</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$101.6</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$106.0</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(4)%</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net income </w:t>
            </w:r>
            <w:r>
              <w:rPr>
                <w:rFonts w:ascii="Arial" w:cs="Arial" w:eastAsia="Arial" w:hAnsi="Arial"/>
                <w:sz w:val="12"/>
                <w:szCs w:val="12"/>
                <w:i w:val="1"/>
                <w:iCs w:val="1"/>
                <w:color w:val="auto"/>
              </w:rPr>
              <w:t>(2)</w:t>
            </w:r>
            <w:r>
              <w:rPr>
                <w:rFonts w:ascii="Arial" w:cs="Arial" w:eastAsia="Arial" w:hAnsi="Arial"/>
                <w:sz w:val="12"/>
                <w:szCs w:val="12"/>
                <w:color w:val="auto"/>
              </w:rPr>
              <w:t xml:space="preserve"> per diluted share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$1.87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$1.99</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(6)%</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 xml:space="preserve">Adjusted EBITDA </w:t>
            </w:r>
            <w:r>
              <w:rPr>
                <w:rFonts w:ascii="Arial" w:cs="Arial" w:eastAsia="Arial" w:hAnsi="Arial"/>
                <w:sz w:val="12"/>
                <w:szCs w:val="12"/>
                <w:i w:val="1"/>
                <w:iCs w:val="1"/>
                <w:color w:val="auto"/>
              </w:rPr>
              <w:t>(2)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$173.0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$171.4</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Q2 2021 AND OTHER RECENT BUSINESS ACCOMPLISHMENTS</w:t>
      </w:r>
    </w:p>
    <w:p>
      <w:pPr>
        <w:spacing w:after="0" w:line="173" w:lineRule="exact"/>
        <w:rPr>
          <w:sz w:val="20"/>
          <w:szCs w:val="20"/>
          <w:color w:val="auto"/>
        </w:rPr>
      </w:pPr>
    </w:p>
    <w:p>
      <w:pPr>
        <w:ind w:left="420" w:right="160" w:hanging="212"/>
        <w:spacing w:after="0" w:line="235" w:lineRule="auto"/>
        <w:tabs>
          <w:tab w:leader="none" w:pos="390" w:val="left"/>
        </w:tabs>
        <w:numPr>
          <w:ilvl w:val="0"/>
          <w:numId w:val="3"/>
        </w:numPr>
        <w:rPr>
          <w:rFonts w:ascii="Arial" w:cs="Arial" w:eastAsia="Arial" w:hAnsi="Arial"/>
          <w:sz w:val="12"/>
          <w:szCs w:val="12"/>
          <w:color w:val="auto"/>
        </w:rPr>
      </w:pPr>
      <w:r>
        <w:rPr>
          <w:rFonts w:ascii="Arial" w:cs="Arial" w:eastAsia="Arial" w:hAnsi="Arial"/>
          <w:sz w:val="12"/>
          <w:szCs w:val="12"/>
          <w:color w:val="auto"/>
        </w:rPr>
        <w:t>Announced that the U.S. Food and Drug Administration (FDA) has informed the Company that it can resume production of Johnson &amp; Johnson’s COVID-19 vaccine bulk drug substance at the Company's Bayview manufacturing facility.</w:t>
      </w:r>
    </w:p>
    <w:p>
      <w:pPr>
        <w:spacing w:after="0" w:line="143" w:lineRule="exact"/>
        <w:rPr>
          <w:rFonts w:ascii="Arial" w:cs="Arial" w:eastAsia="Arial" w:hAnsi="Arial"/>
          <w:sz w:val="12"/>
          <w:szCs w:val="12"/>
          <w:color w:val="auto"/>
        </w:rPr>
      </w:pPr>
    </w:p>
    <w:p>
      <w:pPr>
        <w:ind w:left="420" w:right="220" w:hanging="212"/>
        <w:spacing w:after="0" w:line="235" w:lineRule="auto"/>
        <w:tabs>
          <w:tab w:leader="none" w:pos="390" w:val="left"/>
        </w:tabs>
        <w:numPr>
          <w:ilvl w:val="0"/>
          <w:numId w:val="3"/>
        </w:numPr>
        <w:rPr>
          <w:rFonts w:ascii="Arial" w:cs="Arial" w:eastAsia="Arial" w:hAnsi="Arial"/>
          <w:sz w:val="12"/>
          <w:szCs w:val="12"/>
          <w:color w:val="auto"/>
        </w:rPr>
      </w:pPr>
      <w:r>
        <w:rPr>
          <w:rFonts w:ascii="Arial" w:cs="Arial" w:eastAsia="Arial" w:hAnsi="Arial"/>
          <w:sz w:val="12"/>
          <w:szCs w:val="12"/>
          <w:color w:val="auto"/>
        </w:rPr>
        <w:t>Supporting the U.S. government's smallpox preparedness efforts under contract options exercised by the Department of Health and Human Services (HHS) valued at approximately $182 million and $56 million to deliver ACAM2000® (Smallpox (Vaccinia) Vaccine, Live) and VIGIV [Vaccinia Immune Globulin Intravenous (Human)] (VIGIV), respectively.</w:t>
      </w:r>
    </w:p>
    <w:p>
      <w:pPr>
        <w:spacing w:after="0" w:line="161" w:lineRule="exact"/>
        <w:rPr>
          <w:rFonts w:ascii="Arial" w:cs="Arial" w:eastAsia="Arial" w:hAnsi="Arial"/>
          <w:sz w:val="12"/>
          <w:szCs w:val="12"/>
          <w:color w:val="auto"/>
        </w:rPr>
      </w:pPr>
    </w:p>
    <w:p>
      <w:pPr>
        <w:ind w:left="420" w:right="420" w:hanging="212"/>
        <w:spacing w:after="0" w:line="209" w:lineRule="auto"/>
        <w:tabs>
          <w:tab w:leader="none" w:pos="385" w:val="left"/>
        </w:tabs>
        <w:numPr>
          <w:ilvl w:val="0"/>
          <w:numId w:val="3"/>
        </w:numPr>
        <w:rPr>
          <w:rFonts w:ascii="Arial" w:cs="Arial" w:eastAsia="Arial" w:hAnsi="Arial"/>
          <w:sz w:val="13"/>
          <w:szCs w:val="13"/>
          <w:color w:val="auto"/>
        </w:rPr>
      </w:pPr>
      <w:r>
        <w:rPr>
          <w:rFonts w:ascii="Arial" w:cs="Arial" w:eastAsia="Arial" w:hAnsi="Arial"/>
          <w:sz w:val="12"/>
          <w:szCs w:val="12"/>
          <w:color w:val="auto"/>
        </w:rPr>
        <w:t>Supporting the Canadian government’s anthrax preparedness efforts under a new contract with the Public Health Agency Canada (PHAC) to deliver Anthrasil</w:t>
      </w:r>
      <w:r>
        <w:rPr>
          <w:rFonts w:ascii="Arial" w:cs="Arial" w:eastAsia="Arial" w:hAnsi="Arial"/>
          <w:sz w:val="15"/>
          <w:szCs w:val="15"/>
          <w:color w:val="auto"/>
          <w:vertAlign w:val="superscript"/>
        </w:rPr>
        <w:t>®</w:t>
      </w:r>
      <w:r>
        <w:rPr>
          <w:rFonts w:ascii="Arial" w:cs="Arial" w:eastAsia="Arial" w:hAnsi="Arial"/>
          <w:sz w:val="12"/>
          <w:szCs w:val="12"/>
          <w:color w:val="auto"/>
        </w:rPr>
        <w:t xml:space="preserve"> (Anthrax Immune Globulin Intravenous [human]) through March 2023.</w:t>
      </w:r>
    </w:p>
    <w:p>
      <w:pPr>
        <w:spacing w:after="0" w:line="156" w:lineRule="exact"/>
        <w:rPr>
          <w:rFonts w:ascii="Arial" w:cs="Arial" w:eastAsia="Arial" w:hAnsi="Arial"/>
          <w:sz w:val="13"/>
          <w:szCs w:val="13"/>
          <w:color w:val="auto"/>
        </w:rPr>
      </w:pPr>
    </w:p>
    <w:p>
      <w:pPr>
        <w:ind w:left="380" w:hanging="172"/>
        <w:spacing w:after="0"/>
        <w:tabs>
          <w:tab w:leader="none" w:pos="380" w:val="left"/>
        </w:tabs>
        <w:numPr>
          <w:ilvl w:val="0"/>
          <w:numId w:val="3"/>
        </w:numPr>
        <w:rPr>
          <w:rFonts w:ascii="Arial" w:cs="Arial" w:eastAsia="Arial" w:hAnsi="Arial"/>
          <w:sz w:val="13"/>
          <w:szCs w:val="13"/>
          <w:color w:val="auto"/>
        </w:rPr>
      </w:pPr>
      <w:r>
        <w:rPr>
          <w:rFonts w:ascii="Arial" w:cs="Arial" w:eastAsia="Arial" w:hAnsi="Arial"/>
          <w:sz w:val="12"/>
          <w:szCs w:val="12"/>
          <w:color w:val="auto"/>
        </w:rPr>
        <w:t>Received approval from the Federal Agency for Medicines and Health Products (FAMHP) of Belgium for Trobigard® Auto-injector (atropine sulfate 2mg/obidoxime chloride 220mg; solution for injection), 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 of 13</w:t>
      </w:r>
    </w:p>
    <w:p>
      <w:pPr>
        <w:sectPr>
          <w:pgSz w:w="11900" w:h="16838" w:orient="portrait"/>
          <w:cols w:equalWidth="0" w:num="1">
            <w:col w:w="11300"/>
          </w:cols>
          <w:pgMar w:left="300" w:top="1422" w:right="299" w:bottom="1440" w:gutter="0" w:footer="0" w:header="0"/>
        </w:sectPr>
      </w:pPr>
    </w:p>
    <w:bookmarkStart w:id="3" w:name="page4"/>
    <w:bookmarkEnd w:id="3"/>
    <w:p>
      <w:pPr>
        <w:ind w:left="428"/>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6351905</wp:posOffset>
            </wp:positionH>
            <wp:positionV relativeFrom="page">
              <wp:posOffset>191770</wp:posOffset>
            </wp:positionV>
            <wp:extent cx="1011555" cy="422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t>emergency treatment product for known or suspected exposure to nerve agents or toxic organophosphates in adults over 18 years of age.</w:t>
      </w:r>
    </w:p>
    <w:p>
      <w:pPr>
        <w:spacing w:after="0" w:line="13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2021 FINANCIAL PERFORMANCE (1)</w:t>
      </w:r>
    </w:p>
    <w:p>
      <w:pPr>
        <w:spacing w:after="0" w:line="159" w:lineRule="exact"/>
        <w:rPr>
          <w:sz w:val="20"/>
          <w:szCs w:val="20"/>
          <w:color w:val="auto"/>
        </w:rPr>
      </w:pPr>
    </w:p>
    <w:p>
      <w:pPr>
        <w:ind w:left="8" w:right="9240" w:hanging="8"/>
        <w:spacing w:after="0" w:line="421" w:lineRule="auto"/>
        <w:tabs>
          <w:tab w:leader="none" w:pos="155" w:val="left"/>
        </w:tabs>
        <w:numPr>
          <w:ilvl w:val="0"/>
          <w:numId w:val="4"/>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Quarter Ended June 30, 2021 (Q2) </w:t>
      </w:r>
      <w:r>
        <w:rPr>
          <w:rFonts w:ascii="Arial" w:cs="Arial" w:eastAsia="Arial" w:hAnsi="Arial"/>
          <w:sz w:val="12"/>
          <w:szCs w:val="12"/>
          <w:b w:val="1"/>
          <w:bCs w:val="1"/>
          <w:u w:val="single" w:color="auto"/>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178040" cy="1131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131570"/>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151"/>
        </w:trPr>
        <w:tc>
          <w:tcPr>
            <w:tcW w:w="4860" w:type="dxa"/>
            <w:vAlign w:val="bottom"/>
            <w:gridSpan w:val="2"/>
            <w:shd w:val="clear" w:color="auto" w:fill="0F243E"/>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Q2 2021</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Q2 2020</w:t>
            </w:r>
          </w:p>
        </w:tc>
        <w:tc>
          <w:tcPr>
            <w:tcW w:w="2160" w:type="dxa"/>
            <w:vAlign w:val="bottom"/>
            <w:shd w:val="clear" w:color="auto" w:fill="0F243E"/>
          </w:tcPr>
          <w:p>
            <w:pPr>
              <w:ind w:left="80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Product sales, net (3):</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160" w:type="dxa"/>
            <w:vAlign w:val="bottom"/>
            <w:shd w:val="clear" w:color="auto" w:fill="CCCCCC"/>
          </w:tcPr>
          <w:p>
            <w:pPr>
              <w:spacing w:after="0"/>
              <w:rPr>
                <w:sz w:val="14"/>
                <w:szCs w:val="14"/>
                <w:color w:val="auto"/>
              </w:rPr>
            </w:pPr>
          </w:p>
        </w:tc>
      </w:tr>
      <w:tr>
        <w:trPr>
          <w:trHeight w:val="162"/>
        </w:trPr>
        <w:tc>
          <w:tcPr>
            <w:tcW w:w="38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480" w:type="dxa"/>
            <w:vAlign w:val="bottom"/>
            <w:shd w:val="clear" w:color="auto" w:fill="CCCCCC"/>
          </w:tcPr>
          <w:p>
            <w:pPr>
              <w:ind w:left="100"/>
              <w:spacing w:after="0"/>
              <w:rPr>
                <w:sz w:val="20"/>
                <w:szCs w:val="20"/>
                <w:color w:val="auto"/>
              </w:rPr>
            </w:pPr>
            <w:r>
              <w:rPr>
                <w:rFonts w:ascii="Arial" w:cs="Arial" w:eastAsia="Arial" w:hAnsi="Arial"/>
                <w:sz w:val="12"/>
                <w:szCs w:val="12"/>
                <w:color w:val="auto"/>
              </w:rPr>
              <w:t>NARCAN® Nasal Spray</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$106.2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$72.8</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46%</w:t>
            </w:r>
          </w:p>
        </w:tc>
      </w:tr>
      <w:tr>
        <w:trPr>
          <w:trHeight w:val="162"/>
        </w:trPr>
        <w:tc>
          <w:tcPr>
            <w:tcW w:w="38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480" w:type="dxa"/>
            <w:vAlign w:val="bottom"/>
            <w:shd w:val="clear" w:color="auto" w:fill="CCCCCC"/>
          </w:tcPr>
          <w:p>
            <w:pPr>
              <w:ind w:left="100"/>
              <w:spacing w:after="0"/>
              <w:rPr>
                <w:sz w:val="20"/>
                <w:szCs w:val="20"/>
                <w:color w:val="auto"/>
              </w:rPr>
            </w:pPr>
            <w:r>
              <w:rPr>
                <w:rFonts w:ascii="Arial" w:cs="Arial" w:eastAsia="Arial" w:hAnsi="Arial"/>
                <w:sz w:val="12"/>
                <w:szCs w:val="12"/>
                <w:color w:val="auto"/>
              </w:rPr>
              <w:t>Anthrax vaccines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$51.5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$132.3</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(61)%</w:t>
            </w:r>
          </w:p>
        </w:tc>
      </w:tr>
      <w:tr>
        <w:trPr>
          <w:trHeight w:val="162"/>
        </w:trPr>
        <w:tc>
          <w:tcPr>
            <w:tcW w:w="38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480" w:type="dxa"/>
            <w:vAlign w:val="bottom"/>
            <w:shd w:val="clear" w:color="auto" w:fill="CCCCCC"/>
          </w:tcPr>
          <w:p>
            <w:pPr>
              <w:ind w:left="100"/>
              <w:spacing w:after="0"/>
              <w:rPr>
                <w:sz w:val="20"/>
                <w:szCs w:val="20"/>
                <w:color w:val="auto"/>
              </w:rPr>
            </w:pPr>
            <w:r>
              <w:rPr>
                <w:rFonts w:ascii="Arial" w:cs="Arial" w:eastAsia="Arial" w:hAnsi="Arial"/>
                <w:sz w:val="12"/>
                <w:szCs w:val="12"/>
                <w:color w:val="auto"/>
              </w:rPr>
              <w:t>ACAM2000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6"/>
              </w:rPr>
              <w:t>$—</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$70.0</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8"/>
              </w:rPr>
              <w:t>(100)%</w:t>
            </w:r>
          </w:p>
        </w:tc>
      </w:tr>
      <w:tr>
        <w:trPr>
          <w:trHeight w:val="162"/>
        </w:trPr>
        <w:tc>
          <w:tcPr>
            <w:tcW w:w="38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4480" w:type="dxa"/>
            <w:vAlign w:val="bottom"/>
            <w:shd w:val="clear" w:color="auto" w:fill="CCCCCC"/>
          </w:tcPr>
          <w:p>
            <w:pPr>
              <w:ind w:left="100"/>
              <w:spacing w:after="0"/>
              <w:rPr>
                <w:sz w:val="20"/>
                <w:szCs w:val="20"/>
                <w:color w:val="auto"/>
              </w:rPr>
            </w:pPr>
            <w:r>
              <w:rPr>
                <w:rFonts w:ascii="Arial" w:cs="Arial" w:eastAsia="Arial" w:hAnsi="Arial"/>
                <w:sz w:val="12"/>
                <w:szCs w:val="12"/>
                <w:color w:val="auto"/>
              </w:rPr>
              <w:t>Other (4)</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$23.5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$23.4</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6"/>
              </w:rPr>
              <w:t>—%</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Total product sales, net</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$181.2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$298.5</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(39)%</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Contract development and manufacturing (CDMO) services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$190.9</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$72.6</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84"/>
              </w:rPr>
              <w:t>*</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Contracts and grants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$25.4</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$23.6</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8%</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$397.5</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$394.7</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 % change is greater than 100%</w:t>
            </w:r>
          </w:p>
        </w:tc>
        <w:tc>
          <w:tcPr>
            <w:tcW w:w="2140" w:type="dxa"/>
            <w:vAlign w:val="bottom"/>
            <w:shd w:val="clear" w:color="auto" w:fill="CCCCCC"/>
          </w:tcPr>
          <w:p>
            <w:pPr>
              <w:spacing w:after="0"/>
              <w:rPr>
                <w:sz w:val="14"/>
                <w:szCs w:val="14"/>
                <w:color w:val="auto"/>
              </w:rPr>
            </w:pPr>
          </w:p>
        </w:tc>
        <w:tc>
          <w:tcPr>
            <w:tcW w:w="2140" w:type="dxa"/>
            <w:vAlign w:val="bottom"/>
            <w:shd w:val="clear" w:color="auto" w:fill="CCCCCC"/>
          </w:tcPr>
          <w:p>
            <w:pPr>
              <w:spacing w:after="0"/>
              <w:rPr>
                <w:sz w:val="14"/>
                <w:szCs w:val="14"/>
                <w:color w:val="auto"/>
              </w:rPr>
            </w:pPr>
          </w:p>
        </w:tc>
        <w:tc>
          <w:tcPr>
            <w:tcW w:w="2160" w:type="dxa"/>
            <w:vAlign w:val="bottom"/>
            <w:shd w:val="clear" w:color="auto" w:fill="CCCCCC"/>
          </w:tcPr>
          <w:p>
            <w:pPr>
              <w:spacing w:after="0"/>
              <w:rPr>
                <w:sz w:val="14"/>
                <w:szCs w:val="14"/>
                <w:color w:val="auto"/>
              </w:rPr>
            </w:pPr>
          </w:p>
        </w:tc>
      </w:tr>
    </w:tbl>
    <w:p>
      <w:pPr>
        <w:spacing w:after="0" w:line="21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Product Sales, net</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NARCAN Nasal Spray</w:t>
      </w:r>
    </w:p>
    <w:p>
      <w:pPr>
        <w:spacing w:after="0" w:line="6" w:lineRule="exact"/>
        <w:rPr>
          <w:sz w:val="20"/>
          <w:szCs w:val="20"/>
          <w:color w:val="auto"/>
        </w:rPr>
      </w:pPr>
    </w:p>
    <w:p>
      <w:pPr>
        <w:ind w:left="8" w:right="60"/>
        <w:spacing w:after="0" w:line="261" w:lineRule="auto"/>
        <w:rPr>
          <w:sz w:val="20"/>
          <w:szCs w:val="20"/>
          <w:color w:val="auto"/>
        </w:rPr>
      </w:pPr>
      <w:r>
        <w:rPr>
          <w:rFonts w:ascii="Arial" w:cs="Arial" w:eastAsia="Arial" w:hAnsi="Arial"/>
          <w:sz w:val="12"/>
          <w:szCs w:val="12"/>
          <w:color w:val="auto"/>
        </w:rPr>
        <w:t>For Q2 2021, revenues from NARCAN® (naloxone HCI) Nasal Spray increased $33.4 million as compared to Q2 2020. The increase is largely driven by a growth in sales to the U.S. public interest and commercial retail markets as well as an increase in sales to customer channels in Canada.</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Anthrax vaccines</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Q2 2021, revenues from Anthrax vaccines decreased $80.8 million as compared to Q2 2020. The decrease is largely driven by timing of deliveries to the U.S. government.</w:t>
      </w:r>
    </w:p>
    <w:p>
      <w:pPr>
        <w:spacing w:after="0" w:line="156"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ACAM2000</w:t>
      </w:r>
    </w:p>
    <w:p>
      <w:pPr>
        <w:spacing w:after="0" w:line="18" w:lineRule="exact"/>
        <w:rPr>
          <w:sz w:val="20"/>
          <w:szCs w:val="20"/>
          <w:color w:val="auto"/>
        </w:rPr>
      </w:pPr>
    </w:p>
    <w:p>
      <w:pPr>
        <w:ind w:left="8" w:right="200"/>
        <w:spacing w:after="0" w:line="261" w:lineRule="auto"/>
        <w:rPr>
          <w:sz w:val="20"/>
          <w:szCs w:val="20"/>
          <w:color w:val="auto"/>
        </w:rPr>
      </w:pPr>
      <w:r>
        <w:rPr>
          <w:rFonts w:ascii="Arial" w:cs="Arial" w:eastAsia="Arial" w:hAnsi="Arial"/>
          <w:sz w:val="12"/>
          <w:szCs w:val="12"/>
          <w:color w:val="auto"/>
        </w:rPr>
        <w:t>For Q2 2021, revenues from ACAM2000 decreased $70.0 million as compared to Q2 2020. The decrease is largely driven by the timing of deliveries to the U.S. government; the most recent option exercise was received in July 2021 valued at approximately $182 million, the entire amount of which is expected to be delivered in fiscal year 2021.</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i w:val="1"/>
          <w:iCs w:val="1"/>
          <w:u w:val="single" w:color="auto"/>
          <w:color w:val="auto"/>
        </w:rPr>
        <w:t>Other (4)</w:t>
      </w:r>
    </w:p>
    <w:p>
      <w:pPr>
        <w:spacing w:after="0" w:line="18"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Q2 2021, revenues from other product sales were consistent as compared to Q2 2020.</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Contract Development and Manufacturing (CDMO) Services</w:t>
      </w:r>
    </w:p>
    <w:p>
      <w:pPr>
        <w:spacing w:after="0" w:line="20" w:lineRule="exact"/>
        <w:rPr>
          <w:sz w:val="20"/>
          <w:szCs w:val="20"/>
          <w:color w:val="auto"/>
        </w:rPr>
      </w:pPr>
    </w:p>
    <w:p>
      <w:pPr>
        <w:jc w:val="both"/>
        <w:ind w:left="8"/>
        <w:spacing w:after="0" w:line="256" w:lineRule="auto"/>
        <w:rPr>
          <w:sz w:val="20"/>
          <w:szCs w:val="20"/>
          <w:color w:val="auto"/>
        </w:rPr>
      </w:pPr>
      <w:r>
        <w:rPr>
          <w:rFonts w:ascii="Arial" w:cs="Arial" w:eastAsia="Arial" w:hAnsi="Arial"/>
          <w:sz w:val="12"/>
          <w:szCs w:val="12"/>
          <w:color w:val="auto"/>
        </w:rPr>
        <w:t>For Q2 2021, revenue from contract development and manufacturing services increased $118.3 million, as compared to Q2 2020. The increase i</w:t>
      </w:r>
      <w:r>
        <w:rPr>
          <w:rFonts w:ascii="Arial" w:cs="Arial" w:eastAsia="Arial" w:hAnsi="Arial"/>
          <w:sz w:val="12"/>
          <w:szCs w:val="12"/>
          <w:color w:val="2C2C2C"/>
        </w:rPr>
        <w:t>s due to the public-private partnership with the Biomedical Advanced</w:t>
      </w:r>
      <w:r>
        <w:rPr>
          <w:rFonts w:ascii="Arial" w:cs="Arial" w:eastAsia="Arial" w:hAnsi="Arial"/>
          <w:sz w:val="12"/>
          <w:szCs w:val="12"/>
          <w:color w:val="auto"/>
        </w:rPr>
        <w:t xml:space="preserve"> </w:t>
      </w:r>
      <w:r>
        <w:rPr>
          <w:rFonts w:ascii="Arial" w:cs="Arial" w:eastAsia="Arial" w:hAnsi="Arial"/>
          <w:sz w:val="12"/>
          <w:szCs w:val="12"/>
          <w:color w:val="2C2C2C"/>
        </w:rPr>
        <w:t>Research and Development Authority (BARDA) and arrangements with pharma/biotech innovators to address the COVID-19 pandemic. These arrangements were entered into during the second and third quarters of 2020.</w:t>
      </w:r>
    </w:p>
    <w:p>
      <w:pPr>
        <w:spacing w:after="0" w:line="138"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2C2C2C"/>
        </w:rPr>
        <w:t>Contracts and Grants</w:t>
      </w:r>
    </w:p>
    <w:p>
      <w:pPr>
        <w:spacing w:after="0" w:line="20"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Q2 2021, revenues from contracts and grants were consistent as compared to Q2 2020.</w:t>
      </w:r>
    </w:p>
    <w:p>
      <w:pPr>
        <w:spacing w:after="0" w:line="200" w:lineRule="exact"/>
        <w:rPr>
          <w:sz w:val="20"/>
          <w:szCs w:val="20"/>
          <w:color w:val="auto"/>
        </w:rPr>
      </w:pPr>
    </w:p>
    <w:p>
      <w:pPr>
        <w:spacing w:after="0" w:line="377"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2 of 13</w:t>
      </w:r>
    </w:p>
    <w:p>
      <w:pPr>
        <w:sectPr>
          <w:pgSz w:w="11900" w:h="16838" w:orient="portrait"/>
          <w:cols w:equalWidth="0" w:num="1">
            <w:col w:w="11308"/>
          </w:cols>
          <w:pgMar w:left="292" w:top="1426"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38"/>
        </w:trPr>
        <w:tc>
          <w:tcPr>
            <w:tcW w:w="11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8"/>
              </w:rPr>
              <w:t>Operating Expenses</w:t>
            </w:r>
          </w:p>
        </w:tc>
        <w:tc>
          <w:tcPr>
            <w:tcW w:w="37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160" w:type="dxa"/>
            <w:vAlign w:val="bottom"/>
          </w:tcPr>
          <w:p>
            <w:pPr>
              <w:spacing w:after="0"/>
              <w:rPr>
                <w:sz w:val="12"/>
                <w:szCs w:val="12"/>
                <w:color w:val="auto"/>
              </w:rPr>
            </w:pPr>
          </w:p>
        </w:tc>
      </w:tr>
      <w:tr>
        <w:trPr>
          <w:trHeight w:val="25"/>
        </w:trPr>
        <w:tc>
          <w:tcPr>
            <w:tcW w:w="4860" w:type="dxa"/>
            <w:vAlign w:val="bottom"/>
            <w:gridSpan w:val="2"/>
          </w:tcPr>
          <w:p>
            <w:pPr>
              <w:spacing w:after="0"/>
              <w:rPr>
                <w:sz w:val="2"/>
                <w:szCs w:val="2"/>
                <w:color w:val="auto"/>
              </w:rPr>
            </w:pPr>
          </w:p>
        </w:tc>
        <w:tc>
          <w:tcPr>
            <w:tcW w:w="2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153"/>
        </w:trPr>
        <w:tc>
          <w:tcPr>
            <w:tcW w:w="4860" w:type="dxa"/>
            <w:vAlign w:val="bottom"/>
            <w:gridSpan w:val="2"/>
            <w:shd w:val="clear" w:color="auto" w:fill="0F243E"/>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Q2 2021</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Q2 2020</w:t>
            </w:r>
          </w:p>
        </w:tc>
        <w:tc>
          <w:tcPr>
            <w:tcW w:w="2160" w:type="dxa"/>
            <w:vAlign w:val="bottom"/>
            <w:shd w:val="clear" w:color="auto" w:fill="0F243E"/>
          </w:tcPr>
          <w:p>
            <w:pPr>
              <w:ind w:left="80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Cost of product sales and CDMO services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$227.8</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$129.8</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76%</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Research and development</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$48.9</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$47.9</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2%</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Selling, general and administrative</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$91.2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$76.0</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20%</w:t>
            </w:r>
          </w:p>
        </w:tc>
      </w:tr>
      <w:tr>
        <w:trPr>
          <w:trHeight w:val="162"/>
        </w:trPr>
        <w:tc>
          <w:tcPr>
            <w:tcW w:w="486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Amortization of intangible assets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$15.1</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$15.0</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6351905</wp:posOffset>
            </wp:positionH>
            <wp:positionV relativeFrom="page">
              <wp:posOffset>191770</wp:posOffset>
            </wp:positionV>
            <wp:extent cx="1011555" cy="422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-508000</wp:posOffset>
            </wp:positionV>
            <wp:extent cx="7183755" cy="508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3755" cy="508635"/>
                    </a:xfrm>
                    <a:prstGeom prst="rect">
                      <a:avLst/>
                    </a:prstGeom>
                    <a:noFill/>
                  </pic:spPr>
                </pic:pic>
              </a:graphicData>
            </a:graphic>
          </wp:anchor>
        </w:drawing>
      </w:r>
    </w:p>
    <w:p>
      <w:pPr>
        <w:spacing w:after="0" w:line="19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of Product Sales and CDMO Services</w:t>
      </w:r>
    </w:p>
    <w:p>
      <w:pPr>
        <w:spacing w:after="0" w:line="20"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For Q2 2021, cost of product sales and contract development and manufacturing services increased $98.0 million as compared to Q2 2020. The increase primarily consists of an increase in costs associated with the Company's contract development and manufacturing services due to higher volume of CDMO services, a majority of which were in support of the Company's arrangements to address the COVID-19 pandemic. Additionally, during the quarter the Company had inventory write-offs of $41.5 million associated with raw materials and in-process batches manufactured at the Company's Bayview facility that it plans to discard as they were deemed unusable. These increases were partially offset by decreases in the cost of product sales due to less volume.</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Research and Development</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color w:val="auto"/>
        </w:rPr>
        <w:t>For Q2 2021, research and development expenses were consistent as compared to Q2 2020.</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Selling, General and Administrative</w:t>
      </w:r>
    </w:p>
    <w:p>
      <w:pPr>
        <w:spacing w:after="0" w:line="20" w:lineRule="exact"/>
        <w:rPr>
          <w:sz w:val="20"/>
          <w:szCs w:val="20"/>
          <w:color w:val="auto"/>
        </w:rPr>
      </w:pPr>
    </w:p>
    <w:p>
      <w:pPr>
        <w:spacing w:after="0" w:line="261" w:lineRule="auto"/>
        <w:rPr>
          <w:sz w:val="20"/>
          <w:szCs w:val="20"/>
          <w:color w:val="auto"/>
        </w:rPr>
      </w:pPr>
      <w:r>
        <w:rPr>
          <w:rFonts w:ascii="Arial" w:cs="Arial" w:eastAsia="Arial" w:hAnsi="Arial"/>
          <w:sz w:val="12"/>
          <w:szCs w:val="12"/>
          <w:color w:val="auto"/>
        </w:rPr>
        <w:t>For Q2 2021, selling, general and administrative expenses increased $15.2 million as compared to Q2 2020. The increase is primarily due to an increase in costs related to defending and supporting the Company's corporate reputation.</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Additional Financial Information</w:t>
      </w:r>
    </w:p>
    <w:p>
      <w:pPr>
        <w:spacing w:after="0" w:line="20"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Gross Margin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7183755" cy="3086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755" cy="30861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6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Q2 2021</w:t>
            </w:r>
          </w:p>
        </w:tc>
        <w:tc>
          <w:tcPr>
            <w:tcW w:w="212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Q2 2020</w:t>
            </w:r>
          </w:p>
        </w:tc>
        <w:tc>
          <w:tcPr>
            <w:tcW w:w="2180" w:type="dxa"/>
            <w:vAlign w:val="bottom"/>
            <w:shd w:val="clear" w:color="auto" w:fill="0F243E"/>
          </w:tcPr>
          <w:p>
            <w:pPr>
              <w:jc w:val="center"/>
              <w:spacing w:after="0"/>
              <w:rPr>
                <w:sz w:val="20"/>
                <w:szCs w:val="20"/>
                <w:color w:val="auto"/>
              </w:rPr>
            </w:pPr>
            <w:r>
              <w:rPr>
                <w:rFonts w:ascii="Arial" w:cs="Arial" w:eastAsia="Arial" w:hAnsi="Arial"/>
                <w:sz w:val="12"/>
                <w:szCs w:val="12"/>
                <w:color w:val="FFFFFF"/>
                <w:w w:val="99"/>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Gross margin</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$144.3</w:t>
            </w:r>
          </w:p>
        </w:tc>
        <w:tc>
          <w:tcPr>
            <w:tcW w:w="212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7"/>
              </w:rPr>
              <w:t>$241.3</w:t>
            </w:r>
          </w:p>
        </w:tc>
        <w:tc>
          <w:tcPr>
            <w:tcW w:w="218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(40)%</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Gross margin % (gross margin divided by adjusted revenues (2))</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39%</w:t>
            </w:r>
          </w:p>
        </w:tc>
        <w:tc>
          <w:tcPr>
            <w:tcW w:w="212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65%</w:t>
            </w:r>
          </w:p>
        </w:tc>
        <w:tc>
          <w:tcPr>
            <w:tcW w:w="218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(26)%</w:t>
            </w:r>
          </w:p>
        </w:tc>
      </w:tr>
    </w:tbl>
    <w:p>
      <w:pPr>
        <w:spacing w:after="0" w:line="53"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For Q2 2021, gross margin decreased $97.0 million as compared to Q2 2020. The decrease is primarily due to the increase in the cost of product sales and CDMO services, specifically $41.5 million associated with the inventory write-offs, $43.1 million associated with product and service revenue mix which was weighted more heavily to lower margin products and services, and $12.4 million associated with costs incurred to remediate and strengthen manufacturing processes at the Company's Bayview facility, many of which are considered temporary in nature.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60" w:type="dxa"/>
            <w:vAlign w:val="bottom"/>
          </w:tcPr>
          <w:p>
            <w:pPr>
              <w:spacing w:after="0"/>
              <w:rPr>
                <w:sz w:val="20"/>
                <w:szCs w:val="20"/>
                <w:color w:val="auto"/>
              </w:rPr>
            </w:pPr>
            <w:r>
              <w:rPr>
                <w:rFonts w:ascii="Arial" w:cs="Arial" w:eastAsia="Arial" w:hAnsi="Arial"/>
                <w:sz w:val="12"/>
                <w:szCs w:val="12"/>
                <w:b w:val="1"/>
                <w:bCs w:val="1"/>
                <w:i w:val="1"/>
                <w:iCs w:val="1"/>
                <w:color w:val="auto"/>
              </w:rPr>
              <w:t>CDMO Metrics</w:t>
            </w:r>
          </w:p>
        </w:tc>
        <w:tc>
          <w:tcPr>
            <w:tcW w:w="21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2"/>
        </w:trPr>
        <w:tc>
          <w:tcPr>
            <w:tcW w:w="4860" w:type="dxa"/>
            <w:vAlign w:val="bottom"/>
            <w:shd w:val="clear" w:color="auto" w:fill="0F243E"/>
          </w:tcPr>
          <w:p>
            <w:pPr>
              <w:ind w:left="20"/>
              <w:spacing w:after="0"/>
              <w:rPr>
                <w:sz w:val="20"/>
                <w:szCs w:val="20"/>
                <w:color w:val="auto"/>
              </w:rPr>
            </w:pPr>
            <w:r>
              <w:rPr>
                <w:rFonts w:ascii="Arial" w:cs="Arial" w:eastAsia="Arial" w:hAnsi="Arial"/>
                <w:sz w:val="12"/>
                <w:szCs w:val="12"/>
                <w:b w:val="1"/>
                <w:bCs w:val="1"/>
                <w:color w:val="FFFFFF"/>
              </w:rPr>
              <w:t>CDMO Backlog Rollforward</w:t>
            </w:r>
          </w:p>
        </w:tc>
        <w:tc>
          <w:tcPr>
            <w:tcW w:w="2120" w:type="dxa"/>
            <w:vAlign w:val="bottom"/>
            <w:shd w:val="clear" w:color="auto" w:fill="0F243E"/>
          </w:tcPr>
          <w:p>
            <w:pPr>
              <w:spacing w:after="0"/>
              <w:rPr>
                <w:sz w:val="14"/>
                <w:szCs w:val="14"/>
                <w:color w:val="auto"/>
              </w:rPr>
            </w:pPr>
          </w:p>
        </w:tc>
        <w:tc>
          <w:tcPr>
            <w:tcW w:w="2160" w:type="dxa"/>
            <w:vAlign w:val="bottom"/>
            <w:shd w:val="clear" w:color="auto" w:fill="0F243E"/>
          </w:tcPr>
          <w:p>
            <w:pPr>
              <w:spacing w:after="0"/>
              <w:rPr>
                <w:sz w:val="14"/>
                <w:szCs w:val="14"/>
                <w:color w:val="auto"/>
              </w:rPr>
            </w:pPr>
          </w:p>
        </w:tc>
        <w:tc>
          <w:tcPr>
            <w:tcW w:w="2160" w:type="dxa"/>
            <w:vAlign w:val="bottom"/>
            <w:shd w:val="clear" w:color="auto" w:fill="0F243E"/>
          </w:tcPr>
          <w:p>
            <w:pPr>
              <w:jc w:val="center"/>
              <w:spacing w:after="0"/>
              <w:rPr>
                <w:sz w:val="20"/>
                <w:szCs w:val="20"/>
                <w:color w:val="auto"/>
              </w:rPr>
            </w:pPr>
            <w:r>
              <w:rPr>
                <w:rFonts w:ascii="Arial" w:cs="Arial" w:eastAsia="Arial" w:hAnsi="Arial"/>
                <w:sz w:val="12"/>
                <w:szCs w:val="12"/>
                <w:color w:val="FFFFFF"/>
                <w:w w:val="98"/>
              </w:rPr>
              <w:t>($ in millions)</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Beginning backlog (3/31/2021) (5)</w:t>
            </w:r>
          </w:p>
        </w:tc>
        <w:tc>
          <w:tcPr>
            <w:tcW w:w="2120" w:type="dxa"/>
            <w:vAlign w:val="bottom"/>
            <w:shd w:val="clear" w:color="auto" w:fill="CCCCCC"/>
          </w:tcPr>
          <w:p>
            <w:pPr>
              <w:spacing w:after="0"/>
              <w:rPr>
                <w:sz w:val="14"/>
                <w:szCs w:val="14"/>
                <w:color w:val="auto"/>
              </w:rPr>
            </w:pPr>
          </w:p>
        </w:tc>
        <w:tc>
          <w:tcPr>
            <w:tcW w:w="2160" w:type="dxa"/>
            <w:vAlign w:val="bottom"/>
            <w:shd w:val="clear" w:color="auto" w:fill="CCCCCC"/>
          </w:tcPr>
          <w:p>
            <w:pPr>
              <w:spacing w:after="0"/>
              <w:rPr>
                <w:sz w:val="14"/>
                <w:szCs w:val="14"/>
                <w:color w:val="auto"/>
              </w:rPr>
            </w:pP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8"/>
              </w:rPr>
              <w:t>$1,342.8</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Revenue recognized during Q2 2021</w:t>
            </w:r>
          </w:p>
        </w:tc>
        <w:tc>
          <w:tcPr>
            <w:tcW w:w="2120" w:type="dxa"/>
            <w:vAlign w:val="bottom"/>
            <w:shd w:val="clear" w:color="auto" w:fill="CCCCCC"/>
          </w:tcPr>
          <w:p>
            <w:pPr>
              <w:spacing w:after="0"/>
              <w:rPr>
                <w:sz w:val="14"/>
                <w:szCs w:val="14"/>
                <w:color w:val="auto"/>
              </w:rPr>
            </w:pPr>
          </w:p>
        </w:tc>
        <w:tc>
          <w:tcPr>
            <w:tcW w:w="2160" w:type="dxa"/>
            <w:vAlign w:val="bottom"/>
            <w:shd w:val="clear" w:color="auto" w:fill="CCCCCC"/>
          </w:tcPr>
          <w:p>
            <w:pPr>
              <w:spacing w:after="0"/>
              <w:rPr>
                <w:sz w:val="14"/>
                <w:szCs w:val="14"/>
                <w:color w:val="auto"/>
              </w:rPr>
            </w:pP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8"/>
              </w:rPr>
              <w:t>($190.9)</w:t>
            </w:r>
          </w:p>
        </w:tc>
      </w:tr>
      <w:tr>
        <w:trPr>
          <w:trHeight w:val="162"/>
        </w:trPr>
        <w:tc>
          <w:tcPr>
            <w:tcW w:w="4860" w:type="dxa"/>
            <w:vAlign w:val="bottom"/>
            <w:shd w:val="clear" w:color="auto" w:fill="CCCCCC"/>
          </w:tcPr>
          <w:p>
            <w:pPr>
              <w:spacing w:after="0"/>
              <w:rPr>
                <w:sz w:val="20"/>
                <w:szCs w:val="20"/>
                <w:color w:val="auto"/>
              </w:rPr>
            </w:pPr>
            <w:r>
              <w:rPr>
                <w:rFonts w:ascii="Arial" w:cs="Arial" w:eastAsia="Arial" w:hAnsi="Arial"/>
                <w:sz w:val="12"/>
                <w:szCs w:val="12"/>
                <w:color w:val="auto"/>
              </w:rPr>
              <w:t>New Business - Initial value of contracts secured during Q2 2021 (6)</w:t>
            </w:r>
          </w:p>
        </w:tc>
        <w:tc>
          <w:tcPr>
            <w:tcW w:w="2120" w:type="dxa"/>
            <w:vAlign w:val="bottom"/>
            <w:shd w:val="clear" w:color="auto" w:fill="CCCCCC"/>
          </w:tcPr>
          <w:p>
            <w:pPr>
              <w:spacing w:after="0"/>
              <w:rPr>
                <w:sz w:val="14"/>
                <w:szCs w:val="14"/>
                <w:color w:val="auto"/>
              </w:rPr>
            </w:pPr>
          </w:p>
        </w:tc>
        <w:tc>
          <w:tcPr>
            <w:tcW w:w="2160" w:type="dxa"/>
            <w:vAlign w:val="bottom"/>
            <w:shd w:val="clear" w:color="auto" w:fill="CCCCCC"/>
          </w:tcPr>
          <w:p>
            <w:pPr>
              <w:spacing w:after="0"/>
              <w:rPr>
                <w:sz w:val="14"/>
                <w:szCs w:val="14"/>
                <w:color w:val="auto"/>
              </w:rPr>
            </w:pP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$53.2</w:t>
            </w:r>
          </w:p>
        </w:tc>
      </w:tr>
      <w:tr>
        <w:trPr>
          <w:trHeight w:val="162"/>
        </w:trPr>
        <w:tc>
          <w:tcPr>
            <w:tcW w:w="486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2"/>
                <w:szCs w:val="12"/>
                <w:color w:val="auto"/>
              </w:rPr>
              <w:t>New Business - Incremental value of existing contracts modified during Q2 2021 (6)</w:t>
            </w:r>
          </w:p>
        </w:tc>
        <w:tc>
          <w:tcPr>
            <w:tcW w:w="2120" w:type="dxa"/>
            <w:vAlign w:val="bottom"/>
            <w:tcBorders>
              <w:bottom w:val="single" w:sz="8" w:color="CCCCCC"/>
            </w:tcBorders>
            <w:shd w:val="clear" w:color="auto" w:fill="CCCCCC"/>
          </w:tcPr>
          <w:p>
            <w:pPr>
              <w:spacing w:after="0"/>
              <w:rPr>
                <w:sz w:val="14"/>
                <w:szCs w:val="14"/>
                <w:color w:val="auto"/>
              </w:rPr>
            </w:pPr>
          </w:p>
        </w:tc>
        <w:tc>
          <w:tcPr>
            <w:tcW w:w="2160" w:type="dxa"/>
            <w:vAlign w:val="bottom"/>
            <w:tcBorders>
              <w:bottom w:val="single" w:sz="8" w:color="CCCCCC"/>
            </w:tcBorders>
            <w:shd w:val="clear" w:color="auto" w:fill="CCCCCC"/>
          </w:tcPr>
          <w:p>
            <w:pPr>
              <w:spacing w:after="0"/>
              <w:rPr>
                <w:sz w:val="14"/>
                <w:szCs w:val="14"/>
                <w:color w:val="auto"/>
              </w:rPr>
            </w:pPr>
          </w:p>
        </w:tc>
        <w:tc>
          <w:tcPr>
            <w:tcW w:w="21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8"/>
              </w:rPr>
              <w:t>($108.1)</w:t>
            </w:r>
          </w:p>
        </w:tc>
      </w:tr>
      <w:tr>
        <w:trPr>
          <w:trHeight w:val="14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Ending backlog (6/30/2021) (5)</w:t>
            </w:r>
          </w:p>
        </w:tc>
        <w:tc>
          <w:tcPr>
            <w:tcW w:w="2120" w:type="dxa"/>
            <w:vAlign w:val="bottom"/>
            <w:shd w:val="clear" w:color="auto" w:fill="CCCCCC"/>
          </w:tcPr>
          <w:p>
            <w:pPr>
              <w:spacing w:after="0"/>
              <w:rPr>
                <w:sz w:val="12"/>
                <w:szCs w:val="12"/>
                <w:color w:val="auto"/>
              </w:rPr>
            </w:pPr>
          </w:p>
        </w:tc>
        <w:tc>
          <w:tcPr>
            <w:tcW w:w="2160" w:type="dxa"/>
            <w:vAlign w:val="bottom"/>
            <w:shd w:val="clear" w:color="auto" w:fill="CCCCCC"/>
          </w:tcPr>
          <w:p>
            <w:pPr>
              <w:spacing w:after="0"/>
              <w:rPr>
                <w:sz w:val="12"/>
                <w:szCs w:val="12"/>
                <w:color w:val="auto"/>
              </w:rPr>
            </w:pP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8"/>
              </w:rPr>
              <w:t>$1,097.0</w:t>
            </w:r>
          </w:p>
        </w:tc>
      </w:tr>
      <w:tr>
        <w:trPr>
          <w:trHeight w:val="90"/>
        </w:trPr>
        <w:tc>
          <w:tcPr>
            <w:tcW w:w="4860" w:type="dxa"/>
            <w:vAlign w:val="bottom"/>
          </w:tcPr>
          <w:p>
            <w:pPr>
              <w:spacing w:after="0"/>
              <w:rPr>
                <w:sz w:val="7"/>
                <w:szCs w:val="7"/>
                <w:color w:val="auto"/>
              </w:rPr>
            </w:pPr>
          </w:p>
        </w:tc>
        <w:tc>
          <w:tcPr>
            <w:tcW w:w="21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2160" w:type="dxa"/>
            <w:vAlign w:val="bottom"/>
          </w:tcPr>
          <w:p>
            <w:pPr>
              <w:spacing w:after="0"/>
              <w:rPr>
                <w:sz w:val="7"/>
                <w:szCs w:val="7"/>
                <w:color w:val="auto"/>
              </w:rPr>
            </w:pPr>
          </w:p>
        </w:tc>
      </w:tr>
      <w:tr>
        <w:trPr>
          <w:trHeight w:val="153"/>
        </w:trPr>
        <w:tc>
          <w:tcPr>
            <w:tcW w:w="486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 in millions)</w:t>
            </w:r>
          </w:p>
        </w:tc>
        <w:tc>
          <w:tcPr>
            <w:tcW w:w="2120" w:type="dxa"/>
            <w:vAlign w:val="bottom"/>
            <w:shd w:val="clear" w:color="auto" w:fill="0F243E"/>
          </w:tcPr>
          <w:p>
            <w:pPr>
              <w:ind w:left="680"/>
              <w:spacing w:after="0"/>
              <w:rPr>
                <w:sz w:val="20"/>
                <w:szCs w:val="20"/>
                <w:color w:val="auto"/>
              </w:rPr>
            </w:pPr>
            <w:r>
              <w:rPr>
                <w:rFonts w:ascii="Arial" w:cs="Arial" w:eastAsia="Arial" w:hAnsi="Arial"/>
                <w:sz w:val="12"/>
                <w:szCs w:val="12"/>
                <w:b w:val="1"/>
                <w:bCs w:val="1"/>
                <w:color w:val="FFFFFF"/>
              </w:rPr>
              <w:t>June 30, 2021</w:t>
            </w:r>
          </w:p>
        </w:tc>
        <w:tc>
          <w:tcPr>
            <w:tcW w:w="2160" w:type="dxa"/>
            <w:vAlign w:val="bottom"/>
            <w:shd w:val="clear" w:color="auto" w:fill="0F243E"/>
          </w:tcPr>
          <w:p>
            <w:pPr>
              <w:ind w:left="680"/>
              <w:spacing w:after="0"/>
              <w:rPr>
                <w:sz w:val="20"/>
                <w:szCs w:val="20"/>
                <w:color w:val="auto"/>
              </w:rPr>
            </w:pPr>
            <w:r>
              <w:rPr>
                <w:rFonts w:ascii="Arial" w:cs="Arial" w:eastAsia="Arial" w:hAnsi="Arial"/>
                <w:sz w:val="12"/>
                <w:szCs w:val="12"/>
                <w:b w:val="1"/>
                <w:bCs w:val="1"/>
                <w:color w:val="FFFFFF"/>
              </w:rPr>
              <w:t>March 31, 2021</w:t>
            </w:r>
          </w:p>
        </w:tc>
        <w:tc>
          <w:tcPr>
            <w:tcW w:w="216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CDMO services backlog (5)</w:t>
            </w:r>
          </w:p>
        </w:tc>
        <w:tc>
          <w:tcPr>
            <w:tcW w:w="2120" w:type="dxa"/>
            <w:vAlign w:val="bottom"/>
            <w:shd w:val="clear" w:color="auto" w:fill="CCCCCC"/>
          </w:tcPr>
          <w:p>
            <w:pPr>
              <w:jc w:val="right"/>
              <w:ind w:right="742"/>
              <w:spacing w:after="0"/>
              <w:rPr>
                <w:sz w:val="20"/>
                <w:szCs w:val="20"/>
                <w:color w:val="auto"/>
              </w:rPr>
            </w:pPr>
            <w:r>
              <w:rPr>
                <w:rFonts w:ascii="Arial" w:cs="Arial" w:eastAsia="Arial" w:hAnsi="Arial"/>
                <w:sz w:val="12"/>
                <w:szCs w:val="12"/>
                <w:color w:val="auto"/>
              </w:rPr>
              <w:t>$1,097.0</w:t>
            </w:r>
          </w:p>
        </w:tc>
        <w:tc>
          <w:tcPr>
            <w:tcW w:w="2160" w:type="dxa"/>
            <w:vAlign w:val="bottom"/>
            <w:shd w:val="clear" w:color="auto" w:fill="CCCCCC"/>
          </w:tcPr>
          <w:p>
            <w:pPr>
              <w:jc w:val="right"/>
              <w:ind w:right="760"/>
              <w:spacing w:after="0"/>
              <w:rPr>
                <w:sz w:val="20"/>
                <w:szCs w:val="20"/>
                <w:color w:val="auto"/>
              </w:rPr>
            </w:pPr>
            <w:r>
              <w:rPr>
                <w:rFonts w:ascii="Arial" w:cs="Arial" w:eastAsia="Arial" w:hAnsi="Arial"/>
                <w:sz w:val="12"/>
                <w:szCs w:val="12"/>
                <w:color w:val="auto"/>
              </w:rPr>
              <w:t>$1,342.8</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(18)%</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CDMO services opportunity funnel (7)</w:t>
            </w:r>
          </w:p>
        </w:tc>
        <w:tc>
          <w:tcPr>
            <w:tcW w:w="2120" w:type="dxa"/>
            <w:vAlign w:val="bottom"/>
            <w:shd w:val="clear" w:color="auto" w:fill="CCCCCC"/>
          </w:tcPr>
          <w:p>
            <w:pPr>
              <w:jc w:val="right"/>
              <w:ind w:right="802"/>
              <w:spacing w:after="0"/>
              <w:rPr>
                <w:sz w:val="20"/>
                <w:szCs w:val="20"/>
                <w:color w:val="auto"/>
              </w:rPr>
            </w:pPr>
            <w:r>
              <w:rPr>
                <w:rFonts w:ascii="Arial" w:cs="Arial" w:eastAsia="Arial" w:hAnsi="Arial"/>
                <w:sz w:val="12"/>
                <w:szCs w:val="12"/>
                <w:color w:val="auto"/>
              </w:rPr>
              <w:t>$672.0</w:t>
            </w:r>
          </w:p>
        </w:tc>
        <w:tc>
          <w:tcPr>
            <w:tcW w:w="2160" w:type="dxa"/>
            <w:vAlign w:val="bottom"/>
            <w:shd w:val="clear" w:color="auto" w:fill="CCCCCC"/>
          </w:tcPr>
          <w:p>
            <w:pPr>
              <w:jc w:val="right"/>
              <w:ind w:right="820"/>
              <w:spacing w:after="0"/>
              <w:rPr>
                <w:sz w:val="20"/>
                <w:szCs w:val="20"/>
                <w:color w:val="auto"/>
              </w:rPr>
            </w:pPr>
            <w:r>
              <w:rPr>
                <w:rFonts w:ascii="Arial" w:cs="Arial" w:eastAsia="Arial" w:hAnsi="Arial"/>
                <w:sz w:val="12"/>
                <w:szCs w:val="12"/>
                <w:color w:val="auto"/>
              </w:rPr>
              <w:t>$807.1</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(17)%</w:t>
            </w:r>
          </w:p>
        </w:tc>
      </w:tr>
      <w:tr>
        <w:trPr>
          <w:trHeight w:val="608"/>
        </w:trPr>
        <w:tc>
          <w:tcPr>
            <w:tcW w:w="4860" w:type="dxa"/>
            <w:vAlign w:val="bottom"/>
          </w:tcPr>
          <w:p>
            <w:pPr>
              <w:spacing w:after="0"/>
              <w:rPr>
                <w:sz w:val="24"/>
                <w:szCs w:val="24"/>
                <w:color w:val="auto"/>
              </w:rPr>
            </w:pPr>
          </w:p>
        </w:tc>
        <w:tc>
          <w:tcPr>
            <w:tcW w:w="2120" w:type="dxa"/>
            <w:vAlign w:val="bottom"/>
          </w:tcPr>
          <w:p>
            <w:pPr>
              <w:ind w:left="640"/>
              <w:spacing w:after="0"/>
              <w:rPr>
                <w:sz w:val="20"/>
                <w:szCs w:val="20"/>
                <w:color w:val="auto"/>
              </w:rPr>
            </w:pPr>
            <w:r>
              <w:rPr>
                <w:rFonts w:ascii="Arial" w:cs="Arial" w:eastAsia="Arial" w:hAnsi="Arial"/>
                <w:sz w:val="11"/>
                <w:szCs w:val="11"/>
                <w:color w:val="auto"/>
              </w:rPr>
              <w:t>3 of 13</w:t>
            </w:r>
          </w:p>
        </w:tc>
        <w:tc>
          <w:tcPr>
            <w:tcW w:w="216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-1356995</wp:posOffset>
            </wp:positionV>
            <wp:extent cx="7183755" cy="971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755" cy="971550"/>
                    </a:xfrm>
                    <a:prstGeom prst="rect">
                      <a:avLst/>
                    </a:prstGeom>
                    <a:noFill/>
                  </pic:spPr>
                </pic:pic>
              </a:graphicData>
            </a:graphic>
          </wp:anchor>
        </w:drawing>
      </w:r>
    </w:p>
    <w:p>
      <w:pPr>
        <w:sectPr>
          <w:pgSz w:w="11900" w:h="16838" w:orient="portrait"/>
          <w:cols w:equalWidth="0" w:num="1">
            <w:col w:w="11300"/>
          </w:cols>
          <w:pgMar w:left="300" w:top="1415" w:right="299" w:bottom="1440" w:gutter="0" w:footer="0" w:header="0"/>
        </w:sectPr>
      </w:pPr>
    </w:p>
    <w:bookmarkStart w:id="5" w:name="page6"/>
    <w:bookmarkEnd w:id="5"/>
    <w:p>
      <w:pPr>
        <w:ind w:right="340"/>
        <w:spacing w:after="0" w:line="261"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6351905</wp:posOffset>
            </wp:positionH>
            <wp:positionV relativeFrom="page">
              <wp:posOffset>191770</wp:posOffset>
            </wp:positionV>
            <wp:extent cx="1011555" cy="422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t>For Q2 2021, CDMO services backlog decreased $245.8 million as compared to Q1 2021. The decrease is primarily due to revenue realized in the quarter of $190.9 million, $108.1 million of negative contract modifications and other adjustments offset by $53.2 million of positive new business generation during the quarter.</w:t>
      </w:r>
    </w:p>
    <w:p>
      <w:pPr>
        <w:spacing w:after="0" w:line="150" w:lineRule="exact"/>
        <w:rPr>
          <w:sz w:val="20"/>
          <w:szCs w:val="20"/>
          <w:color w:val="auto"/>
        </w:rPr>
      </w:pPr>
    </w:p>
    <w:p>
      <w:pPr>
        <w:ind w:right="540"/>
        <w:spacing w:after="0" w:line="261" w:lineRule="auto"/>
        <w:rPr>
          <w:sz w:val="20"/>
          <w:szCs w:val="20"/>
          <w:color w:val="auto"/>
        </w:rPr>
      </w:pPr>
      <w:r>
        <w:rPr>
          <w:rFonts w:ascii="Arial" w:cs="Arial" w:eastAsia="Arial" w:hAnsi="Arial"/>
          <w:sz w:val="12"/>
          <w:szCs w:val="12"/>
          <w:color w:val="auto"/>
        </w:rPr>
        <w:t>For Q2 2021, CDMO services opportunity funnel decreased $ 135.1 million as compared to Q1 2021. The decrease is primarily due to the exclusion of opportunities at the Company's Bayview facility as all manufacturing activities at that facility are currently prioritized to support the Johnson &amp; Johnson COVID-19 vaccine.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860" w:type="dxa"/>
            <w:vAlign w:val="bottom"/>
          </w:tcPr>
          <w:p>
            <w:pPr>
              <w:spacing w:after="0"/>
              <w:rPr>
                <w:sz w:val="20"/>
                <w:szCs w:val="20"/>
                <w:color w:val="auto"/>
              </w:rPr>
            </w:pPr>
            <w:r>
              <w:rPr>
                <w:rFonts w:ascii="Arial" w:cs="Arial" w:eastAsia="Arial" w:hAnsi="Arial"/>
                <w:sz w:val="12"/>
                <w:szCs w:val="12"/>
                <w:b w:val="1"/>
                <w:bCs w:val="1"/>
                <w:i w:val="1"/>
                <w:iCs w:val="1"/>
                <w:color w:val="auto"/>
              </w:rPr>
              <w:t>Capital Expenditures</w:t>
            </w:r>
          </w:p>
        </w:tc>
        <w:tc>
          <w:tcPr>
            <w:tcW w:w="2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162"/>
        </w:trPr>
        <w:tc>
          <w:tcPr>
            <w:tcW w:w="4860" w:type="dxa"/>
            <w:vAlign w:val="bottom"/>
            <w:shd w:val="clear" w:color="auto" w:fill="0F243E"/>
          </w:tcPr>
          <w:p>
            <w:pPr>
              <w:ind w:left="20"/>
              <w:spacing w:after="0"/>
              <w:rPr>
                <w:sz w:val="20"/>
                <w:szCs w:val="20"/>
                <w:color w:val="auto"/>
              </w:rPr>
            </w:pPr>
            <w:r>
              <w:rPr>
                <w:rFonts w:ascii="Arial" w:cs="Arial" w:eastAsia="Arial" w:hAnsi="Arial"/>
                <w:sz w:val="12"/>
                <w:szCs w:val="12"/>
                <w:color w:val="FFFFFF"/>
              </w:rPr>
              <w:t>($ in millions)</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Q2 2021</w:t>
            </w:r>
          </w:p>
        </w:tc>
        <w:tc>
          <w:tcPr>
            <w:tcW w:w="214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9"/>
              </w:rPr>
              <w:t>Q2 2020</w:t>
            </w:r>
          </w:p>
        </w:tc>
        <w:tc>
          <w:tcPr>
            <w:tcW w:w="2160" w:type="dxa"/>
            <w:vAlign w:val="bottom"/>
            <w:shd w:val="clear" w:color="auto" w:fill="0F243E"/>
          </w:tcPr>
          <w:p>
            <w:pPr>
              <w:ind w:left="800"/>
              <w:spacing w:after="0"/>
              <w:rPr>
                <w:sz w:val="20"/>
                <w:szCs w:val="20"/>
                <w:color w:val="auto"/>
              </w:rPr>
            </w:pPr>
            <w:r>
              <w:rPr>
                <w:rFonts w:ascii="Arial" w:cs="Arial" w:eastAsia="Arial" w:hAnsi="Arial"/>
                <w:sz w:val="12"/>
                <w:szCs w:val="12"/>
                <w:b w:val="1"/>
                <w:bCs w:val="1"/>
                <w:color w:val="FFFFFF"/>
              </w:rPr>
              <w:t>% Change</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Gross capital expenditures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$67.0</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$35.1</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91%</w:t>
            </w:r>
          </w:p>
        </w:tc>
      </w:tr>
      <w:tr>
        <w:trPr>
          <w:trHeight w:val="162"/>
        </w:trPr>
        <w:tc>
          <w:tcPr>
            <w:tcW w:w="4860" w:type="dxa"/>
            <w:vAlign w:val="bottom"/>
            <w:tcBorders>
              <w:bottom w:val="single" w:sz="8" w:color="CCCCCC"/>
            </w:tcBorders>
            <w:shd w:val="clear" w:color="auto" w:fill="CCCCCC"/>
          </w:tcPr>
          <w:p>
            <w:pPr>
              <w:ind w:left="200"/>
              <w:spacing w:after="0"/>
              <w:rPr>
                <w:sz w:val="20"/>
                <w:szCs w:val="20"/>
                <w:color w:val="auto"/>
              </w:rPr>
            </w:pPr>
            <w:r>
              <w:rPr>
                <w:rFonts w:ascii="Arial" w:cs="Arial" w:eastAsia="Arial" w:hAnsi="Arial"/>
                <w:sz w:val="12"/>
                <w:szCs w:val="12"/>
                <w:color w:val="auto"/>
              </w:rPr>
              <w:t>- Capital expenditures reimbursed</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9"/>
              </w:rPr>
              <w:t>$11.4</w:t>
            </w:r>
          </w:p>
        </w:tc>
        <w:tc>
          <w:tcPr>
            <w:tcW w:w="214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rPr>
              <w:t>$—</w:t>
            </w:r>
          </w:p>
        </w:tc>
        <w:tc>
          <w:tcPr>
            <w:tcW w:w="216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2"/>
                <w:szCs w:val="12"/>
                <w:color w:val="auto"/>
                <w:w w:val="96"/>
              </w:rPr>
              <w:t>—%</w:t>
            </w:r>
          </w:p>
        </w:tc>
      </w:tr>
      <w:tr>
        <w:trPr>
          <w:trHeight w:val="14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capital expenditures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$55.6</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$35.1</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58%</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Gross capital expenditures as a % of 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17%</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1"/>
              </w:rPr>
              <w:t>9%</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8%</w:t>
            </w:r>
          </w:p>
        </w:tc>
      </w:tr>
      <w:tr>
        <w:trPr>
          <w:trHeight w:val="162"/>
        </w:trPr>
        <w:tc>
          <w:tcPr>
            <w:tcW w:w="4860" w:type="dxa"/>
            <w:vAlign w:val="bottom"/>
            <w:shd w:val="clear" w:color="auto" w:fill="CCCCCC"/>
          </w:tcPr>
          <w:p>
            <w:pPr>
              <w:ind w:left="20"/>
              <w:spacing w:after="0"/>
              <w:rPr>
                <w:sz w:val="20"/>
                <w:szCs w:val="20"/>
                <w:color w:val="auto"/>
              </w:rPr>
            </w:pPr>
            <w:r>
              <w:rPr>
                <w:rFonts w:ascii="Arial" w:cs="Arial" w:eastAsia="Arial" w:hAnsi="Arial"/>
                <w:sz w:val="12"/>
                <w:szCs w:val="12"/>
                <w:color w:val="auto"/>
              </w:rPr>
              <w:t>Net capital expenditures as a % of total revenues</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9"/>
              </w:rPr>
              <w:t>14%</w:t>
            </w:r>
          </w:p>
        </w:tc>
        <w:tc>
          <w:tcPr>
            <w:tcW w:w="2140" w:type="dxa"/>
            <w:vAlign w:val="bottom"/>
            <w:shd w:val="clear" w:color="auto" w:fill="CCCCCC"/>
          </w:tcPr>
          <w:p>
            <w:pPr>
              <w:jc w:val="center"/>
              <w:spacing w:after="0"/>
              <w:rPr>
                <w:sz w:val="20"/>
                <w:szCs w:val="20"/>
                <w:color w:val="auto"/>
              </w:rPr>
            </w:pPr>
            <w:r>
              <w:rPr>
                <w:rFonts w:ascii="Arial" w:cs="Arial" w:eastAsia="Arial" w:hAnsi="Arial"/>
                <w:sz w:val="12"/>
                <w:szCs w:val="12"/>
                <w:color w:val="auto"/>
                <w:w w:val="91"/>
              </w:rPr>
              <w:t>9%</w:t>
            </w:r>
          </w:p>
        </w:tc>
        <w:tc>
          <w:tcPr>
            <w:tcW w:w="2160" w:type="dxa"/>
            <w:vAlign w:val="bottom"/>
            <w:shd w:val="clear" w:color="auto" w:fill="CCCCCC"/>
          </w:tcPr>
          <w:p>
            <w:pPr>
              <w:jc w:val="center"/>
              <w:spacing w:after="0"/>
              <w:rPr>
                <w:sz w:val="20"/>
                <w:szCs w:val="20"/>
                <w:color w:val="auto"/>
              </w:rPr>
            </w:pPr>
            <w:r>
              <w:rPr>
                <w:rFonts w:ascii="Arial" w:cs="Arial" w:eastAsia="Arial" w:hAnsi="Arial"/>
                <w:sz w:val="12"/>
                <w:szCs w:val="12"/>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-610870</wp:posOffset>
            </wp:positionV>
            <wp:extent cx="7183755" cy="611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755" cy="611505"/>
                    </a:xfrm>
                    <a:prstGeom prst="rect">
                      <a:avLst/>
                    </a:prstGeom>
                    <a:noFill/>
                  </pic:spPr>
                </pic:pic>
              </a:graphicData>
            </a:graphic>
          </wp:anchor>
        </w:drawing>
      </w:r>
    </w:p>
    <w:p>
      <w:pPr>
        <w:spacing w:after="0" w:line="42"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For Q2 2021, capital expenditures increased largely due to the Company's continued investments associated with increased capacity and capabilities at the Company's Rockville and Bayview facilities. The increase in gross capital expenditures was offset by reimbursements of $11.4 million related to arrangements funded by the U.S. government.</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2021 FINANCIAL FORECAST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For full year 2021, the Company's forecast includes the following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83755" cy="925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755" cy="925830"/>
                    </a:xfrm>
                    <a:prstGeom prst="rect">
                      <a:avLst/>
                    </a:prstGeom>
                    <a:noFill/>
                  </pic:spPr>
                </pic:pic>
              </a:graphicData>
            </a:graphic>
          </wp:anchor>
        </w:drawing>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580" w:type="dxa"/>
            <w:vAlign w:val="bottom"/>
            <w:gridSpan w:val="2"/>
            <w:shd w:val="clear" w:color="auto" w:fill="0F243E"/>
          </w:tcPr>
          <w:p>
            <w:pPr>
              <w:ind w:left="20"/>
              <w:spacing w:after="0"/>
              <w:rPr>
                <w:sz w:val="20"/>
                <w:szCs w:val="20"/>
                <w:color w:val="auto"/>
              </w:rPr>
            </w:pPr>
            <w:r>
              <w:rPr>
                <w:rFonts w:ascii="Arial" w:cs="Arial" w:eastAsia="Arial" w:hAnsi="Arial"/>
                <w:sz w:val="12"/>
                <w:szCs w:val="12"/>
                <w:color w:val="FFFFFF"/>
              </w:rPr>
              <w:t>($ in millions)</w:t>
            </w:r>
          </w:p>
        </w:tc>
        <w:tc>
          <w:tcPr>
            <w:tcW w:w="1380" w:type="dxa"/>
            <w:vAlign w:val="bottom"/>
            <w:shd w:val="clear" w:color="auto" w:fill="0F243E"/>
          </w:tcPr>
          <w:p>
            <w:pPr>
              <w:spacing w:after="0"/>
              <w:rPr>
                <w:sz w:val="13"/>
                <w:szCs w:val="13"/>
                <w:color w:val="auto"/>
              </w:rPr>
            </w:pPr>
          </w:p>
        </w:tc>
        <w:tc>
          <w:tcPr>
            <w:tcW w:w="780" w:type="dxa"/>
            <w:vAlign w:val="bottom"/>
            <w:shd w:val="clear" w:color="auto" w:fill="0F243E"/>
          </w:tcPr>
          <w:p>
            <w:pPr>
              <w:spacing w:after="0"/>
              <w:rPr>
                <w:sz w:val="13"/>
                <w:szCs w:val="13"/>
                <w:color w:val="auto"/>
              </w:rPr>
            </w:pPr>
          </w:p>
        </w:tc>
        <w:tc>
          <w:tcPr>
            <w:tcW w:w="3560" w:type="dxa"/>
            <w:vAlign w:val="bottom"/>
            <w:shd w:val="clear" w:color="auto" w:fill="0F243E"/>
          </w:tcPr>
          <w:p>
            <w:pPr>
              <w:ind w:left="300"/>
              <w:spacing w:after="0"/>
              <w:rPr>
                <w:sz w:val="20"/>
                <w:szCs w:val="20"/>
                <w:color w:val="auto"/>
              </w:rPr>
            </w:pPr>
            <w:r>
              <w:rPr>
                <w:rFonts w:ascii="Arial" w:cs="Arial" w:eastAsia="Arial" w:hAnsi="Arial"/>
                <w:sz w:val="12"/>
                <w:szCs w:val="12"/>
                <w:b w:val="1"/>
                <w:bCs w:val="1"/>
                <w:color w:val="FFFFFF"/>
              </w:rPr>
              <w:t>2021 Forecast</w:t>
            </w:r>
          </w:p>
        </w:tc>
      </w:tr>
      <w:tr>
        <w:trPr>
          <w:trHeight w:val="162"/>
        </w:trPr>
        <w:tc>
          <w:tcPr>
            <w:tcW w:w="558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Total revenues</w:t>
            </w: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$1,700</w:t>
            </w:r>
          </w:p>
        </w:tc>
        <w:tc>
          <w:tcPr>
            <w:tcW w:w="7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$1,900</w:t>
            </w:r>
          </w:p>
        </w:tc>
        <w:tc>
          <w:tcPr>
            <w:tcW w:w="3560" w:type="dxa"/>
            <w:vAlign w:val="bottom"/>
            <w:shd w:val="clear" w:color="auto" w:fill="CCCCCC"/>
          </w:tcPr>
          <w:p>
            <w:pPr>
              <w:jc w:val="center"/>
              <w:ind w:left="640"/>
              <w:spacing w:after="0"/>
              <w:rPr>
                <w:sz w:val="20"/>
                <w:szCs w:val="20"/>
                <w:color w:val="auto"/>
              </w:rPr>
            </w:pPr>
            <w:r>
              <w:rPr>
                <w:rFonts w:ascii="Arial" w:cs="Arial" w:eastAsia="Arial" w:hAnsi="Arial"/>
                <w:sz w:val="12"/>
                <w:szCs w:val="12"/>
                <w:color w:val="auto"/>
                <w:w w:val="98"/>
              </w:rPr>
              <w:t>Reaffirmed</w:t>
            </w: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5240" w:type="dxa"/>
            <w:vAlign w:val="bottom"/>
            <w:shd w:val="clear" w:color="auto" w:fill="CCCCCC"/>
          </w:tcPr>
          <w:p>
            <w:pPr>
              <w:ind w:left="80"/>
              <w:spacing w:after="0"/>
              <w:rPr>
                <w:sz w:val="20"/>
                <w:szCs w:val="20"/>
                <w:color w:val="auto"/>
              </w:rPr>
            </w:pPr>
            <w:r>
              <w:rPr>
                <w:rFonts w:ascii="Arial" w:cs="Arial" w:eastAsia="Arial" w:hAnsi="Arial"/>
                <w:sz w:val="12"/>
                <w:szCs w:val="12"/>
                <w:color w:val="auto"/>
              </w:rPr>
              <w:t>NARCAN® Nasal Spray</w:t>
            </w: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$305</w:t>
            </w:r>
          </w:p>
        </w:tc>
        <w:tc>
          <w:tcPr>
            <w:tcW w:w="7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$325</w:t>
            </w:r>
          </w:p>
        </w:tc>
        <w:tc>
          <w:tcPr>
            <w:tcW w:w="3560" w:type="dxa"/>
            <w:vAlign w:val="bottom"/>
            <w:shd w:val="clear" w:color="auto" w:fill="CCCCCC"/>
          </w:tcPr>
          <w:p>
            <w:pPr>
              <w:jc w:val="center"/>
              <w:ind w:left="640"/>
              <w:spacing w:after="0"/>
              <w:rPr>
                <w:sz w:val="20"/>
                <w:szCs w:val="20"/>
                <w:color w:val="auto"/>
              </w:rPr>
            </w:pPr>
            <w:r>
              <w:rPr>
                <w:rFonts w:ascii="Arial" w:cs="Arial" w:eastAsia="Arial" w:hAnsi="Arial"/>
                <w:sz w:val="12"/>
                <w:szCs w:val="12"/>
                <w:color w:val="auto"/>
                <w:w w:val="98"/>
              </w:rPr>
              <w:t>Reaffirmed</w:t>
            </w: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5240" w:type="dxa"/>
            <w:vAlign w:val="bottom"/>
            <w:shd w:val="clear" w:color="auto" w:fill="CCCCCC"/>
          </w:tcPr>
          <w:p>
            <w:pPr>
              <w:ind w:left="80"/>
              <w:spacing w:after="0"/>
              <w:rPr>
                <w:sz w:val="20"/>
                <w:szCs w:val="20"/>
                <w:color w:val="auto"/>
              </w:rPr>
            </w:pPr>
            <w:r>
              <w:rPr>
                <w:rFonts w:ascii="Arial" w:cs="Arial" w:eastAsia="Arial" w:hAnsi="Arial"/>
                <w:sz w:val="12"/>
                <w:szCs w:val="12"/>
                <w:color w:val="auto"/>
              </w:rPr>
              <w:t>Anthrax vaccines</w:t>
            </w: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$280</w:t>
            </w:r>
          </w:p>
        </w:tc>
        <w:tc>
          <w:tcPr>
            <w:tcW w:w="7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$310</w:t>
            </w:r>
          </w:p>
        </w:tc>
        <w:tc>
          <w:tcPr>
            <w:tcW w:w="3560" w:type="dxa"/>
            <w:vAlign w:val="bottom"/>
            <w:shd w:val="clear" w:color="auto" w:fill="CCCCCC"/>
          </w:tcPr>
          <w:p>
            <w:pPr>
              <w:jc w:val="center"/>
              <w:ind w:left="640"/>
              <w:spacing w:after="0"/>
              <w:rPr>
                <w:sz w:val="20"/>
                <w:szCs w:val="20"/>
                <w:color w:val="auto"/>
              </w:rPr>
            </w:pPr>
            <w:r>
              <w:rPr>
                <w:rFonts w:ascii="Arial" w:cs="Arial" w:eastAsia="Arial" w:hAnsi="Arial"/>
                <w:sz w:val="12"/>
                <w:szCs w:val="12"/>
                <w:color w:val="auto"/>
                <w:w w:val="98"/>
              </w:rPr>
              <w:t>Reaffirmed</w:t>
            </w: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5240" w:type="dxa"/>
            <w:vAlign w:val="bottom"/>
            <w:shd w:val="clear" w:color="auto" w:fill="CCCCCC"/>
          </w:tcPr>
          <w:p>
            <w:pPr>
              <w:ind w:left="80"/>
              <w:spacing w:after="0"/>
              <w:rPr>
                <w:sz w:val="20"/>
                <w:szCs w:val="20"/>
                <w:color w:val="auto"/>
              </w:rPr>
            </w:pPr>
            <w:r>
              <w:rPr>
                <w:rFonts w:ascii="Arial" w:cs="Arial" w:eastAsia="Arial" w:hAnsi="Arial"/>
                <w:sz w:val="12"/>
                <w:szCs w:val="12"/>
                <w:color w:val="auto"/>
              </w:rPr>
              <w:t>ACAM2000®</w:t>
            </w: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$185</w:t>
            </w:r>
          </w:p>
        </w:tc>
        <w:tc>
          <w:tcPr>
            <w:tcW w:w="7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$205</w:t>
            </w:r>
          </w:p>
        </w:tc>
        <w:tc>
          <w:tcPr>
            <w:tcW w:w="3560" w:type="dxa"/>
            <w:vAlign w:val="bottom"/>
            <w:shd w:val="clear" w:color="auto" w:fill="CCCCCC"/>
          </w:tcPr>
          <w:p>
            <w:pPr>
              <w:jc w:val="center"/>
              <w:ind w:left="640"/>
              <w:spacing w:after="0"/>
              <w:rPr>
                <w:sz w:val="20"/>
                <w:szCs w:val="20"/>
                <w:color w:val="auto"/>
              </w:rPr>
            </w:pPr>
            <w:r>
              <w:rPr>
                <w:rFonts w:ascii="Arial" w:cs="Arial" w:eastAsia="Arial" w:hAnsi="Arial"/>
                <w:sz w:val="12"/>
                <w:szCs w:val="12"/>
                <w:color w:val="auto"/>
                <w:w w:val="98"/>
              </w:rPr>
              <w:t>Reaffirmed</w:t>
            </w:r>
          </w:p>
        </w:tc>
      </w:tr>
      <w:tr>
        <w:trPr>
          <w:trHeight w:val="162"/>
        </w:trPr>
        <w:tc>
          <w:tcPr>
            <w:tcW w:w="340" w:type="dxa"/>
            <w:vAlign w:val="bottom"/>
            <w:shd w:val="clear" w:color="auto" w:fill="CCCCCC"/>
          </w:tcPr>
          <w:p>
            <w:pPr>
              <w:ind w:left="220"/>
              <w:spacing w:after="0"/>
              <w:rPr>
                <w:sz w:val="20"/>
                <w:szCs w:val="20"/>
                <w:color w:val="auto"/>
              </w:rPr>
            </w:pPr>
            <w:r>
              <w:rPr>
                <w:rFonts w:ascii="Arial" w:cs="Arial" w:eastAsia="Arial" w:hAnsi="Arial"/>
                <w:sz w:val="12"/>
                <w:szCs w:val="12"/>
                <w:color w:val="auto"/>
              </w:rPr>
              <w:t>•</w:t>
            </w:r>
          </w:p>
        </w:tc>
        <w:tc>
          <w:tcPr>
            <w:tcW w:w="5240" w:type="dxa"/>
            <w:vAlign w:val="bottom"/>
            <w:shd w:val="clear" w:color="auto" w:fill="CCCCCC"/>
          </w:tcPr>
          <w:p>
            <w:pPr>
              <w:ind w:left="80"/>
              <w:spacing w:after="0"/>
              <w:rPr>
                <w:sz w:val="20"/>
                <w:szCs w:val="20"/>
                <w:color w:val="auto"/>
              </w:rPr>
            </w:pPr>
            <w:r>
              <w:rPr>
                <w:rFonts w:ascii="Arial" w:cs="Arial" w:eastAsia="Arial" w:hAnsi="Arial"/>
                <w:sz w:val="12"/>
                <w:szCs w:val="12"/>
                <w:color w:val="auto"/>
              </w:rPr>
              <w:t>CDMO services</w:t>
            </w: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$765</w:t>
            </w:r>
          </w:p>
        </w:tc>
        <w:tc>
          <w:tcPr>
            <w:tcW w:w="7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$875</w:t>
            </w:r>
          </w:p>
        </w:tc>
        <w:tc>
          <w:tcPr>
            <w:tcW w:w="3560" w:type="dxa"/>
            <w:vAlign w:val="bottom"/>
            <w:shd w:val="clear" w:color="auto" w:fill="CCCCCC"/>
          </w:tcPr>
          <w:p>
            <w:pPr>
              <w:jc w:val="center"/>
              <w:ind w:left="640"/>
              <w:spacing w:after="0"/>
              <w:rPr>
                <w:sz w:val="20"/>
                <w:szCs w:val="20"/>
                <w:color w:val="auto"/>
              </w:rPr>
            </w:pPr>
            <w:r>
              <w:rPr>
                <w:rFonts w:ascii="Arial" w:cs="Arial" w:eastAsia="Arial" w:hAnsi="Arial"/>
                <w:sz w:val="12"/>
                <w:szCs w:val="12"/>
                <w:color w:val="auto"/>
                <w:w w:val="98"/>
              </w:rPr>
              <w:t>Reaffirmed</w:t>
            </w:r>
          </w:p>
        </w:tc>
      </w:tr>
      <w:tr>
        <w:trPr>
          <w:trHeight w:val="162"/>
        </w:trPr>
        <w:tc>
          <w:tcPr>
            <w:tcW w:w="5580" w:type="dxa"/>
            <w:vAlign w:val="bottom"/>
            <w:gridSpan w:val="2"/>
            <w:shd w:val="clear" w:color="auto" w:fill="CCCCCC"/>
          </w:tcPr>
          <w:p>
            <w:pPr>
              <w:ind w:left="20"/>
              <w:spacing w:after="0"/>
              <w:rPr>
                <w:sz w:val="20"/>
                <w:szCs w:val="20"/>
                <w:color w:val="auto"/>
              </w:rPr>
            </w:pPr>
            <w:r>
              <w:rPr>
                <w:rFonts w:ascii="Arial" w:cs="Arial" w:eastAsia="Arial" w:hAnsi="Arial"/>
                <w:sz w:val="12"/>
                <w:szCs w:val="12"/>
                <w:color w:val="auto"/>
              </w:rPr>
              <w:t>Adjusted EBITDA (2)</w:t>
            </w: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$620</w:t>
            </w:r>
          </w:p>
        </w:tc>
        <w:tc>
          <w:tcPr>
            <w:tcW w:w="7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$720</w:t>
            </w:r>
          </w:p>
        </w:tc>
        <w:tc>
          <w:tcPr>
            <w:tcW w:w="3560" w:type="dxa"/>
            <w:vAlign w:val="bottom"/>
            <w:shd w:val="clear" w:color="auto" w:fill="CCCCCC"/>
          </w:tcPr>
          <w:p>
            <w:pPr>
              <w:jc w:val="center"/>
              <w:ind w:left="640"/>
              <w:spacing w:after="0"/>
              <w:rPr>
                <w:sz w:val="20"/>
                <w:szCs w:val="20"/>
                <w:color w:val="auto"/>
              </w:rPr>
            </w:pPr>
            <w:r>
              <w:rPr>
                <w:rFonts w:ascii="Arial" w:cs="Arial" w:eastAsia="Arial" w:hAnsi="Arial"/>
                <w:sz w:val="12"/>
                <w:szCs w:val="12"/>
                <w:color w:val="auto"/>
                <w:w w:val="98"/>
              </w:rPr>
              <w:t>Reaffirmed</w:t>
            </w:r>
          </w:p>
        </w:tc>
      </w:tr>
      <w:tr>
        <w:trPr>
          <w:trHeight w:val="162"/>
        </w:trPr>
        <w:tc>
          <w:tcPr>
            <w:tcW w:w="558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Adjusted net income (2)</w:t>
            </w: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$395</w:t>
            </w:r>
          </w:p>
        </w:tc>
        <w:tc>
          <w:tcPr>
            <w:tcW w:w="7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$470</w:t>
            </w:r>
          </w:p>
        </w:tc>
        <w:tc>
          <w:tcPr>
            <w:tcW w:w="3560" w:type="dxa"/>
            <w:vAlign w:val="bottom"/>
            <w:shd w:val="clear" w:color="auto" w:fill="CCCCCC"/>
          </w:tcPr>
          <w:p>
            <w:pPr>
              <w:jc w:val="center"/>
              <w:ind w:left="640"/>
              <w:spacing w:after="0"/>
              <w:rPr>
                <w:sz w:val="20"/>
                <w:szCs w:val="20"/>
                <w:color w:val="auto"/>
              </w:rPr>
            </w:pPr>
            <w:r>
              <w:rPr>
                <w:rFonts w:ascii="Arial" w:cs="Arial" w:eastAsia="Arial" w:hAnsi="Arial"/>
                <w:sz w:val="12"/>
                <w:szCs w:val="12"/>
                <w:color w:val="auto"/>
                <w:w w:val="98"/>
              </w:rPr>
              <w:t>Reaffirmed</w:t>
            </w:r>
          </w:p>
        </w:tc>
      </w:tr>
      <w:tr>
        <w:trPr>
          <w:trHeight w:val="162"/>
        </w:trPr>
        <w:tc>
          <w:tcPr>
            <w:tcW w:w="558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Gross margin (2)</w:t>
            </w:r>
          </w:p>
        </w:tc>
        <w:tc>
          <w:tcPr>
            <w:tcW w:w="1380" w:type="dxa"/>
            <w:vAlign w:val="bottom"/>
            <w:shd w:val="clear" w:color="auto" w:fill="CCCCCC"/>
          </w:tcPr>
          <w:p>
            <w:pPr>
              <w:jc w:val="right"/>
              <w:spacing w:after="0"/>
              <w:rPr>
                <w:sz w:val="20"/>
                <w:szCs w:val="20"/>
                <w:color w:val="auto"/>
              </w:rPr>
            </w:pPr>
            <w:r>
              <w:rPr>
                <w:rFonts w:ascii="Arial" w:cs="Arial" w:eastAsia="Arial" w:hAnsi="Arial"/>
                <w:sz w:val="12"/>
                <w:szCs w:val="12"/>
                <w:color w:val="auto"/>
              </w:rPr>
              <w:t>61%</w:t>
            </w:r>
          </w:p>
        </w:tc>
        <w:tc>
          <w:tcPr>
            <w:tcW w:w="780" w:type="dxa"/>
            <w:vAlign w:val="bottom"/>
            <w:shd w:val="clear" w:color="auto" w:fill="CCCCCC"/>
          </w:tcPr>
          <w:p>
            <w:pPr>
              <w:ind w:left="20"/>
              <w:spacing w:after="0"/>
              <w:rPr>
                <w:sz w:val="20"/>
                <w:szCs w:val="20"/>
                <w:color w:val="auto"/>
              </w:rPr>
            </w:pPr>
            <w:r>
              <w:rPr>
                <w:rFonts w:ascii="Arial" w:cs="Arial" w:eastAsia="Arial" w:hAnsi="Arial"/>
                <w:sz w:val="12"/>
                <w:szCs w:val="12"/>
                <w:color w:val="auto"/>
              </w:rPr>
              <w:t>- 63%</w:t>
            </w:r>
          </w:p>
        </w:tc>
        <w:tc>
          <w:tcPr>
            <w:tcW w:w="3560" w:type="dxa"/>
            <w:vAlign w:val="bottom"/>
            <w:shd w:val="clear" w:color="auto" w:fill="CCCCCC"/>
          </w:tcPr>
          <w:p>
            <w:pPr>
              <w:jc w:val="center"/>
              <w:ind w:left="620"/>
              <w:spacing w:after="0"/>
              <w:rPr>
                <w:sz w:val="20"/>
                <w:szCs w:val="20"/>
                <w:color w:val="auto"/>
              </w:rPr>
            </w:pPr>
            <w:r>
              <w:rPr>
                <w:rFonts w:ascii="Arial" w:cs="Arial" w:eastAsia="Arial" w:hAnsi="Arial"/>
                <w:sz w:val="12"/>
                <w:szCs w:val="12"/>
                <w:color w:val="auto"/>
                <w:w w:val="98"/>
              </w:rPr>
              <w:t>Revised**</w:t>
            </w:r>
          </w:p>
        </w:tc>
      </w:tr>
      <w:tr>
        <w:trPr>
          <w:trHeight w:val="162"/>
        </w:trPr>
        <w:tc>
          <w:tcPr>
            <w:tcW w:w="5580" w:type="dxa"/>
            <w:vAlign w:val="bottom"/>
            <w:gridSpan w:val="2"/>
            <w:shd w:val="clear" w:color="auto" w:fill="CCCCCC"/>
          </w:tcPr>
          <w:p>
            <w:pPr>
              <w:spacing w:after="0"/>
              <w:rPr>
                <w:sz w:val="20"/>
                <w:szCs w:val="20"/>
                <w:color w:val="auto"/>
              </w:rPr>
            </w:pPr>
            <w:r>
              <w:rPr>
                <w:rFonts w:ascii="Arial" w:cs="Arial" w:eastAsia="Arial" w:hAnsi="Arial"/>
                <w:sz w:val="12"/>
                <w:szCs w:val="12"/>
                <w:color w:val="auto"/>
              </w:rPr>
              <w:t>** Previous forecasted gross margin was 63% to 65%.</w:t>
            </w:r>
          </w:p>
        </w:tc>
        <w:tc>
          <w:tcPr>
            <w:tcW w:w="1380" w:type="dxa"/>
            <w:vAlign w:val="bottom"/>
            <w:shd w:val="clear" w:color="auto" w:fill="CCCCCC"/>
          </w:tcPr>
          <w:p>
            <w:pPr>
              <w:spacing w:after="0"/>
              <w:rPr>
                <w:sz w:val="14"/>
                <w:szCs w:val="14"/>
                <w:color w:val="auto"/>
              </w:rPr>
            </w:pPr>
          </w:p>
        </w:tc>
        <w:tc>
          <w:tcPr>
            <w:tcW w:w="780" w:type="dxa"/>
            <w:vAlign w:val="bottom"/>
            <w:shd w:val="clear" w:color="auto" w:fill="CCCCCC"/>
          </w:tcPr>
          <w:p>
            <w:pPr>
              <w:spacing w:after="0"/>
              <w:rPr>
                <w:sz w:val="14"/>
                <w:szCs w:val="14"/>
                <w:color w:val="auto"/>
              </w:rPr>
            </w:pPr>
          </w:p>
        </w:tc>
        <w:tc>
          <w:tcPr>
            <w:tcW w:w="3560" w:type="dxa"/>
            <w:vAlign w:val="bottom"/>
            <w:shd w:val="clear" w:color="auto" w:fill="CCCCCC"/>
          </w:tcPr>
          <w:p>
            <w:pPr>
              <w:spacing w:after="0"/>
              <w:rPr>
                <w:sz w:val="14"/>
                <w:szCs w:val="14"/>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2"/>
          <w:szCs w:val="12"/>
          <w:color w:val="auto"/>
        </w:rPr>
        <w:t>The Company's financial forecast for 2021 includes the following additional considerations:</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Revised Considerations</w:t>
      </w:r>
    </w:p>
    <w:p>
      <w:pPr>
        <w:spacing w:after="0" w:line="180" w:lineRule="exact"/>
        <w:rPr>
          <w:sz w:val="20"/>
          <w:szCs w:val="20"/>
          <w:color w:val="auto"/>
        </w:rPr>
      </w:pPr>
    </w:p>
    <w:p>
      <w:pPr>
        <w:ind w:left="240" w:hanging="194"/>
        <w:spacing w:after="0"/>
        <w:tabs>
          <w:tab w:leader="none" w:pos="240" w:val="left"/>
        </w:tabs>
        <w:numPr>
          <w:ilvl w:val="0"/>
          <w:numId w:val="5"/>
        </w:numPr>
        <w:rPr>
          <w:rFonts w:ascii="Arial" w:cs="Arial" w:eastAsia="Arial" w:hAnsi="Arial"/>
          <w:sz w:val="12"/>
          <w:szCs w:val="12"/>
          <w:color w:val="auto"/>
        </w:rPr>
      </w:pPr>
      <w:r>
        <w:rPr>
          <w:rFonts w:ascii="Arial" w:cs="Arial" w:eastAsia="Arial" w:hAnsi="Arial"/>
          <w:sz w:val="12"/>
          <w:szCs w:val="12"/>
          <w:color w:val="auto"/>
        </w:rPr>
        <w:t>Gross margin reflects the impact of the Q2 2021 performance as well as expectations for the remainder of the year.</w:t>
      </w:r>
    </w:p>
    <w:p>
      <w:pPr>
        <w:spacing w:after="0" w:line="156" w:lineRule="exact"/>
        <w:rPr>
          <w:sz w:val="20"/>
          <w:szCs w:val="20"/>
          <w:color w:val="auto"/>
        </w:rPr>
      </w:pPr>
    </w:p>
    <w:p>
      <w:pPr>
        <w:spacing w:after="0"/>
        <w:rPr>
          <w:sz w:val="20"/>
          <w:szCs w:val="20"/>
          <w:color w:val="auto"/>
        </w:rPr>
      </w:pPr>
      <w:r>
        <w:rPr>
          <w:rFonts w:ascii="Arial" w:cs="Arial" w:eastAsia="Arial" w:hAnsi="Arial"/>
          <w:sz w:val="12"/>
          <w:szCs w:val="12"/>
          <w:i w:val="1"/>
          <w:iCs w:val="1"/>
          <w:u w:val="single" w:color="auto"/>
          <w:color w:val="auto"/>
        </w:rPr>
        <w:t>Unchanged Considerations</w:t>
      </w:r>
    </w:p>
    <w:p>
      <w:pPr>
        <w:spacing w:after="0" w:line="171" w:lineRule="exact"/>
        <w:rPr>
          <w:sz w:val="20"/>
          <w:szCs w:val="20"/>
          <w:color w:val="auto"/>
        </w:rPr>
      </w:pPr>
    </w:p>
    <w:p>
      <w:pPr>
        <w:ind w:left="260" w:right="360" w:hanging="214"/>
        <w:spacing w:after="0" w:line="235" w:lineRule="auto"/>
        <w:tabs>
          <w:tab w:leader="none" w:pos="230" w:val="left"/>
        </w:tabs>
        <w:numPr>
          <w:ilvl w:val="0"/>
          <w:numId w:val="6"/>
        </w:numPr>
        <w:rPr>
          <w:rFonts w:ascii="Arial" w:cs="Arial" w:eastAsia="Arial" w:hAnsi="Arial"/>
          <w:sz w:val="12"/>
          <w:szCs w:val="12"/>
          <w:color w:val="auto"/>
        </w:rPr>
      </w:pPr>
      <w:r>
        <w:rPr>
          <w:rFonts w:ascii="Arial" w:cs="Arial" w:eastAsia="Arial" w:hAnsi="Arial"/>
          <w:sz w:val="12"/>
          <w:szCs w:val="12"/>
          <w:color w:val="auto"/>
        </w:rPr>
        <w:t>Narcan® Nasal Spray revenues assume the naloxone market remains competitive and incorporates the impact of at least one new branded entrant into the market by year end, as well as that no generic entrant will enter the market prior to the anticipated appellate decision related to the pending patent litigation, which is expected in the second half of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4 of 13</w:t>
      </w:r>
    </w:p>
    <w:p>
      <w:pPr>
        <w:sectPr>
          <w:pgSz w:w="11900" w:h="16838" w:orient="portrait"/>
          <w:cols w:equalWidth="0" w:num="1">
            <w:col w:w="11300"/>
          </w:cols>
          <w:pgMar w:left="300" w:top="1435" w:right="299" w:bottom="1440" w:gutter="0" w:footer="0" w:header="0"/>
        </w:sectPr>
      </w:pPr>
    </w:p>
    <w:bookmarkStart w:id="6" w:name="page7"/>
    <w:bookmarkEnd w:id="6"/>
    <w:p>
      <w:pPr>
        <w:ind w:left="268" w:right="140" w:hanging="214"/>
        <w:spacing w:after="0" w:line="219" w:lineRule="auto"/>
        <w:tabs>
          <w:tab w:leader="none" w:pos="238" w:val="left"/>
        </w:tabs>
        <w:numPr>
          <w:ilvl w:val="0"/>
          <w:numId w:val="7"/>
        </w:numPr>
        <w:rPr>
          <w:rFonts w:ascii="Arial" w:cs="Arial" w:eastAsia="Arial" w:hAnsi="Arial"/>
          <w:sz w:val="12"/>
          <w:szCs w:val="12"/>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6351905</wp:posOffset>
            </wp:positionH>
            <wp:positionV relativeFrom="page">
              <wp:posOffset>191770</wp:posOffset>
            </wp:positionV>
            <wp:extent cx="1011555" cy="422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t>Anthrax vaccines revenues are expected to continue to primarily reflect procurement of AV7909 (Anthrax Vaccine Adsorbed, Adjuvanted) under the terms of the Company’s existing contract with BARDA at a more normalized annual level.</w:t>
      </w:r>
    </w:p>
    <w:p>
      <w:pPr>
        <w:ind w:left="268" w:right="120" w:hanging="214"/>
        <w:spacing w:after="0" w:line="219" w:lineRule="auto"/>
        <w:tabs>
          <w:tab w:leader="none" w:pos="238" w:val="left"/>
        </w:tabs>
        <w:numPr>
          <w:ilvl w:val="0"/>
          <w:numId w:val="7"/>
        </w:numPr>
        <w:rPr>
          <w:rFonts w:ascii="Arial" w:cs="Arial" w:eastAsia="Arial" w:hAnsi="Arial"/>
          <w:sz w:val="12"/>
          <w:szCs w:val="12"/>
          <w:color w:val="auto"/>
        </w:rPr>
      </w:pPr>
      <w:r>
        <w:rPr>
          <w:rFonts w:ascii="Arial" w:cs="Arial" w:eastAsia="Arial" w:hAnsi="Arial"/>
          <w:sz w:val="12"/>
          <w:szCs w:val="12"/>
          <w:color w:val="auto"/>
        </w:rPr>
        <w:t>ACAM2000®, (Smallpox (Vaccinia) Vaccine, Live) vaccine revenues incorporate the expected full delivery of product under the $182 million option exercise received in July 2021 as well as other international sales.</w:t>
      </w:r>
    </w:p>
    <w:p>
      <w:pPr>
        <w:ind w:left="268" w:hanging="214"/>
        <w:spacing w:after="0" w:line="219" w:lineRule="auto"/>
        <w:tabs>
          <w:tab w:leader="none" w:pos="238" w:val="left"/>
        </w:tabs>
        <w:numPr>
          <w:ilvl w:val="0"/>
          <w:numId w:val="7"/>
        </w:numPr>
        <w:rPr>
          <w:rFonts w:ascii="Arial" w:cs="Arial" w:eastAsia="Arial" w:hAnsi="Arial"/>
          <w:sz w:val="12"/>
          <w:szCs w:val="12"/>
          <w:color w:val="auto"/>
        </w:rPr>
      </w:pPr>
      <w:r>
        <w:rPr>
          <w:rFonts w:ascii="Arial" w:cs="Arial" w:eastAsia="Arial" w:hAnsi="Arial"/>
          <w:sz w:val="12"/>
          <w:szCs w:val="12"/>
          <w:color w:val="auto"/>
        </w:rPr>
        <w:t>CDMO services revenue reflects the successful manufacturing of Johnson &amp; Johnson's COVID-19 vaccine bulk drug substance. On July 29, the Company announced that it was informed by the FDA that it can resume production at its Bayview manufacturing facility.</w:t>
      </w:r>
    </w:p>
    <w:p>
      <w:pPr>
        <w:ind w:left="248" w:hanging="194"/>
        <w:spacing w:after="0" w:line="219" w:lineRule="auto"/>
        <w:tabs>
          <w:tab w:leader="none" w:pos="248" w:val="left"/>
        </w:tabs>
        <w:numPr>
          <w:ilvl w:val="0"/>
          <w:numId w:val="7"/>
        </w:numPr>
        <w:rPr>
          <w:rFonts w:ascii="Arial" w:cs="Arial" w:eastAsia="Arial" w:hAnsi="Arial"/>
          <w:sz w:val="12"/>
          <w:szCs w:val="12"/>
          <w:color w:val="auto"/>
        </w:rPr>
      </w:pPr>
      <w:r>
        <w:rPr>
          <w:rFonts w:ascii="Arial" w:cs="Arial" w:eastAsia="Arial" w:hAnsi="Arial"/>
          <w:sz w:val="12"/>
          <w:szCs w:val="12"/>
          <w:color w:val="auto"/>
        </w:rPr>
        <w:t>Total revenues, specifically other product sales, are expected to be impacted due to the Company's assumption that a new raxibacumab contract will be awarded later than previously planned.</w:t>
      </w:r>
    </w:p>
    <w:p>
      <w:pPr>
        <w:ind w:left="268" w:right="40" w:hanging="214"/>
        <w:spacing w:after="0" w:line="219" w:lineRule="auto"/>
        <w:tabs>
          <w:tab w:leader="none" w:pos="238" w:val="left"/>
        </w:tabs>
        <w:numPr>
          <w:ilvl w:val="0"/>
          <w:numId w:val="7"/>
        </w:numPr>
        <w:rPr>
          <w:rFonts w:ascii="Arial" w:cs="Arial" w:eastAsia="Arial" w:hAnsi="Arial"/>
          <w:sz w:val="12"/>
          <w:szCs w:val="12"/>
          <w:color w:val="auto"/>
        </w:rPr>
      </w:pPr>
      <w:r>
        <w:rPr>
          <w:rFonts w:ascii="Arial" w:cs="Arial" w:eastAsia="Arial" w:hAnsi="Arial"/>
          <w:sz w:val="12"/>
          <w:szCs w:val="12"/>
          <w:color w:val="auto"/>
        </w:rPr>
        <w:t>R&amp;D expenses are expected to reflect continued pipeline progress across the vaccines, therapeutics, and devices portfolios, including the assumption of at least one Phase 3 launch and one Biologics License Application (BLA)/Emergency Use Authorization (EUA) filing.</w:t>
      </w:r>
    </w:p>
    <w:p>
      <w:pPr>
        <w:ind w:left="268" w:right="300" w:hanging="214"/>
        <w:spacing w:after="0" w:line="235" w:lineRule="auto"/>
        <w:tabs>
          <w:tab w:leader="none" w:pos="238" w:val="left"/>
        </w:tabs>
        <w:numPr>
          <w:ilvl w:val="0"/>
          <w:numId w:val="7"/>
        </w:numPr>
        <w:rPr>
          <w:rFonts w:ascii="Arial" w:cs="Arial" w:eastAsia="Arial" w:hAnsi="Arial"/>
          <w:sz w:val="12"/>
          <w:szCs w:val="12"/>
          <w:color w:val="auto"/>
        </w:rPr>
      </w:pPr>
      <w:r>
        <w:rPr>
          <w:rFonts w:ascii="Arial" w:cs="Arial" w:eastAsia="Arial" w:hAnsi="Arial"/>
          <w:sz w:val="12"/>
          <w:szCs w:val="12"/>
          <w:color w:val="auto"/>
        </w:rPr>
        <w:t>Capital expenditures, net of reimbursement, are expected to be in a range of 8% to 9% of total revenues, reflecting ongoing investments in capacity and capability expansions in support of the Company's CDMO services business and product portfolio.</w:t>
      </w:r>
    </w:p>
    <w:p>
      <w:pPr>
        <w:spacing w:after="0" w:line="13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Q3 2021 REVENUE FORECAST</w:t>
      </w:r>
    </w:p>
    <w:p>
      <w:pPr>
        <w:spacing w:after="0" w:line="182" w:lineRule="exact"/>
        <w:rPr>
          <w:sz w:val="20"/>
          <w:szCs w:val="20"/>
          <w:color w:val="auto"/>
        </w:rPr>
      </w:pPr>
    </w:p>
    <w:p>
      <w:pPr>
        <w:ind w:left="8"/>
        <w:spacing w:after="0"/>
        <w:rPr>
          <w:sz w:val="20"/>
          <w:szCs w:val="20"/>
          <w:color w:val="auto"/>
        </w:rPr>
      </w:pPr>
      <w:r>
        <w:rPr>
          <w:rFonts w:ascii="Arial" w:cs="Arial" w:eastAsia="Arial" w:hAnsi="Arial"/>
          <w:sz w:val="12"/>
          <w:szCs w:val="12"/>
          <w:color w:val="auto"/>
        </w:rPr>
        <w:t>For Q3 2021, the Company expects total revenues of $400 million to $500 million.</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FOOTNOTES</w:t>
      </w:r>
    </w:p>
    <w:p>
      <w:pPr>
        <w:spacing w:after="0" w:line="170" w:lineRule="exact"/>
        <w:rPr>
          <w:sz w:val="20"/>
          <w:szCs w:val="20"/>
          <w:color w:val="auto"/>
        </w:rPr>
      </w:pPr>
    </w:p>
    <w:p>
      <w:pPr>
        <w:ind w:left="188" w:hanging="188"/>
        <w:spacing w:after="0"/>
        <w:tabs>
          <w:tab w:leader="none" w:pos="188"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All financial information incorporated within this release is unaudited.</w:t>
      </w:r>
    </w:p>
    <w:p>
      <w:pPr>
        <w:spacing w:after="0" w:line="18" w:lineRule="exact"/>
        <w:rPr>
          <w:rFonts w:ascii="Arial" w:cs="Arial" w:eastAsia="Arial" w:hAnsi="Arial"/>
          <w:sz w:val="12"/>
          <w:szCs w:val="12"/>
          <w:i w:val="1"/>
          <w:iCs w:val="1"/>
          <w:color w:val="auto"/>
        </w:rPr>
      </w:pPr>
    </w:p>
    <w:p>
      <w:pPr>
        <w:ind w:left="8" w:right="480" w:hanging="8"/>
        <w:spacing w:after="0" w:line="250" w:lineRule="auto"/>
        <w:tabs>
          <w:tab w:leader="none" w:pos="188"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See "Reconciliation of Net Income to Adjusted Net Income," "Reconciliation of Net Income to Adjusted EBITDA," "Reconciliation of Gross Margin" and "Reconciliation of Net Research and Development Expenses" for a definition of terms and the reconciliation tables.</w:t>
      </w:r>
    </w:p>
    <w:p>
      <w:pPr>
        <w:ind w:left="188" w:hanging="188"/>
        <w:spacing w:after="0"/>
        <w:tabs>
          <w:tab w:leader="none" w:pos="188"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Product sales, net are reported net of variable consideration including returns, rebates, wholesaler fees and prompt pay discounts.</w:t>
      </w:r>
    </w:p>
    <w:p>
      <w:pPr>
        <w:spacing w:after="0" w:line="6" w:lineRule="exact"/>
        <w:rPr>
          <w:rFonts w:ascii="Arial" w:cs="Arial" w:eastAsia="Arial" w:hAnsi="Arial"/>
          <w:sz w:val="12"/>
          <w:szCs w:val="12"/>
          <w:i w:val="1"/>
          <w:iCs w:val="1"/>
          <w:color w:val="auto"/>
        </w:rPr>
      </w:pPr>
    </w:p>
    <w:p>
      <w:pPr>
        <w:ind w:left="188" w:hanging="188"/>
        <w:spacing w:after="0"/>
        <w:tabs>
          <w:tab w:leader="none" w:pos="188"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Other can include a combination of sales of any of the following products: BAT, VIGIV, Anthrasil, raxibacumab, RSDL, Trobigard, Vivotif, and Vaxchora.</w:t>
      </w:r>
    </w:p>
    <w:p>
      <w:pPr>
        <w:spacing w:after="0" w:line="6" w:lineRule="exact"/>
        <w:rPr>
          <w:rFonts w:ascii="Arial" w:cs="Arial" w:eastAsia="Arial" w:hAnsi="Arial"/>
          <w:sz w:val="12"/>
          <w:szCs w:val="12"/>
          <w:i w:val="1"/>
          <w:iCs w:val="1"/>
          <w:color w:val="auto"/>
        </w:rPr>
      </w:pPr>
    </w:p>
    <w:p>
      <w:pPr>
        <w:ind w:left="188" w:hanging="188"/>
        <w:spacing w:after="0" w:line="234" w:lineRule="auto"/>
        <w:tabs>
          <w:tab w:leader="none" w:pos="188"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CDMO backlog is defined as estimated remaining contract value as of the indicated period pursuant to signed contracts, the majority of which is expected to be recognized over the next 24 months.</w:t>
      </w:r>
    </w:p>
    <w:p>
      <w:pPr>
        <w:ind w:left="188" w:hanging="188"/>
        <w:spacing w:after="0" w:line="234" w:lineRule="auto"/>
        <w:tabs>
          <w:tab w:leader="none" w:pos="188"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CDMO new business is defined as initial value of contracts secured as well as incremental value of existing contracts modified within the indicated period and is incorporated into Backlog.</w:t>
      </w:r>
    </w:p>
    <w:p>
      <w:pPr>
        <w:ind w:left="8" w:right="20" w:hanging="8"/>
        <w:spacing w:after="0" w:line="256" w:lineRule="auto"/>
        <w:tabs>
          <w:tab w:leader="none" w:pos="188" w:val="left"/>
        </w:tabs>
        <w:numPr>
          <w:ilvl w:val="0"/>
          <w:numId w:val="8"/>
        </w:numPr>
        <w:rPr>
          <w:rFonts w:ascii="Arial" w:cs="Arial" w:eastAsia="Arial" w:hAnsi="Arial"/>
          <w:sz w:val="12"/>
          <w:szCs w:val="12"/>
          <w:i w:val="1"/>
          <w:iCs w:val="1"/>
          <w:color w:val="auto"/>
        </w:rPr>
      </w:pPr>
      <w:r>
        <w:rPr>
          <w:rFonts w:ascii="Arial" w:cs="Arial" w:eastAsia="Arial" w:hAnsi="Arial"/>
          <w:sz w:val="12"/>
          <w:szCs w:val="12"/>
          <w:i w:val="1"/>
          <w:iCs w:val="1"/>
          <w:color w:val="auto"/>
        </w:rPr>
        <w:t>CDMO opportunity funnel is defined as proposal values from new work with new customers, new work with existing customers and extensions/expansions of existing contracts with existing customers that, if converted to new business, the majority of which is expected to be realized over the next 24 months. This excludes any value associated with an extension of the commercial supply agreement (CSA) with Johnson &amp; Johnson.</w:t>
      </w:r>
    </w:p>
    <w:p>
      <w:pPr>
        <w:spacing w:after="0" w:line="45"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CONFERENCE CALL, PRESENTATION SUPPLEMENT AND WEBCAST INFORMATION</w:t>
      </w:r>
    </w:p>
    <w:p>
      <w:pPr>
        <w:spacing w:after="0" w:line="93" w:lineRule="exact"/>
        <w:rPr>
          <w:sz w:val="20"/>
          <w:szCs w:val="20"/>
          <w:color w:val="auto"/>
        </w:rPr>
      </w:pPr>
    </w:p>
    <w:p>
      <w:pPr>
        <w:ind w:left="8"/>
        <w:spacing w:after="0"/>
        <w:rPr>
          <w:sz w:val="20"/>
          <w:szCs w:val="20"/>
          <w:color w:val="auto"/>
        </w:rPr>
      </w:pPr>
      <w:r>
        <w:rPr>
          <w:rFonts w:ascii="Arial" w:cs="Arial" w:eastAsia="Arial" w:hAnsi="Arial"/>
          <w:sz w:val="12"/>
          <w:szCs w:val="12"/>
          <w:color w:val="auto"/>
        </w:rPr>
        <w:t>Company management will host a conference call at 5:00 pm (Eastern Time) today, July 29, 2021, to discuss these financial results. The conference call and presentation supplement can be accessed from the</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Company's website or through the following:</w:t>
      </w:r>
    </w:p>
    <w:p>
      <w:pPr>
        <w:spacing w:after="0" w:line="12"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Live Teleconference Information:</w:t>
      </w:r>
    </w:p>
    <w:p>
      <w:pPr>
        <w:ind w:left="8"/>
        <w:spacing w:after="0" w:line="219" w:lineRule="auto"/>
        <w:rPr>
          <w:sz w:val="20"/>
          <w:szCs w:val="20"/>
          <w:color w:val="auto"/>
        </w:rPr>
      </w:pPr>
      <w:r>
        <w:rPr>
          <w:rFonts w:ascii="Arial" w:cs="Arial" w:eastAsia="Arial" w:hAnsi="Arial"/>
          <w:sz w:val="12"/>
          <w:szCs w:val="12"/>
          <w:color w:val="auto"/>
        </w:rPr>
        <w:t>Dial in: [US] (855) 766-6521; [International] (262) 912-6157</w:t>
      </w:r>
    </w:p>
    <w:p>
      <w:pPr>
        <w:ind w:left="8"/>
        <w:spacing w:after="0"/>
        <w:rPr>
          <w:sz w:val="20"/>
          <w:szCs w:val="20"/>
          <w:color w:val="auto"/>
        </w:rPr>
      </w:pPr>
      <w:r>
        <w:rPr>
          <w:rFonts w:ascii="Arial" w:cs="Arial" w:eastAsia="Arial" w:hAnsi="Arial"/>
          <w:sz w:val="12"/>
          <w:szCs w:val="12"/>
          <w:color w:val="auto"/>
        </w:rPr>
        <w:t>Conference ID: 1089625</w:t>
      </w:r>
    </w:p>
    <w:p>
      <w:pPr>
        <w:spacing w:after="0" w:line="3"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Live Webcast Information:</w:t>
      </w:r>
    </w:p>
    <w:p>
      <w:pPr>
        <w:ind w:left="8"/>
        <w:spacing w:after="0"/>
        <w:rPr>
          <w:sz w:val="20"/>
          <w:szCs w:val="20"/>
          <w:color w:val="auto"/>
        </w:rPr>
      </w:pPr>
      <w:r>
        <w:rPr>
          <w:rFonts w:ascii="Arial" w:cs="Arial" w:eastAsia="Arial" w:hAnsi="Arial"/>
          <w:sz w:val="12"/>
          <w:szCs w:val="12"/>
          <w:color w:val="auto"/>
        </w:rPr>
        <w:t>Visit https://edge.media-server.com/mmc/p/yzfzc7j7 for the webcast.</w:t>
      </w:r>
    </w:p>
    <w:p>
      <w:pPr>
        <w:spacing w:after="0" w:line="240" w:lineRule="exact"/>
        <w:rPr>
          <w:sz w:val="20"/>
          <w:szCs w:val="20"/>
          <w:color w:val="auto"/>
        </w:rPr>
      </w:pPr>
    </w:p>
    <w:p>
      <w:pPr>
        <w:ind w:left="8"/>
        <w:spacing w:after="0"/>
        <w:rPr>
          <w:sz w:val="20"/>
          <w:szCs w:val="20"/>
          <w:color w:val="auto"/>
        </w:rPr>
      </w:pPr>
      <w:r>
        <w:rPr>
          <w:rFonts w:ascii="Arial" w:cs="Arial" w:eastAsia="Arial" w:hAnsi="Arial"/>
          <w:sz w:val="12"/>
          <w:szCs w:val="12"/>
          <w:color w:val="auto"/>
        </w:rPr>
        <w:t>A replay of the call can be accessed from the Emergent website.</w:t>
      </w:r>
    </w:p>
    <w:p>
      <w:pPr>
        <w:spacing w:after="0" w:line="200" w:lineRule="exact"/>
        <w:rPr>
          <w:sz w:val="20"/>
          <w:szCs w:val="20"/>
          <w:color w:val="auto"/>
        </w:rPr>
      </w:pPr>
    </w:p>
    <w:p>
      <w:pPr>
        <w:spacing w:after="0" w:line="377"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5 of 13</w:t>
      </w:r>
    </w:p>
    <w:p>
      <w:pPr>
        <w:sectPr>
          <w:pgSz w:w="11900" w:h="16838" w:orient="portrait"/>
          <w:cols w:equalWidth="0" w:num="1">
            <w:col w:w="11288"/>
          </w:cols>
          <w:pgMar w:left="292" w:top="1426" w:right="319" w:bottom="1440" w:gutter="0" w:footer="0" w:header="0"/>
        </w:sectPr>
      </w:pPr>
    </w:p>
    <w:bookmarkStart w:id="7" w:name="page8"/>
    <w:bookmarkEnd w:id="7"/>
    <w:p>
      <w:pPr>
        <w:spacing w:after="0" w:line="1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6351905</wp:posOffset>
            </wp:positionH>
            <wp:positionV relativeFrom="page">
              <wp:posOffset>191770</wp:posOffset>
            </wp:positionV>
            <wp:extent cx="1011555" cy="422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ABOUT EMERGENT BIOSOLUTIONS INC.</w:t>
      </w:r>
    </w:p>
    <w:p>
      <w:pPr>
        <w:spacing w:after="0" w:line="93" w:lineRule="exact"/>
        <w:rPr>
          <w:sz w:val="20"/>
          <w:szCs w:val="20"/>
          <w:color w:val="auto"/>
        </w:rPr>
      </w:pPr>
    </w:p>
    <w:p>
      <w:pPr>
        <w:ind w:right="140"/>
        <w:spacing w:after="0" w:line="238" w:lineRule="auto"/>
        <w:rPr>
          <w:sz w:val="20"/>
          <w:szCs w:val="20"/>
          <w:color w:val="auto"/>
        </w:rPr>
      </w:pPr>
      <w:r>
        <w:rPr>
          <w:rFonts w:ascii="Arial" w:cs="Arial" w:eastAsia="Arial" w:hAnsi="Arial"/>
          <w:sz w:val="12"/>
          <w:szCs w:val="12"/>
          <w:color w:val="auto"/>
        </w:rPr>
        <w:t>Emergent BioSolutions is a global life sciences company whose mission is to protect and enhance life. Through our specialty products and contract development and manufacturing services, we are dedicated to providing solutions that address public health threats. Through social responsibility, we aim to build healthier and safer communities. We aspire to deliver peace of mind to our patients and customers so they can focus on what’s most important in their lives. In working together, we envision protecting or enhancing 1 billion lives by 2030. For more information, visit our website and follow us on LinkedIn, Twitter, and Instagram.</w:t>
      </w:r>
    </w:p>
    <w:p>
      <w:pPr>
        <w:spacing w:after="0" w:line="5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RECONCILIATION OF NON-GAAP MEASURES</w:t>
      </w:r>
    </w:p>
    <w:p>
      <w:pPr>
        <w:spacing w:after="0" w:line="78" w:lineRule="exact"/>
        <w:rPr>
          <w:sz w:val="20"/>
          <w:szCs w:val="20"/>
          <w:color w:val="auto"/>
        </w:rPr>
      </w:pPr>
    </w:p>
    <w:p>
      <w:pPr>
        <w:ind w:right="40"/>
        <w:spacing w:after="0" w:line="254" w:lineRule="auto"/>
        <w:rPr>
          <w:sz w:val="20"/>
          <w:szCs w:val="20"/>
          <w:color w:val="auto"/>
        </w:rPr>
      </w:pPr>
      <w:r>
        <w:rPr>
          <w:rFonts w:ascii="Arial" w:cs="Arial" w:eastAsia="Arial" w:hAnsi="Arial"/>
          <w:sz w:val="12"/>
          <w:szCs w:val="12"/>
          <w:color w:val="auto"/>
        </w:rPr>
        <w:t>This press release contains financial measures (</w:t>
      </w:r>
      <w:r>
        <w:rPr>
          <w:rFonts w:ascii="Arial" w:cs="Arial" w:eastAsia="Arial" w:hAnsi="Arial"/>
          <w:sz w:val="12"/>
          <w:szCs w:val="12"/>
          <w:b w:val="1"/>
          <w:bCs w:val="1"/>
          <w:color w:val="auto"/>
        </w:rPr>
        <w:t>Adjusted Net Income, Adjusted EBITDA (Earnings Before Depreciation and Amortization, Interest and Taxes), Gross Margin, Adjusted Revenues and Net</w:t>
      </w:r>
      <w:r>
        <w:rPr>
          <w:rFonts w:ascii="Arial" w:cs="Arial" w:eastAsia="Arial" w:hAnsi="Arial"/>
          <w:sz w:val="12"/>
          <w:szCs w:val="12"/>
          <w:color w:val="auto"/>
        </w:rPr>
        <w:t xml:space="preserve"> </w:t>
      </w:r>
      <w:r>
        <w:rPr>
          <w:rFonts w:ascii="Arial" w:cs="Arial" w:eastAsia="Arial" w:hAnsi="Arial"/>
          <w:sz w:val="12"/>
          <w:szCs w:val="12"/>
          <w:b w:val="1"/>
          <w:bCs w:val="1"/>
          <w:color w:val="auto"/>
        </w:rPr>
        <w:t>Research and Development expenses</w:t>
      </w:r>
      <w:r>
        <w:rPr>
          <w:rFonts w:ascii="Arial" w:cs="Arial" w:eastAsia="Arial" w:hAnsi="Arial"/>
          <w:sz w:val="12"/>
          <w:szCs w:val="12"/>
          <w:color w:val="auto"/>
        </w:rPr>
        <w:t>) that are considered “non-GAAP” financial measures under applicable Securities and Exchange Commission rules and regulations. These non-GAAP financial measures</w:t>
      </w:r>
      <w:r>
        <w:rPr>
          <w:rFonts w:ascii="Arial" w:cs="Arial" w:eastAsia="Arial" w:hAnsi="Arial"/>
          <w:sz w:val="12"/>
          <w:szCs w:val="12"/>
          <w:b w:val="1"/>
          <w:bCs w:val="1"/>
          <w:color w:val="auto"/>
        </w:rPr>
        <w:t xml:space="preserve"> </w:t>
      </w:r>
      <w:r>
        <w:rPr>
          <w:rFonts w:ascii="Arial" w:cs="Arial" w:eastAsia="Arial" w:hAnsi="Arial"/>
          <w:sz w:val="12"/>
          <w:szCs w:val="12"/>
          <w:color w:val="auto"/>
        </w:rPr>
        <w:t>should be considered supplemental to and not a substitute for financial information prepared in accordance with generally accepted accounting principles. The Company’s definition of these non-GAAP measures may differ from similarly titled measures used by others. For its non-GAAP measures, the Company adjusts for specified items that can be highly variable or difficult to predict, or reflect the non-cash impact of charges or accounting changes. As needed, such adjustments are tax effected utilizing the federal statutory tax rate for the U.S., except for changes in the fair value of contingent consideration as the vast majority is non-deductible for tax purposes.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 For more information on these non-GAAP financial measures, please see the tables captioned "Reconciliation of Net Income to Adjusted Net Income," "Reconciliation of Net Income to Adjusted EBITDA," "Reconciliation of Gross Margin" and "Reconciliation of Net Research and Development Expenses" included at the end of this release.</w:t>
      </w:r>
    </w:p>
    <w:p>
      <w:pPr>
        <w:spacing w:after="0" w:line="156" w:lineRule="exact"/>
        <w:rPr>
          <w:sz w:val="20"/>
          <w:szCs w:val="20"/>
          <w:color w:val="auto"/>
        </w:rPr>
      </w:pPr>
    </w:p>
    <w:p>
      <w:pPr>
        <w:ind w:right="280"/>
        <w:spacing w:after="0" w:line="256" w:lineRule="auto"/>
        <w:rPr>
          <w:sz w:val="20"/>
          <w:szCs w:val="20"/>
          <w:color w:val="auto"/>
        </w:rPr>
      </w:pPr>
      <w:r>
        <w:rPr>
          <w:rFonts w:ascii="Arial" w:cs="Arial" w:eastAsia="Arial" w:hAnsi="Arial"/>
          <w:sz w:val="12"/>
          <w:szCs w:val="12"/>
          <w:color w:val="auto"/>
        </w:rPr>
        <w:t>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SAFE HARBOR STATEMENT</w:t>
      </w:r>
    </w:p>
    <w:p>
      <w:pPr>
        <w:spacing w:after="0" w:line="84" w:lineRule="exact"/>
        <w:rPr>
          <w:sz w:val="20"/>
          <w:szCs w:val="20"/>
          <w:color w:val="auto"/>
        </w:rPr>
      </w:pPr>
    </w:p>
    <w:p>
      <w:pPr>
        <w:spacing w:after="0" w:line="222" w:lineRule="auto"/>
        <w:rPr>
          <w:sz w:val="20"/>
          <w:szCs w:val="20"/>
          <w:color w:val="auto"/>
        </w:rPr>
      </w:pPr>
      <w:r>
        <w:rPr>
          <w:rFonts w:ascii="Arial" w:cs="Arial" w:eastAsia="Arial" w:hAnsi="Arial"/>
          <w:sz w:val="12"/>
          <w:szCs w:val="12"/>
          <w:color w:val="auto"/>
        </w:rPr>
        <w:t>This press release includes forward-looking statements within the meaning of the Private Securities Litigation Reform Act of 1995. Any statements, other than statements of historical fact, including, without limitation, our financial guidance and related projections and statements regarding our ability to meet such projections in the anticipated timeframe, if at all; statements regarding the strength of our strategy and diversified business model; annual expectations underlying gross margin; continued procurement of AV7909 under our existing contract with BARDA; the full delivery in 2021 of vaccines procured under the July 2021 ACAM2000® option exercise; the potential award of a new procurement contract for raxibacumab; the strength of the naloxone market and the timing and number of naloxone competitor entrants expected by year end; the timing of the anticipated appellate decision on related pending patent litigation; progress across the vaccines, therapeutics, and devices portfolios and anticipated timing and number of regulatory submissions; capacity expansion in our CDMO business portfolio; timing of CDMO revenues; our CDMO backlog and opportunity funnel; capital expenditures and total contract value; and any other statements containing the words “will,” “believes,” “expects,” “anticipates,” “intends,” “plans,” “targets,” “forecasts,” “estimates” and similar expressions in conjunction with, among other things, discussions of the Company’s outlook, financial performance or financial condition, financial and operation goals, product sales, government development or procurement contracts or awards, government appropriations, manufacturing capabilities, and the timing of certain clinical trials and regulatory approvals are forward-looking statements. These forward-looking statements are based on our current intentions, beliefs and expectations regarding future events. We cannot guarantee that any forward-looking statement will be accurate.</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6 of 13</w:t>
      </w:r>
    </w:p>
    <w:p>
      <w:pPr>
        <w:sectPr>
          <w:pgSz w:w="11900" w:h="16838" w:orient="portrait"/>
          <w:cols w:equalWidth="0" w:num="1">
            <w:col w:w="11260"/>
          </w:cols>
          <w:pgMar w:left="300" w:top="1440" w:right="339" w:bottom="1440" w:gutter="0" w:footer="0" w:header="0"/>
        </w:sectPr>
      </w:pPr>
    </w:p>
    <w:bookmarkStart w:id="8" w:name="page9"/>
    <w:bookmarkEnd w:id="8"/>
    <w:p>
      <w:pPr>
        <w:spacing w:after="0" w:line="220"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6351905</wp:posOffset>
            </wp:positionH>
            <wp:positionV relativeFrom="page">
              <wp:posOffset>191770</wp:posOffset>
            </wp:positionV>
            <wp:extent cx="1011555" cy="422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011555" cy="422910"/>
                    </a:xfrm>
                    <a:prstGeom prst="rect">
                      <a:avLst/>
                    </a:prstGeom>
                    <a:noFill/>
                  </pic:spPr>
                </pic:pic>
              </a:graphicData>
            </a:graphic>
          </wp:anchor>
        </w:drawing>
        <w:t>The reader should realize that if underlying assumptions prove inaccurate or unknown risks or uncertainties materialize, actual results could differ materially from our expectations. Readers are, therefore, cautioned not to place undue reliance on any forward-looking statement. Any forward-looking statements speak only as of the date of this press release, and, except as required by law, we do not undertake to update any forward- looking statement to reflect new information, events or circumstances. There are a number of important factors that could cause our actual results to differ materially from those indicated by such forward-looking statements, including the continued exercise of discretion by BARDA to procure additional doses of AV7909 prior to approval by the FDA; our ability to negotiate follow-on procurement contracts for AV7909 and other follow-on procurement contracts for our public health threat products that have expired or will be expiring; the impact on our revenues from the hold of certain COVID-19 vaccine bulk drug substance lots; our ability to meet our commitments to continued quality and manufacturing compliance at our Baltimore Bayview facility and the potential impact on our ability to continue production of bulk drug substance for Johnson &amp; Johnson’s COVID-19 vaccine at the facility; the availability of U.S. government funding for procurement of our products and certain product candidates; our ability to perform under our contracts with the U.S. government including the timing of and specifications relating to deliveries; our ability to provide CDMO services for the development and/or manufacture of product candidates of our customers at required levels and on required timelines; our ability and the ability of our contractors and suppliers to maintain compliance with current good manufacturing practices and other regulatory obligations; our ability to obtain and maintain regulatory approvals for our product candidates and the timing of any such approvals; changes to U.S. government priorities for the SNS and the future exercise of all remaining options under our contract for the procurement of ACAM2000® and other government procurement contracts; the negotiation of further commitments or contracts related to the collaboration and deployment of capacity toward future commercial manufacturing under our CDMO contracts; the timing of our submission of an application for and our ability to secure licensure of AV7909 from the FDA within the anticipated timeframe, if at all; our ability to successfully appeal the patent litigation decision related to NARCAN® Nasal Spray 4mg/spray, and the impact of competition from potential generic and branded naloxone entrants on NARCAN® Nasal Spray; the results of pending shareholder litigation and the potential impact on our business; our ability to develop a safe and effective treatment for COVID-19 and obtain authorization for emergency use for or approval of such treatment from the FDA; our ability to identify and acquire companies, businesses, products or product candidates that satisfy our selection criteria; our ability to comply with the operating and financial covenants required by our senior secured credit facilities and our 3.875% Senior Unsecured Notes due 2028; the procurement of products by U.S. government entities under regulatory exemptions prior to approval by the FDA and corresponding procurement by government entities outside of the United States under regulatory exemptions prior to approval by the corresponding regulatory authorities in the applicable country; the full impact of COVID-19 disease on our markets, operations and employees as well as those of our customers and suppliers; the impact on our revenues from short-term declines in sales of our vaccine products that target travelers due to the reduction of international travel caused by the COVID-19 pandemic; the success of our commercialization, marketing and manufacturing capabilities and strategy; and the accuracy of our estimates regarding future revenues, expenses, capital requirements and needs for additional financing. The foregoing sets forth many, but not all, of the factors that could cause actual results to differ from our expectations in any forward-looking statement. The reader should consider this cautionary statement as well as the risk factors identified in our periodic reports filed with the Securities and Exchange Commission when evaluating our forward-looking statements.</w:t>
      </w:r>
    </w:p>
    <w:p>
      <w:pPr>
        <w:sectPr>
          <w:pgSz w:w="11900" w:h="16838" w:orient="portrait"/>
          <w:cols w:equalWidth="0" w:num="1">
            <w:col w:w="11300"/>
          </w:cols>
          <w:pgMar w:left="300" w:top="1426" w:right="29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Contact</w:t>
      </w:r>
    </w:p>
    <w:p>
      <w:pPr>
        <w:spacing w:after="0" w:line="203" w:lineRule="auto"/>
        <w:rPr>
          <w:sz w:val="20"/>
          <w:szCs w:val="20"/>
          <w:color w:val="auto"/>
        </w:rPr>
      </w:pPr>
      <w:r>
        <w:rPr>
          <w:rFonts w:ascii="Arial" w:cs="Arial" w:eastAsia="Arial" w:hAnsi="Arial"/>
          <w:sz w:val="12"/>
          <w:szCs w:val="12"/>
          <w:color w:val="auto"/>
        </w:rPr>
        <w:t>Robert Burrows</w:t>
      </w:r>
    </w:p>
    <w:p>
      <w:pPr>
        <w:spacing w:after="0" w:line="222" w:lineRule="auto"/>
        <w:rPr>
          <w:sz w:val="20"/>
          <w:szCs w:val="20"/>
          <w:color w:val="auto"/>
        </w:rPr>
      </w:pPr>
      <w:r>
        <w:rPr>
          <w:rFonts w:ascii="Arial" w:cs="Arial" w:eastAsia="Arial" w:hAnsi="Arial"/>
          <w:sz w:val="11"/>
          <w:szCs w:val="11"/>
          <w:color w:val="auto"/>
        </w:rPr>
        <w:t>Vice President, Investor Relations</w:t>
      </w:r>
    </w:p>
    <w:p>
      <w:pPr>
        <w:spacing w:after="0" w:line="203" w:lineRule="auto"/>
        <w:rPr>
          <w:sz w:val="20"/>
          <w:szCs w:val="20"/>
          <w:color w:val="auto"/>
        </w:rPr>
      </w:pPr>
      <w:r>
        <w:rPr>
          <w:rFonts w:ascii="Arial" w:cs="Arial" w:eastAsia="Arial" w:hAnsi="Arial"/>
          <w:sz w:val="12"/>
          <w:szCs w:val="12"/>
          <w:color w:val="auto"/>
        </w:rPr>
        <w:t>burrowsr@ebsi.com</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(240) 413-1917</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 Contact</w:t>
      </w:r>
    </w:p>
    <w:p>
      <w:pPr>
        <w:spacing w:after="0" w:line="203" w:lineRule="auto"/>
        <w:rPr>
          <w:sz w:val="20"/>
          <w:szCs w:val="20"/>
          <w:color w:val="auto"/>
        </w:rPr>
      </w:pPr>
      <w:r>
        <w:rPr>
          <w:rFonts w:ascii="Arial" w:cs="Arial" w:eastAsia="Arial" w:hAnsi="Arial"/>
          <w:sz w:val="12"/>
          <w:szCs w:val="12"/>
          <w:color w:val="auto"/>
        </w:rPr>
        <w:t>Matt Hartwig</w:t>
      </w:r>
    </w:p>
    <w:p>
      <w:pPr>
        <w:spacing w:after="0" w:line="203" w:lineRule="auto"/>
        <w:rPr>
          <w:sz w:val="20"/>
          <w:szCs w:val="20"/>
          <w:color w:val="auto"/>
        </w:rPr>
      </w:pPr>
      <w:r>
        <w:rPr>
          <w:rFonts w:ascii="Arial" w:cs="Arial" w:eastAsia="Arial" w:hAnsi="Arial"/>
          <w:sz w:val="12"/>
          <w:szCs w:val="12"/>
          <w:color w:val="auto"/>
        </w:rPr>
        <w:t>Director, Media Relations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mediarelations@ebsi.com (240) 760-0551</w:t>
      </w:r>
    </w:p>
    <w:p>
      <w:pPr>
        <w:spacing w:after="0" w:line="317" w:lineRule="exact"/>
        <w:rPr>
          <w:sz w:val="20"/>
          <w:szCs w:val="20"/>
          <w:color w:val="auto"/>
        </w:rPr>
      </w:pPr>
    </w:p>
    <w:p>
      <w:pPr>
        <w:sectPr>
          <w:pgSz w:w="11900" w:h="16838" w:orient="portrait"/>
          <w:cols w:equalWidth="0" w:num="2">
            <w:col w:w="4940" w:space="720"/>
            <w:col w:w="5640"/>
          </w:cols>
          <w:pgMar w:left="300" w:top="1426" w:right="299" w:bottom="1440" w:gutter="0" w:footer="0" w:header="0"/>
          <w:type w:val="continuous"/>
        </w:sect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9"/>
          <w:szCs w:val="9"/>
          <w:color w:val="auto"/>
        </w:rPr>
        <w:t>7 of 13</w:t>
      </w:r>
    </w:p>
    <w:p>
      <w:pPr>
        <w:sectPr>
          <w:pgSz w:w="11900" w:h="16838" w:orient="portrait"/>
          <w:cols w:equalWidth="0" w:num="1">
            <w:col w:w="11300"/>
          </w:cols>
          <w:pgMar w:left="300" w:top="1426" w:right="299" w:bottom="1440" w:gutter="0" w:footer="0" w:header="0"/>
          <w:type w:val="continuous"/>
        </w:sectPr>
      </w:pPr>
    </w:p>
    <w:bookmarkStart w:id="9" w:name="page10"/>
    <w:bookmarkEnd w:id="9"/>
    <w:p>
      <w:pPr>
        <w:jc w:val="center"/>
        <w:ind w:right="20"/>
        <w:spacing w:after="0"/>
        <w:rPr>
          <w:sz w:val="20"/>
          <w:szCs w:val="20"/>
          <w:color w:val="auto"/>
        </w:rPr>
      </w:pPr>
      <w:r>
        <w:rPr>
          <w:rFonts w:ascii="Arial" w:cs="Arial" w:eastAsia="Arial" w:hAnsi="Arial"/>
          <w:sz w:val="10"/>
          <w:szCs w:val="10"/>
          <w:b w:val="1"/>
          <w:bCs w:val="1"/>
          <w:color w:val="auto"/>
        </w:rPr>
        <w:t>Emergent BioSolutions Inc.</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Condensed Consolidated Balance Sheets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(unaudited, in millions, except per share data)</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80" w:type="dxa"/>
            <w:vAlign w:val="bottom"/>
          </w:tcPr>
          <w:p>
            <w:pPr>
              <w:spacing w:after="0"/>
              <w:rPr>
                <w:sz w:val="10"/>
                <w:szCs w:val="10"/>
                <w:color w:val="auto"/>
              </w:rPr>
            </w:pPr>
          </w:p>
        </w:tc>
        <w:tc>
          <w:tcPr>
            <w:tcW w:w="1580" w:type="dxa"/>
            <w:vAlign w:val="bottom"/>
          </w:tcPr>
          <w:p>
            <w:pPr>
              <w:jc w:val="right"/>
              <w:ind w:right="152"/>
              <w:spacing w:after="0"/>
              <w:rPr>
                <w:sz w:val="20"/>
                <w:szCs w:val="20"/>
                <w:color w:val="auto"/>
              </w:rPr>
            </w:pPr>
            <w:r>
              <w:rPr>
                <w:rFonts w:ascii="Arial" w:cs="Arial" w:eastAsia="Arial" w:hAnsi="Arial"/>
                <w:sz w:val="10"/>
                <w:szCs w:val="10"/>
                <w:color w:val="auto"/>
              </w:rPr>
              <w:t>June 30, 2021</w:t>
            </w: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ind w:right="612"/>
              <w:spacing w:after="0"/>
              <w:rPr>
                <w:sz w:val="20"/>
                <w:szCs w:val="20"/>
                <w:color w:val="auto"/>
              </w:rPr>
            </w:pPr>
            <w:r>
              <w:rPr>
                <w:rFonts w:ascii="Arial" w:cs="Arial" w:eastAsia="Arial" w:hAnsi="Arial"/>
                <w:sz w:val="10"/>
                <w:szCs w:val="10"/>
                <w:color w:val="auto"/>
              </w:rPr>
              <w:t>December 31, 2020</w:t>
            </w: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ASSETS</w:t>
            </w: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Current assets:</w:t>
            </w: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Cash and cash equivalents</w:t>
            </w:r>
          </w:p>
        </w:tc>
        <w:tc>
          <w:tcPr>
            <w:tcW w:w="1580" w:type="dxa"/>
            <w:vAlign w:val="bottom"/>
          </w:tcPr>
          <w:p>
            <w:pPr>
              <w:jc w:val="right"/>
              <w:ind w:right="147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447.5</w:t>
            </w:r>
          </w:p>
        </w:tc>
        <w:tc>
          <w:tcPr>
            <w:tcW w:w="80" w:type="dxa"/>
            <w:vAlign w:val="bottom"/>
          </w:tcPr>
          <w:p>
            <w:pPr>
              <w:spacing w:after="0"/>
              <w:rPr>
                <w:sz w:val="10"/>
                <w:szCs w:val="10"/>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800" w:type="dxa"/>
            <w:vAlign w:val="bottom"/>
          </w:tcPr>
          <w:p>
            <w:pPr>
              <w:jc w:val="right"/>
              <w:spacing w:after="0"/>
              <w:rPr>
                <w:sz w:val="20"/>
                <w:szCs w:val="20"/>
                <w:color w:val="auto"/>
              </w:rPr>
            </w:pPr>
            <w:r>
              <w:rPr>
                <w:rFonts w:ascii="Arial" w:cs="Arial" w:eastAsia="Arial" w:hAnsi="Arial"/>
                <w:sz w:val="10"/>
                <w:szCs w:val="10"/>
                <w:color w:val="auto"/>
              </w:rPr>
              <w:t>621.3</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Restricted cash</w:t>
            </w:r>
          </w:p>
        </w:tc>
        <w:tc>
          <w:tcPr>
            <w:tcW w:w="158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0.2</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0.2</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Accounts receivable, net</w:t>
            </w:r>
          </w:p>
        </w:tc>
        <w:tc>
          <w:tcPr>
            <w:tcW w:w="158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261.9</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230.9</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Inventories, net</w:t>
            </w:r>
          </w:p>
        </w:tc>
        <w:tc>
          <w:tcPr>
            <w:tcW w:w="158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386.4</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307.0</w:t>
            </w:r>
          </w:p>
        </w:tc>
      </w:tr>
      <w:tr>
        <w:trPr>
          <w:trHeight w:val="125"/>
        </w:trPr>
        <w:tc>
          <w:tcPr>
            <w:tcW w:w="6680" w:type="dxa"/>
            <w:vAlign w:val="bottom"/>
          </w:tcPr>
          <w:p>
            <w:pPr>
              <w:ind w:left="80"/>
              <w:spacing w:after="0"/>
              <w:rPr>
                <w:sz w:val="20"/>
                <w:szCs w:val="20"/>
                <w:color w:val="auto"/>
              </w:rPr>
            </w:pPr>
            <w:r>
              <w:rPr>
                <w:rFonts w:ascii="Arial" w:cs="Arial" w:eastAsia="Arial" w:hAnsi="Arial"/>
                <w:sz w:val="10"/>
                <w:szCs w:val="10"/>
                <w:color w:val="auto"/>
              </w:rPr>
              <w:t>Prepaid expenses and other current assets</w:t>
            </w:r>
          </w:p>
        </w:tc>
        <w:tc>
          <w:tcPr>
            <w:tcW w:w="15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66.1</w:t>
            </w: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36.5</w:t>
            </w:r>
          </w:p>
        </w:tc>
      </w:tr>
      <w:tr>
        <w:trPr>
          <w:trHeight w:val="116"/>
        </w:trPr>
        <w:tc>
          <w:tcPr>
            <w:tcW w:w="6680" w:type="dxa"/>
            <w:vAlign w:val="bottom"/>
          </w:tcPr>
          <w:p>
            <w:pPr>
              <w:ind w:left="140"/>
              <w:spacing w:after="0"/>
              <w:rPr>
                <w:sz w:val="20"/>
                <w:szCs w:val="20"/>
                <w:color w:val="auto"/>
              </w:rPr>
            </w:pPr>
            <w:r>
              <w:rPr>
                <w:rFonts w:ascii="Arial" w:cs="Arial" w:eastAsia="Arial" w:hAnsi="Arial"/>
                <w:sz w:val="10"/>
                <w:szCs w:val="10"/>
                <w:color w:val="auto"/>
              </w:rPr>
              <w:t>Total current assets</w:t>
            </w:r>
          </w:p>
        </w:tc>
        <w:tc>
          <w:tcPr>
            <w:tcW w:w="158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1,162.1</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1,195.9</w:t>
            </w:r>
          </w:p>
        </w:tc>
      </w:tr>
      <w:tr>
        <w:trPr>
          <w:trHeight w:val="270"/>
        </w:trPr>
        <w:tc>
          <w:tcPr>
            <w:tcW w:w="6680" w:type="dxa"/>
            <w:vAlign w:val="bottom"/>
          </w:tcPr>
          <w:p>
            <w:pPr>
              <w:ind w:left="80"/>
              <w:spacing w:after="0"/>
              <w:rPr>
                <w:sz w:val="20"/>
                <w:szCs w:val="20"/>
                <w:color w:val="auto"/>
              </w:rPr>
            </w:pPr>
            <w:r>
              <w:rPr>
                <w:rFonts w:ascii="Arial" w:cs="Arial" w:eastAsia="Arial" w:hAnsi="Arial"/>
                <w:sz w:val="10"/>
                <w:szCs w:val="10"/>
                <w:color w:val="auto"/>
              </w:rPr>
              <w:t>Property, plant and equipment, net</w:t>
            </w:r>
          </w:p>
        </w:tc>
        <w:tc>
          <w:tcPr>
            <w:tcW w:w="158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743.5</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644.1</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Intangible assets, net</w:t>
            </w:r>
          </w:p>
        </w:tc>
        <w:tc>
          <w:tcPr>
            <w:tcW w:w="158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633.1</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663.1</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Goodwill</w:t>
            </w:r>
          </w:p>
        </w:tc>
        <w:tc>
          <w:tcPr>
            <w:tcW w:w="158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266.6</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266.7</w:t>
            </w:r>
          </w:p>
        </w:tc>
      </w:tr>
      <w:tr>
        <w:trPr>
          <w:trHeight w:val="125"/>
        </w:trPr>
        <w:tc>
          <w:tcPr>
            <w:tcW w:w="6680" w:type="dxa"/>
            <w:vAlign w:val="bottom"/>
          </w:tcPr>
          <w:p>
            <w:pPr>
              <w:ind w:left="80"/>
              <w:spacing w:after="0"/>
              <w:rPr>
                <w:sz w:val="20"/>
                <w:szCs w:val="20"/>
                <w:color w:val="auto"/>
              </w:rPr>
            </w:pPr>
            <w:r>
              <w:rPr>
                <w:rFonts w:ascii="Arial" w:cs="Arial" w:eastAsia="Arial" w:hAnsi="Arial"/>
                <w:sz w:val="10"/>
                <w:szCs w:val="10"/>
                <w:color w:val="auto"/>
              </w:rPr>
              <w:t>Other assets</w:t>
            </w:r>
          </w:p>
        </w:tc>
        <w:tc>
          <w:tcPr>
            <w:tcW w:w="15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109.9</w:t>
            </w: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113.4</w:t>
            </w:r>
          </w:p>
        </w:tc>
      </w:tr>
      <w:tr>
        <w:trPr>
          <w:trHeight w:val="115"/>
        </w:trPr>
        <w:tc>
          <w:tcPr>
            <w:tcW w:w="6680" w:type="dxa"/>
            <w:vAlign w:val="bottom"/>
          </w:tcPr>
          <w:p>
            <w:pPr>
              <w:ind w:left="140"/>
              <w:spacing w:after="0"/>
              <w:rPr>
                <w:sz w:val="20"/>
                <w:szCs w:val="20"/>
                <w:color w:val="auto"/>
              </w:rPr>
            </w:pPr>
            <w:r>
              <w:rPr>
                <w:rFonts w:ascii="Arial" w:cs="Arial" w:eastAsia="Arial" w:hAnsi="Arial"/>
                <w:sz w:val="10"/>
                <w:szCs w:val="10"/>
                <w:color w:val="auto"/>
              </w:rPr>
              <w:t>Total assets</w:t>
            </w:r>
          </w:p>
        </w:tc>
        <w:tc>
          <w:tcPr>
            <w:tcW w:w="1580" w:type="dxa"/>
            <w:vAlign w:val="bottom"/>
            <w:tcBorders>
              <w:bottom w:val="single" w:sz="8" w:color="auto"/>
            </w:tcBorders>
          </w:tcPr>
          <w:p>
            <w:pPr>
              <w:jc w:val="right"/>
              <w:ind w:right="147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2,915.2</w:t>
            </w:r>
          </w:p>
        </w:tc>
        <w:tc>
          <w:tcPr>
            <w:tcW w:w="80" w:type="dxa"/>
            <w:vAlign w:val="bottom"/>
          </w:tcPr>
          <w:p>
            <w:pPr>
              <w:spacing w:after="0"/>
              <w:rPr>
                <w:sz w:val="10"/>
                <w:szCs w:val="10"/>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2,883.2</w:t>
            </w:r>
          </w:p>
        </w:tc>
      </w:tr>
      <w:tr>
        <w:trPr>
          <w:trHeight w:val="251"/>
        </w:trPr>
        <w:tc>
          <w:tcPr>
            <w:tcW w:w="6680" w:type="dxa"/>
            <w:vAlign w:val="bottom"/>
          </w:tcPr>
          <w:p>
            <w:pPr>
              <w:spacing w:after="0"/>
              <w:rPr>
                <w:sz w:val="20"/>
                <w:szCs w:val="20"/>
                <w:color w:val="auto"/>
              </w:rPr>
            </w:pPr>
            <w:r>
              <w:rPr>
                <w:rFonts w:ascii="Arial" w:cs="Arial" w:eastAsia="Arial" w:hAnsi="Arial"/>
                <w:sz w:val="10"/>
                <w:szCs w:val="10"/>
                <w:color w:val="auto"/>
              </w:rPr>
              <w:t>LIABILITIES AND STOCKHOLDERS' EQUITY</w:t>
            </w:r>
          </w:p>
        </w:tc>
        <w:tc>
          <w:tcPr>
            <w:tcW w:w="15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126"/>
        </w:trPr>
        <w:tc>
          <w:tcPr>
            <w:tcW w:w="6680" w:type="dxa"/>
            <w:vAlign w:val="bottom"/>
          </w:tcPr>
          <w:p>
            <w:pPr>
              <w:spacing w:after="0"/>
              <w:rPr>
                <w:sz w:val="20"/>
                <w:szCs w:val="20"/>
                <w:color w:val="auto"/>
              </w:rPr>
            </w:pPr>
            <w:r>
              <w:rPr>
                <w:rFonts w:ascii="Arial" w:cs="Arial" w:eastAsia="Arial" w:hAnsi="Arial"/>
                <w:sz w:val="10"/>
                <w:szCs w:val="10"/>
                <w:color w:val="auto"/>
              </w:rPr>
              <w:t>Current liabilities:</w:t>
            </w:r>
          </w:p>
        </w:tc>
        <w:tc>
          <w:tcPr>
            <w:tcW w:w="1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spacing w:after="0"/>
              <w:rPr>
                <w:sz w:val="10"/>
                <w:szCs w:val="10"/>
                <w:color w:val="auto"/>
              </w:rPr>
            </w:pP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Accounts payable</w:t>
            </w:r>
          </w:p>
        </w:tc>
        <w:tc>
          <w:tcPr>
            <w:tcW w:w="1580" w:type="dxa"/>
            <w:vAlign w:val="bottom"/>
          </w:tcPr>
          <w:p>
            <w:pPr>
              <w:jc w:val="right"/>
              <w:ind w:right="1472"/>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151.8</w:t>
            </w:r>
          </w:p>
        </w:tc>
        <w:tc>
          <w:tcPr>
            <w:tcW w:w="80" w:type="dxa"/>
            <w:vAlign w:val="bottom"/>
          </w:tcPr>
          <w:p>
            <w:pPr>
              <w:spacing w:after="0"/>
              <w:rPr>
                <w:sz w:val="10"/>
                <w:szCs w:val="10"/>
                <w:color w:val="auto"/>
              </w:rPr>
            </w:pP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800" w:type="dxa"/>
            <w:vAlign w:val="bottom"/>
          </w:tcPr>
          <w:p>
            <w:pPr>
              <w:jc w:val="right"/>
              <w:spacing w:after="0"/>
              <w:rPr>
                <w:sz w:val="20"/>
                <w:szCs w:val="20"/>
                <w:color w:val="auto"/>
              </w:rPr>
            </w:pPr>
            <w:r>
              <w:rPr>
                <w:rFonts w:ascii="Arial" w:cs="Arial" w:eastAsia="Arial" w:hAnsi="Arial"/>
                <w:sz w:val="10"/>
                <w:szCs w:val="10"/>
                <w:color w:val="auto"/>
              </w:rPr>
              <w:t>136.1</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Accrued expenses</w:t>
            </w:r>
          </w:p>
        </w:tc>
        <w:tc>
          <w:tcPr>
            <w:tcW w:w="158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33.8</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46.9</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Accrued compensation</w:t>
            </w:r>
          </w:p>
        </w:tc>
        <w:tc>
          <w:tcPr>
            <w:tcW w:w="158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63.2</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84.6</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Debt, current portion</w:t>
            </w:r>
          </w:p>
        </w:tc>
        <w:tc>
          <w:tcPr>
            <w:tcW w:w="158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28.8</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33.8</w:t>
            </w:r>
          </w:p>
        </w:tc>
      </w:tr>
      <w:tr>
        <w:trPr>
          <w:trHeight w:val="125"/>
        </w:trPr>
        <w:tc>
          <w:tcPr>
            <w:tcW w:w="6680" w:type="dxa"/>
            <w:vAlign w:val="bottom"/>
          </w:tcPr>
          <w:p>
            <w:pPr>
              <w:ind w:left="80"/>
              <w:spacing w:after="0"/>
              <w:rPr>
                <w:sz w:val="20"/>
                <w:szCs w:val="20"/>
                <w:color w:val="auto"/>
              </w:rPr>
            </w:pPr>
            <w:r>
              <w:rPr>
                <w:rFonts w:ascii="Arial" w:cs="Arial" w:eastAsia="Arial" w:hAnsi="Arial"/>
                <w:sz w:val="10"/>
                <w:szCs w:val="10"/>
                <w:color w:val="auto"/>
              </w:rPr>
              <w:t>Other current liabilities</w:t>
            </w:r>
          </w:p>
        </w:tc>
        <w:tc>
          <w:tcPr>
            <w:tcW w:w="15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100.2</w:t>
            </w: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83.1</w:t>
            </w:r>
          </w:p>
        </w:tc>
      </w:tr>
      <w:tr>
        <w:trPr>
          <w:trHeight w:val="116"/>
        </w:trPr>
        <w:tc>
          <w:tcPr>
            <w:tcW w:w="6680" w:type="dxa"/>
            <w:vAlign w:val="bottom"/>
          </w:tcPr>
          <w:p>
            <w:pPr>
              <w:ind w:left="140"/>
              <w:spacing w:after="0"/>
              <w:rPr>
                <w:sz w:val="20"/>
                <w:szCs w:val="20"/>
                <w:color w:val="auto"/>
              </w:rPr>
            </w:pPr>
            <w:r>
              <w:rPr>
                <w:rFonts w:ascii="Arial" w:cs="Arial" w:eastAsia="Arial" w:hAnsi="Arial"/>
                <w:sz w:val="10"/>
                <w:szCs w:val="10"/>
                <w:color w:val="auto"/>
              </w:rPr>
              <w:t>Total current liabilities</w:t>
            </w:r>
          </w:p>
        </w:tc>
        <w:tc>
          <w:tcPr>
            <w:tcW w:w="158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377.8</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384.5</w:t>
            </w:r>
          </w:p>
        </w:tc>
      </w:tr>
      <w:tr>
        <w:trPr>
          <w:trHeight w:val="270"/>
        </w:trPr>
        <w:tc>
          <w:tcPr>
            <w:tcW w:w="6680" w:type="dxa"/>
            <w:vAlign w:val="bottom"/>
          </w:tcPr>
          <w:p>
            <w:pPr>
              <w:ind w:left="80"/>
              <w:spacing w:after="0"/>
              <w:rPr>
                <w:sz w:val="20"/>
                <w:szCs w:val="20"/>
                <w:color w:val="auto"/>
              </w:rPr>
            </w:pPr>
            <w:r>
              <w:rPr>
                <w:rFonts w:ascii="Arial" w:cs="Arial" w:eastAsia="Arial" w:hAnsi="Arial"/>
                <w:sz w:val="10"/>
                <w:szCs w:val="10"/>
                <w:color w:val="auto"/>
              </w:rPr>
              <w:t>Contingent consideration, net of current portion</w:t>
            </w:r>
          </w:p>
        </w:tc>
        <w:tc>
          <w:tcPr>
            <w:tcW w:w="1580" w:type="dxa"/>
            <w:vAlign w:val="bottom"/>
          </w:tcPr>
          <w:p>
            <w:pPr>
              <w:spacing w:after="0"/>
              <w:rPr>
                <w:sz w:val="23"/>
                <w:szCs w:val="23"/>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5.0</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34.2</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Debt, net of current portion</w:t>
            </w:r>
          </w:p>
        </w:tc>
        <w:tc>
          <w:tcPr>
            <w:tcW w:w="158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825.2</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841.0</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Deferred tax liability</w:t>
            </w:r>
          </w:p>
        </w:tc>
        <w:tc>
          <w:tcPr>
            <w:tcW w:w="158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53.2</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53.2</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Contract liabilities, net of current portion</w:t>
            </w:r>
          </w:p>
        </w:tc>
        <w:tc>
          <w:tcPr>
            <w:tcW w:w="158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48.9</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55.5</w:t>
            </w:r>
          </w:p>
        </w:tc>
      </w:tr>
      <w:tr>
        <w:trPr>
          <w:trHeight w:val="125"/>
        </w:trPr>
        <w:tc>
          <w:tcPr>
            <w:tcW w:w="6680" w:type="dxa"/>
            <w:vAlign w:val="bottom"/>
          </w:tcPr>
          <w:p>
            <w:pPr>
              <w:ind w:left="80"/>
              <w:spacing w:after="0"/>
              <w:rPr>
                <w:sz w:val="20"/>
                <w:szCs w:val="20"/>
                <w:color w:val="auto"/>
              </w:rPr>
            </w:pPr>
            <w:r>
              <w:rPr>
                <w:rFonts w:ascii="Arial" w:cs="Arial" w:eastAsia="Arial" w:hAnsi="Arial"/>
                <w:sz w:val="10"/>
                <w:szCs w:val="10"/>
                <w:color w:val="auto"/>
              </w:rPr>
              <w:t>Other liabilities</w:t>
            </w:r>
          </w:p>
        </w:tc>
        <w:tc>
          <w:tcPr>
            <w:tcW w:w="15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61.4</w:t>
            </w: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67.8</w:t>
            </w:r>
          </w:p>
        </w:tc>
      </w:tr>
      <w:tr>
        <w:trPr>
          <w:trHeight w:val="115"/>
        </w:trPr>
        <w:tc>
          <w:tcPr>
            <w:tcW w:w="6680" w:type="dxa"/>
            <w:vAlign w:val="bottom"/>
          </w:tcPr>
          <w:p>
            <w:pPr>
              <w:ind w:left="140"/>
              <w:spacing w:after="0"/>
              <w:rPr>
                <w:sz w:val="20"/>
                <w:szCs w:val="20"/>
                <w:color w:val="auto"/>
              </w:rPr>
            </w:pPr>
            <w:r>
              <w:rPr>
                <w:rFonts w:ascii="Arial" w:cs="Arial" w:eastAsia="Arial" w:hAnsi="Arial"/>
                <w:sz w:val="10"/>
                <w:szCs w:val="10"/>
                <w:color w:val="auto"/>
              </w:rPr>
              <w:t>Total liabilities</w:t>
            </w:r>
          </w:p>
        </w:tc>
        <w:tc>
          <w:tcPr>
            <w:tcW w:w="1580" w:type="dxa"/>
            <w:vAlign w:val="bottom"/>
            <w:tcBorders>
              <w:bottom w:val="single" w:sz="8" w:color="auto"/>
            </w:tcBorders>
          </w:tcPr>
          <w:p>
            <w:pPr>
              <w:jc w:val="right"/>
              <w:ind w:right="147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1,371.5</w:t>
            </w:r>
          </w:p>
        </w:tc>
        <w:tc>
          <w:tcPr>
            <w:tcW w:w="80" w:type="dxa"/>
            <w:vAlign w:val="bottom"/>
          </w:tcPr>
          <w:p>
            <w:pPr>
              <w:spacing w:after="0"/>
              <w:rPr>
                <w:sz w:val="10"/>
                <w:szCs w:val="10"/>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1,436.2</w:t>
            </w:r>
          </w:p>
        </w:tc>
      </w:tr>
      <w:tr>
        <w:trPr>
          <w:trHeight w:val="278"/>
        </w:trPr>
        <w:tc>
          <w:tcPr>
            <w:tcW w:w="6680" w:type="dxa"/>
            <w:vAlign w:val="bottom"/>
          </w:tcPr>
          <w:p>
            <w:pPr>
              <w:spacing w:after="0"/>
              <w:rPr>
                <w:sz w:val="20"/>
                <w:szCs w:val="20"/>
                <w:color w:val="auto"/>
              </w:rPr>
            </w:pPr>
            <w:r>
              <w:rPr>
                <w:rFonts w:ascii="Arial" w:cs="Arial" w:eastAsia="Arial" w:hAnsi="Arial"/>
                <w:sz w:val="10"/>
                <w:szCs w:val="10"/>
                <w:color w:val="auto"/>
              </w:rPr>
              <w:t>Stockholders' equity:</w:t>
            </w: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Preferred stock, $0.001 par value; 15.0 shares authorized, no shares issued or outstanding</w:t>
            </w:r>
          </w:p>
        </w:tc>
        <w:tc>
          <w:tcPr>
            <w:tcW w:w="158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Common stock, $0.001 par value; 200.0 shares authorized, 54.9 and 54.3 shares issued; 53.7 and 53.1 shares outstanding, respectively</w:t>
            </w:r>
          </w:p>
        </w:tc>
        <w:tc>
          <w:tcPr>
            <w:tcW w:w="158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0.1</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0.1</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Additional paid-in capital</w:t>
            </w:r>
          </w:p>
        </w:tc>
        <w:tc>
          <w:tcPr>
            <w:tcW w:w="1580" w:type="dxa"/>
            <w:vAlign w:val="bottom"/>
          </w:tcPr>
          <w:p>
            <w:pPr>
              <w:spacing w:after="0"/>
              <w:rPr>
                <w:sz w:val="10"/>
                <w:szCs w:val="10"/>
                <w:color w:val="auto"/>
              </w:rPr>
            </w:pPr>
          </w:p>
        </w:tc>
        <w:tc>
          <w:tcPr>
            <w:tcW w:w="580" w:type="dxa"/>
            <w:vAlign w:val="bottom"/>
          </w:tcPr>
          <w:p>
            <w:pPr>
              <w:jc w:val="right"/>
              <w:ind w:right="12"/>
              <w:spacing w:after="0"/>
              <w:rPr>
                <w:sz w:val="20"/>
                <w:szCs w:val="20"/>
                <w:color w:val="auto"/>
              </w:rPr>
            </w:pPr>
            <w:r>
              <w:rPr>
                <w:rFonts w:ascii="Arial" w:cs="Arial" w:eastAsia="Arial" w:hAnsi="Arial"/>
                <w:sz w:val="10"/>
                <w:szCs w:val="10"/>
                <w:color w:val="auto"/>
              </w:rPr>
              <w:t>804.4</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784.9</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Treasury stock, at cost, 1.2 common shares</w:t>
            </w:r>
          </w:p>
        </w:tc>
        <w:tc>
          <w:tcPr>
            <w:tcW w:w="15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(39.6)</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(39.6)</w:t>
            </w:r>
          </w:p>
        </w:tc>
      </w:tr>
      <w:tr>
        <w:trPr>
          <w:trHeight w:val="126"/>
        </w:trPr>
        <w:tc>
          <w:tcPr>
            <w:tcW w:w="6680" w:type="dxa"/>
            <w:vAlign w:val="bottom"/>
          </w:tcPr>
          <w:p>
            <w:pPr>
              <w:ind w:left="80"/>
              <w:spacing w:after="0"/>
              <w:rPr>
                <w:sz w:val="20"/>
                <w:szCs w:val="20"/>
                <w:color w:val="auto"/>
              </w:rPr>
            </w:pPr>
            <w:r>
              <w:rPr>
                <w:rFonts w:ascii="Arial" w:cs="Arial" w:eastAsia="Arial" w:hAnsi="Arial"/>
                <w:sz w:val="10"/>
                <w:szCs w:val="10"/>
                <w:color w:val="auto"/>
              </w:rPr>
              <w:t>Accumulated other comprehensive loss, net</w:t>
            </w:r>
          </w:p>
        </w:tc>
        <w:tc>
          <w:tcPr>
            <w:tcW w:w="15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(22.4)</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0" w:type="dxa"/>
            <w:vAlign w:val="bottom"/>
          </w:tcPr>
          <w:p>
            <w:pPr>
              <w:jc w:val="right"/>
              <w:spacing w:after="0"/>
              <w:rPr>
                <w:sz w:val="20"/>
                <w:szCs w:val="20"/>
                <w:color w:val="auto"/>
              </w:rPr>
            </w:pPr>
            <w:r>
              <w:rPr>
                <w:rFonts w:ascii="Arial" w:cs="Arial" w:eastAsia="Arial" w:hAnsi="Arial"/>
                <w:sz w:val="10"/>
                <w:szCs w:val="10"/>
                <w:color w:val="auto"/>
              </w:rPr>
              <w:t>(25.3)</w:t>
            </w:r>
          </w:p>
        </w:tc>
      </w:tr>
      <w:tr>
        <w:trPr>
          <w:trHeight w:val="125"/>
        </w:trPr>
        <w:tc>
          <w:tcPr>
            <w:tcW w:w="6680" w:type="dxa"/>
            <w:vAlign w:val="bottom"/>
          </w:tcPr>
          <w:p>
            <w:pPr>
              <w:ind w:left="80"/>
              <w:spacing w:after="0"/>
              <w:rPr>
                <w:sz w:val="20"/>
                <w:szCs w:val="20"/>
                <w:color w:val="auto"/>
              </w:rPr>
            </w:pPr>
            <w:r>
              <w:rPr>
                <w:rFonts w:ascii="Arial" w:cs="Arial" w:eastAsia="Arial" w:hAnsi="Arial"/>
                <w:sz w:val="10"/>
                <w:szCs w:val="10"/>
                <w:color w:val="auto"/>
              </w:rPr>
              <w:t>Retained earnings</w:t>
            </w:r>
          </w:p>
        </w:tc>
        <w:tc>
          <w:tcPr>
            <w:tcW w:w="15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801.2</w:t>
            </w: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726.9</w:t>
            </w:r>
          </w:p>
        </w:tc>
      </w:tr>
      <w:tr>
        <w:trPr>
          <w:trHeight w:val="115"/>
        </w:trPr>
        <w:tc>
          <w:tcPr>
            <w:tcW w:w="6680" w:type="dxa"/>
            <w:vAlign w:val="bottom"/>
          </w:tcPr>
          <w:p>
            <w:pPr>
              <w:ind w:left="80"/>
              <w:spacing w:after="0"/>
              <w:rPr>
                <w:sz w:val="20"/>
                <w:szCs w:val="20"/>
                <w:color w:val="auto"/>
              </w:rPr>
            </w:pPr>
            <w:r>
              <w:rPr>
                <w:rFonts w:ascii="Arial" w:cs="Arial" w:eastAsia="Arial" w:hAnsi="Arial"/>
                <w:sz w:val="10"/>
                <w:szCs w:val="10"/>
                <w:color w:val="auto"/>
              </w:rPr>
              <w:t>Total stockholders' equity</w:t>
            </w:r>
          </w:p>
        </w:tc>
        <w:tc>
          <w:tcPr>
            <w:tcW w:w="15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1,543.7</w:t>
            </w:r>
          </w:p>
        </w:tc>
        <w:tc>
          <w:tcPr>
            <w:tcW w:w="8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1,447.0</w:t>
            </w:r>
          </w:p>
        </w:tc>
      </w:tr>
      <w:tr>
        <w:trPr>
          <w:trHeight w:val="115"/>
        </w:trPr>
        <w:tc>
          <w:tcPr>
            <w:tcW w:w="6680" w:type="dxa"/>
            <w:vAlign w:val="bottom"/>
          </w:tcPr>
          <w:p>
            <w:pPr>
              <w:ind w:left="220"/>
              <w:spacing w:after="0"/>
              <w:rPr>
                <w:sz w:val="20"/>
                <w:szCs w:val="20"/>
                <w:color w:val="auto"/>
              </w:rPr>
            </w:pPr>
            <w:r>
              <w:rPr>
                <w:rFonts w:ascii="Arial" w:cs="Arial" w:eastAsia="Arial" w:hAnsi="Arial"/>
                <w:sz w:val="10"/>
                <w:szCs w:val="10"/>
                <w:color w:val="auto"/>
              </w:rPr>
              <w:t>Total liabilities and stockholders' equity</w:t>
            </w:r>
          </w:p>
        </w:tc>
        <w:tc>
          <w:tcPr>
            <w:tcW w:w="1580" w:type="dxa"/>
            <w:vAlign w:val="bottom"/>
            <w:tcBorders>
              <w:bottom w:val="single" w:sz="8" w:color="auto"/>
            </w:tcBorders>
          </w:tcPr>
          <w:p>
            <w:pPr>
              <w:jc w:val="right"/>
              <w:ind w:right="147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2,915.2</w:t>
            </w:r>
          </w:p>
        </w:tc>
        <w:tc>
          <w:tcPr>
            <w:tcW w:w="80" w:type="dxa"/>
            <w:vAlign w:val="bottom"/>
          </w:tcPr>
          <w:p>
            <w:pPr>
              <w:spacing w:after="0"/>
              <w:rPr>
                <w:sz w:val="10"/>
                <w:szCs w:val="10"/>
                <w:color w:val="auto"/>
              </w:rPr>
            </w:pPr>
          </w:p>
        </w:tc>
        <w:tc>
          <w:tcPr>
            <w:tcW w:w="380" w:type="dxa"/>
            <w:vAlign w:val="bottom"/>
            <w:tcBorders>
              <w:bottom w:val="single" w:sz="8" w:color="auto"/>
            </w:tcBorders>
          </w:tcPr>
          <w:p>
            <w:pPr>
              <w:jc w:val="right"/>
              <w:ind w:right="272"/>
              <w:spacing w:after="0"/>
              <w:rPr>
                <w:sz w:val="20"/>
                <w:szCs w:val="20"/>
                <w:color w:val="auto"/>
              </w:rPr>
            </w:pPr>
            <w:r>
              <w:rPr>
                <w:rFonts w:ascii="Arial" w:cs="Arial" w:eastAsia="Arial" w:hAnsi="Arial"/>
                <w:sz w:val="10"/>
                <w:szCs w:val="10"/>
                <w:color w:val="auto"/>
                <w:w w:val="71"/>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2,883.2</w:t>
            </w:r>
          </w:p>
        </w:tc>
      </w:tr>
      <w:tr>
        <w:trPr>
          <w:trHeight w:val="20"/>
        </w:trPr>
        <w:tc>
          <w:tcPr>
            <w:tcW w:w="6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8 of 13</w:t>
      </w:r>
    </w:p>
    <w:p>
      <w:pPr>
        <w:sectPr>
          <w:pgSz w:w="11900" w:h="16838" w:orient="portrait"/>
          <w:cols w:equalWidth="0" w:num="1">
            <w:col w:w="11100"/>
          </w:cols>
          <w:pgMar w:left="400" w:top="671" w:right="399" w:bottom="1440" w:gutter="0" w:footer="0" w:header="0"/>
        </w:sectPr>
      </w:pPr>
    </w:p>
    <w:bookmarkStart w:id="10" w:name="page11"/>
    <w:bookmarkEnd w:id="10"/>
    <w:p>
      <w:pPr>
        <w:jc w:val="center"/>
        <w:spacing w:after="0"/>
        <w:rPr>
          <w:sz w:val="20"/>
          <w:szCs w:val="20"/>
          <w:color w:val="auto"/>
        </w:rPr>
      </w:pPr>
      <w:r>
        <w:rPr>
          <w:rFonts w:ascii="Arial" w:cs="Arial" w:eastAsia="Arial" w:hAnsi="Arial"/>
          <w:sz w:val="10"/>
          <w:szCs w:val="10"/>
          <w:b w:val="1"/>
          <w:bCs w:val="1"/>
          <w:color w:val="auto"/>
        </w:rPr>
        <w:t>Emergent BioSolutions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Condensed Consolidated Statements of Operations</w:t>
      </w:r>
    </w:p>
    <w:p>
      <w:pPr>
        <w:spacing w:after="0" w:line="11" w:lineRule="exact"/>
        <w:rPr>
          <w:sz w:val="20"/>
          <w:szCs w:val="20"/>
          <w:color w:val="auto"/>
        </w:rPr>
      </w:pPr>
    </w:p>
    <w:p>
      <w:pPr>
        <w:jc w:val="center"/>
        <w:ind w:right="20"/>
        <w:spacing w:after="0"/>
        <w:rPr>
          <w:sz w:val="20"/>
          <w:szCs w:val="20"/>
          <w:color w:val="auto"/>
        </w:rPr>
      </w:pPr>
      <w:r>
        <w:rPr>
          <w:rFonts w:ascii="Arial" w:cs="Arial" w:eastAsia="Arial" w:hAnsi="Arial"/>
          <w:sz w:val="10"/>
          <w:szCs w:val="10"/>
          <w:b w:val="1"/>
          <w:bCs w:val="1"/>
          <w:color w:val="auto"/>
        </w:rPr>
        <w:t>(unaudited, in millions, except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520" w:type="dxa"/>
            <w:vAlign w:val="bottom"/>
            <w:gridSpan w:val="2"/>
          </w:tcPr>
          <w:p>
            <w:pPr>
              <w:jc w:val="right"/>
              <w:ind w:right="32"/>
              <w:spacing w:after="0"/>
              <w:rPr>
                <w:sz w:val="20"/>
                <w:szCs w:val="20"/>
                <w:color w:val="auto"/>
              </w:rPr>
            </w:pPr>
            <w:r>
              <w:rPr>
                <w:rFonts w:ascii="Arial" w:cs="Arial" w:eastAsia="Arial" w:hAnsi="Arial"/>
                <w:sz w:val="10"/>
                <w:szCs w:val="10"/>
                <w:b w:val="1"/>
                <w:bCs w:val="1"/>
                <w:color w:val="auto"/>
              </w:rPr>
              <w:t>Three Months Ended June 30,</w:t>
            </w: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540" w:type="dxa"/>
            <w:vAlign w:val="bottom"/>
            <w:gridSpan w:val="2"/>
          </w:tcPr>
          <w:p>
            <w:pPr>
              <w:jc w:val="center"/>
              <w:ind w:left="1052"/>
              <w:spacing w:after="0"/>
              <w:rPr>
                <w:sz w:val="20"/>
                <w:szCs w:val="20"/>
                <w:color w:val="auto"/>
              </w:rPr>
            </w:pPr>
            <w:r>
              <w:rPr>
                <w:rFonts w:ascii="Arial" w:cs="Arial" w:eastAsia="Arial" w:hAnsi="Arial"/>
                <w:sz w:val="10"/>
                <w:szCs w:val="10"/>
                <w:b w:val="1"/>
                <w:bCs w:val="1"/>
                <w:color w:val="auto"/>
                <w:w w:val="95"/>
              </w:rPr>
              <w:t>Six Months Ended June 30,</w:t>
            </w: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3640" w:type="dxa"/>
            <w:vAlign w:val="bottom"/>
          </w:tcPr>
          <w:p>
            <w:pPr>
              <w:spacing w:after="0"/>
              <w:rPr>
                <w:sz w:val="10"/>
                <w:szCs w:val="10"/>
                <w:color w:val="auto"/>
              </w:rPr>
            </w:pPr>
          </w:p>
        </w:tc>
        <w:tc>
          <w:tcPr>
            <w:tcW w:w="1160" w:type="dxa"/>
            <w:vAlign w:val="bottom"/>
            <w:tcBorders>
              <w:bottom w:val="single" w:sz="8" w:color="auto"/>
            </w:tcBorders>
          </w:tcPr>
          <w:p>
            <w:pPr>
              <w:jc w:val="right"/>
              <w:ind w:right="52"/>
              <w:spacing w:after="0"/>
              <w:rPr>
                <w:sz w:val="20"/>
                <w:szCs w:val="20"/>
                <w:color w:val="auto"/>
              </w:rPr>
            </w:pPr>
            <w:r>
              <w:rPr>
                <w:rFonts w:ascii="Arial" w:cs="Arial" w:eastAsia="Arial" w:hAnsi="Arial"/>
                <w:sz w:val="10"/>
                <w:szCs w:val="10"/>
                <w:b w:val="1"/>
                <w:bCs w:val="1"/>
                <w:color w:val="auto"/>
              </w:rPr>
              <w:t>2021</w:t>
            </w:r>
          </w:p>
        </w:tc>
        <w:tc>
          <w:tcPr>
            <w:tcW w:w="7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792"/>
              <w:spacing w:after="0"/>
              <w:rPr>
                <w:sz w:val="20"/>
                <w:szCs w:val="20"/>
                <w:color w:val="auto"/>
              </w:rPr>
            </w:pPr>
            <w:r>
              <w:rPr>
                <w:rFonts w:ascii="Arial" w:cs="Arial" w:eastAsia="Arial" w:hAnsi="Arial"/>
                <w:sz w:val="10"/>
                <w:szCs w:val="10"/>
                <w:b w:val="1"/>
                <w:bCs w:val="1"/>
                <w:color w:val="auto"/>
              </w:rPr>
              <w:t>2020</w:t>
            </w:r>
          </w:p>
        </w:tc>
        <w:tc>
          <w:tcPr>
            <w:tcW w:w="200" w:type="dxa"/>
            <w:vAlign w:val="bottom"/>
          </w:tcPr>
          <w:p>
            <w:pPr>
              <w:spacing w:after="0"/>
              <w:rPr>
                <w:sz w:val="10"/>
                <w:szCs w:val="10"/>
                <w:color w:val="auto"/>
              </w:rPr>
            </w:pPr>
          </w:p>
        </w:tc>
        <w:tc>
          <w:tcPr>
            <w:tcW w:w="1740" w:type="dxa"/>
            <w:vAlign w:val="bottom"/>
            <w:tcBorders>
              <w:bottom w:val="single" w:sz="8" w:color="auto"/>
            </w:tcBorders>
          </w:tcPr>
          <w:p>
            <w:pPr>
              <w:jc w:val="right"/>
              <w:ind w:right="732"/>
              <w:spacing w:after="0"/>
              <w:rPr>
                <w:sz w:val="20"/>
                <w:szCs w:val="20"/>
                <w:color w:val="auto"/>
              </w:rPr>
            </w:pPr>
            <w:r>
              <w:rPr>
                <w:rFonts w:ascii="Arial" w:cs="Arial" w:eastAsia="Arial" w:hAnsi="Arial"/>
                <w:sz w:val="10"/>
                <w:szCs w:val="10"/>
                <w:b w:val="1"/>
                <w:bCs w:val="1"/>
                <w:color w:val="auto"/>
              </w:rPr>
              <w:t>2021</w:t>
            </w:r>
          </w:p>
        </w:tc>
        <w:tc>
          <w:tcPr>
            <w:tcW w:w="8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692"/>
              <w:spacing w:after="0"/>
              <w:rPr>
                <w:sz w:val="20"/>
                <w:szCs w:val="20"/>
                <w:color w:val="auto"/>
              </w:rPr>
            </w:pPr>
            <w:r>
              <w:rPr>
                <w:rFonts w:ascii="Arial" w:cs="Arial" w:eastAsia="Arial" w:hAnsi="Arial"/>
                <w:sz w:val="10"/>
                <w:szCs w:val="10"/>
                <w:b w:val="1"/>
                <w:bCs w:val="1"/>
                <w:color w:val="auto"/>
              </w:rPr>
              <w:t>2020</w:t>
            </w:r>
          </w:p>
        </w:tc>
        <w:tc>
          <w:tcPr>
            <w:tcW w:w="0" w:type="dxa"/>
            <w:vAlign w:val="bottom"/>
          </w:tcPr>
          <w:p>
            <w:pPr>
              <w:spacing w:after="0"/>
              <w:rPr>
                <w:sz w:val="1"/>
                <w:szCs w:val="1"/>
                <w:color w:val="auto"/>
              </w:rPr>
            </w:pPr>
          </w:p>
        </w:tc>
      </w:tr>
      <w:tr>
        <w:trPr>
          <w:trHeight w:val="251"/>
        </w:trPr>
        <w:tc>
          <w:tcPr>
            <w:tcW w:w="3640" w:type="dxa"/>
            <w:vAlign w:val="bottom"/>
          </w:tcPr>
          <w:p>
            <w:pPr>
              <w:spacing w:after="0"/>
              <w:rPr>
                <w:sz w:val="20"/>
                <w:szCs w:val="20"/>
                <w:color w:val="auto"/>
              </w:rPr>
            </w:pPr>
            <w:r>
              <w:rPr>
                <w:rFonts w:ascii="Arial" w:cs="Arial" w:eastAsia="Arial" w:hAnsi="Arial"/>
                <w:sz w:val="10"/>
                <w:szCs w:val="10"/>
                <w:color w:val="auto"/>
              </w:rPr>
              <w:t>Revenues:</w:t>
            </w: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3640" w:type="dxa"/>
            <w:vAlign w:val="bottom"/>
          </w:tcPr>
          <w:p>
            <w:pPr>
              <w:spacing w:after="0"/>
              <w:rPr>
                <w:sz w:val="20"/>
                <w:szCs w:val="20"/>
                <w:color w:val="auto"/>
              </w:rPr>
            </w:pPr>
            <w:r>
              <w:rPr>
                <w:rFonts w:ascii="Arial" w:cs="Arial" w:eastAsia="Arial" w:hAnsi="Arial"/>
                <w:sz w:val="10"/>
                <w:szCs w:val="10"/>
                <w:color w:val="auto"/>
              </w:rPr>
              <w:t>Product sales, net</w:t>
            </w:r>
          </w:p>
        </w:tc>
        <w:tc>
          <w:tcPr>
            <w:tcW w:w="1160" w:type="dxa"/>
            <w:vAlign w:val="bottom"/>
          </w:tcPr>
          <w:p>
            <w:pPr>
              <w:jc w:val="right"/>
              <w:ind w:right="97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181.2</w:t>
            </w:r>
          </w:p>
        </w:tc>
        <w:tc>
          <w:tcPr>
            <w:tcW w:w="740" w:type="dxa"/>
            <w:vAlign w:val="bottom"/>
          </w:tcPr>
          <w:p>
            <w:pPr>
              <w:jc w:val="right"/>
              <w:ind w:right="592"/>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298.5</w:t>
            </w:r>
          </w:p>
        </w:tc>
        <w:tc>
          <w:tcPr>
            <w:tcW w:w="2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740" w:type="dxa"/>
            <w:vAlign w:val="bottom"/>
          </w:tcPr>
          <w:p>
            <w:pPr>
              <w:jc w:val="right"/>
              <w:spacing w:after="0"/>
              <w:rPr>
                <w:sz w:val="20"/>
                <w:szCs w:val="20"/>
                <w:color w:val="auto"/>
              </w:rPr>
            </w:pPr>
            <w:r>
              <w:rPr>
                <w:rFonts w:ascii="Arial" w:cs="Arial" w:eastAsia="Arial" w:hAnsi="Arial"/>
                <w:sz w:val="10"/>
                <w:szCs w:val="10"/>
                <w:color w:val="auto"/>
              </w:rPr>
              <w:t>319.1</w:t>
            </w:r>
          </w:p>
        </w:tc>
        <w:tc>
          <w:tcPr>
            <w:tcW w:w="800" w:type="dxa"/>
            <w:vAlign w:val="bottom"/>
          </w:tcPr>
          <w:p>
            <w:pPr>
              <w:jc w:val="center"/>
              <w:ind w:right="612"/>
              <w:spacing w:after="0"/>
              <w:rPr>
                <w:sz w:val="20"/>
                <w:szCs w:val="20"/>
                <w:color w:val="auto"/>
              </w:rPr>
            </w:pPr>
            <w:r>
              <w:rPr>
                <w:rFonts w:ascii="Arial" w:cs="Arial" w:eastAsia="Arial" w:hAnsi="Arial"/>
                <w:sz w:val="10"/>
                <w:szCs w:val="10"/>
                <w:color w:val="auto"/>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446.7</w:t>
            </w:r>
          </w:p>
        </w:tc>
        <w:tc>
          <w:tcPr>
            <w:tcW w:w="0" w:type="dxa"/>
            <w:vAlign w:val="bottom"/>
          </w:tcPr>
          <w:p>
            <w:pPr>
              <w:spacing w:after="0"/>
              <w:rPr>
                <w:sz w:val="1"/>
                <w:szCs w:val="1"/>
                <w:color w:val="auto"/>
              </w:rPr>
            </w:pPr>
          </w:p>
        </w:tc>
      </w:tr>
      <w:tr>
        <w:trPr>
          <w:trHeight w:val="126"/>
        </w:trPr>
        <w:tc>
          <w:tcPr>
            <w:tcW w:w="3640" w:type="dxa"/>
            <w:vAlign w:val="bottom"/>
          </w:tcPr>
          <w:p>
            <w:pPr>
              <w:spacing w:after="0"/>
              <w:rPr>
                <w:sz w:val="20"/>
                <w:szCs w:val="20"/>
                <w:color w:val="auto"/>
              </w:rPr>
            </w:pPr>
            <w:r>
              <w:rPr>
                <w:rFonts w:ascii="Arial" w:cs="Arial" w:eastAsia="Arial" w:hAnsi="Arial"/>
                <w:sz w:val="10"/>
                <w:szCs w:val="10"/>
                <w:color w:val="auto"/>
              </w:rPr>
              <w:t>Contract development and manufacturing services</w:t>
            </w:r>
          </w:p>
        </w:tc>
        <w:tc>
          <w:tcPr>
            <w:tcW w:w="11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190.9</w:t>
            </w:r>
          </w:p>
        </w:tc>
        <w:tc>
          <w:tcPr>
            <w:tcW w:w="7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72.6</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374.7</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94.3</w:t>
            </w:r>
          </w:p>
        </w:tc>
        <w:tc>
          <w:tcPr>
            <w:tcW w:w="0" w:type="dxa"/>
            <w:vAlign w:val="bottom"/>
          </w:tcPr>
          <w:p>
            <w:pPr>
              <w:spacing w:after="0"/>
              <w:rPr>
                <w:sz w:val="1"/>
                <w:szCs w:val="1"/>
                <w:color w:val="auto"/>
              </w:rPr>
            </w:pPr>
          </w:p>
        </w:tc>
      </w:tr>
      <w:tr>
        <w:trPr>
          <w:trHeight w:val="125"/>
        </w:trPr>
        <w:tc>
          <w:tcPr>
            <w:tcW w:w="3640" w:type="dxa"/>
            <w:vAlign w:val="bottom"/>
          </w:tcPr>
          <w:p>
            <w:pPr>
              <w:spacing w:after="0"/>
              <w:rPr>
                <w:sz w:val="20"/>
                <w:szCs w:val="20"/>
                <w:color w:val="auto"/>
              </w:rPr>
            </w:pPr>
            <w:r>
              <w:rPr>
                <w:rFonts w:ascii="Arial" w:cs="Arial" w:eastAsia="Arial" w:hAnsi="Arial"/>
                <w:sz w:val="10"/>
                <w:szCs w:val="10"/>
                <w:color w:val="auto"/>
              </w:rPr>
              <w:t>Contracts and grants</w:t>
            </w:r>
          </w:p>
        </w:tc>
        <w:tc>
          <w:tcPr>
            <w:tcW w:w="1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25.4</w:t>
            </w:r>
          </w:p>
        </w:tc>
        <w:tc>
          <w:tcPr>
            <w:tcW w:w="7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23.6</w:t>
            </w:r>
          </w:p>
        </w:tc>
        <w:tc>
          <w:tcPr>
            <w:tcW w:w="2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46.7</w:t>
            </w:r>
          </w:p>
        </w:tc>
        <w:tc>
          <w:tcPr>
            <w:tcW w:w="8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46.2</w:t>
            </w:r>
          </w:p>
        </w:tc>
        <w:tc>
          <w:tcPr>
            <w:tcW w:w="0" w:type="dxa"/>
            <w:vAlign w:val="bottom"/>
          </w:tcPr>
          <w:p>
            <w:pPr>
              <w:spacing w:after="0"/>
              <w:rPr>
                <w:sz w:val="1"/>
                <w:szCs w:val="1"/>
                <w:color w:val="auto"/>
              </w:rPr>
            </w:pPr>
          </w:p>
        </w:tc>
      </w:tr>
      <w:tr>
        <w:trPr>
          <w:trHeight w:val="116"/>
        </w:trPr>
        <w:tc>
          <w:tcPr>
            <w:tcW w:w="3640" w:type="dxa"/>
            <w:vAlign w:val="bottom"/>
          </w:tcPr>
          <w:p>
            <w:pPr>
              <w:spacing w:after="0"/>
              <w:rPr>
                <w:sz w:val="20"/>
                <w:szCs w:val="20"/>
                <w:color w:val="auto"/>
              </w:rPr>
            </w:pPr>
            <w:r>
              <w:rPr>
                <w:rFonts w:ascii="Arial" w:cs="Arial" w:eastAsia="Arial" w:hAnsi="Arial"/>
                <w:sz w:val="10"/>
                <w:szCs w:val="10"/>
                <w:color w:val="auto"/>
              </w:rPr>
              <w:t>Total revenues</w:t>
            </w:r>
          </w:p>
        </w:tc>
        <w:tc>
          <w:tcPr>
            <w:tcW w:w="11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397.5</w:t>
            </w:r>
          </w:p>
        </w:tc>
        <w:tc>
          <w:tcPr>
            <w:tcW w:w="7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394.7</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740.5</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587.2</w:t>
            </w: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0"/>
                <w:szCs w:val="20"/>
                <w:color w:val="auto"/>
              </w:rPr>
            </w:pPr>
            <w:r>
              <w:rPr>
                <w:rFonts w:ascii="Arial" w:cs="Arial" w:eastAsia="Arial" w:hAnsi="Arial"/>
                <w:sz w:val="10"/>
                <w:szCs w:val="10"/>
                <w:color w:val="auto"/>
              </w:rPr>
              <w:t>Operating expenses:</w:t>
            </w: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640" w:type="dxa"/>
            <w:vAlign w:val="bottom"/>
          </w:tcPr>
          <w:p>
            <w:pPr>
              <w:spacing w:after="0"/>
              <w:rPr>
                <w:sz w:val="20"/>
                <w:szCs w:val="20"/>
                <w:color w:val="auto"/>
              </w:rPr>
            </w:pPr>
            <w:r>
              <w:rPr>
                <w:rFonts w:ascii="Arial" w:cs="Arial" w:eastAsia="Arial" w:hAnsi="Arial"/>
                <w:sz w:val="10"/>
                <w:szCs w:val="10"/>
                <w:color w:val="auto"/>
              </w:rPr>
              <w:t>Cost of product sales and contract development and manufacturing services</w:t>
            </w:r>
          </w:p>
        </w:tc>
        <w:tc>
          <w:tcPr>
            <w:tcW w:w="11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227.8</w:t>
            </w:r>
          </w:p>
        </w:tc>
        <w:tc>
          <w:tcPr>
            <w:tcW w:w="7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129.8</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327.1</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206.7</w:t>
            </w:r>
          </w:p>
        </w:tc>
        <w:tc>
          <w:tcPr>
            <w:tcW w:w="0" w:type="dxa"/>
            <w:vAlign w:val="bottom"/>
          </w:tcPr>
          <w:p>
            <w:pPr>
              <w:spacing w:after="0"/>
              <w:rPr>
                <w:sz w:val="1"/>
                <w:szCs w:val="1"/>
                <w:color w:val="auto"/>
              </w:rPr>
            </w:pPr>
          </w:p>
        </w:tc>
      </w:tr>
      <w:tr>
        <w:trPr>
          <w:trHeight w:val="126"/>
        </w:trPr>
        <w:tc>
          <w:tcPr>
            <w:tcW w:w="3640" w:type="dxa"/>
            <w:vAlign w:val="bottom"/>
          </w:tcPr>
          <w:p>
            <w:pPr>
              <w:spacing w:after="0"/>
              <w:rPr>
                <w:sz w:val="20"/>
                <w:szCs w:val="20"/>
                <w:color w:val="auto"/>
              </w:rPr>
            </w:pPr>
            <w:r>
              <w:rPr>
                <w:rFonts w:ascii="Arial" w:cs="Arial" w:eastAsia="Arial" w:hAnsi="Arial"/>
                <w:sz w:val="10"/>
                <w:szCs w:val="10"/>
                <w:color w:val="auto"/>
              </w:rPr>
              <w:t>Research and development</w:t>
            </w:r>
          </w:p>
        </w:tc>
        <w:tc>
          <w:tcPr>
            <w:tcW w:w="11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48.9</w:t>
            </w:r>
          </w:p>
        </w:tc>
        <w:tc>
          <w:tcPr>
            <w:tcW w:w="7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47.9</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101.4</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90.6</w:t>
            </w:r>
          </w:p>
        </w:tc>
        <w:tc>
          <w:tcPr>
            <w:tcW w:w="0" w:type="dxa"/>
            <w:vAlign w:val="bottom"/>
          </w:tcPr>
          <w:p>
            <w:pPr>
              <w:spacing w:after="0"/>
              <w:rPr>
                <w:sz w:val="1"/>
                <w:szCs w:val="1"/>
                <w:color w:val="auto"/>
              </w:rPr>
            </w:pPr>
          </w:p>
        </w:tc>
      </w:tr>
      <w:tr>
        <w:trPr>
          <w:trHeight w:val="126"/>
        </w:trPr>
        <w:tc>
          <w:tcPr>
            <w:tcW w:w="3640" w:type="dxa"/>
            <w:vAlign w:val="bottom"/>
          </w:tcPr>
          <w:p>
            <w:pPr>
              <w:spacing w:after="0"/>
              <w:rPr>
                <w:sz w:val="20"/>
                <w:szCs w:val="20"/>
                <w:color w:val="auto"/>
              </w:rPr>
            </w:pPr>
            <w:r>
              <w:rPr>
                <w:rFonts w:ascii="Arial" w:cs="Arial" w:eastAsia="Arial" w:hAnsi="Arial"/>
                <w:sz w:val="10"/>
                <w:szCs w:val="10"/>
                <w:color w:val="auto"/>
              </w:rPr>
              <w:t>Selling, general and administrative</w:t>
            </w:r>
          </w:p>
        </w:tc>
        <w:tc>
          <w:tcPr>
            <w:tcW w:w="11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91.2</w:t>
            </w:r>
          </w:p>
        </w:tc>
        <w:tc>
          <w:tcPr>
            <w:tcW w:w="7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76.0</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172.1</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145.7</w:t>
            </w:r>
          </w:p>
        </w:tc>
        <w:tc>
          <w:tcPr>
            <w:tcW w:w="0" w:type="dxa"/>
            <w:vAlign w:val="bottom"/>
          </w:tcPr>
          <w:p>
            <w:pPr>
              <w:spacing w:after="0"/>
              <w:rPr>
                <w:sz w:val="1"/>
                <w:szCs w:val="1"/>
                <w:color w:val="auto"/>
              </w:rPr>
            </w:pPr>
          </w:p>
        </w:tc>
      </w:tr>
      <w:tr>
        <w:trPr>
          <w:trHeight w:val="125"/>
        </w:trPr>
        <w:tc>
          <w:tcPr>
            <w:tcW w:w="3640" w:type="dxa"/>
            <w:vAlign w:val="bottom"/>
          </w:tcPr>
          <w:p>
            <w:pPr>
              <w:spacing w:after="0"/>
              <w:rPr>
                <w:sz w:val="20"/>
                <w:szCs w:val="20"/>
                <w:color w:val="auto"/>
              </w:rPr>
            </w:pPr>
            <w:r>
              <w:rPr>
                <w:rFonts w:ascii="Arial" w:cs="Arial" w:eastAsia="Arial" w:hAnsi="Arial"/>
                <w:sz w:val="10"/>
                <w:szCs w:val="10"/>
                <w:color w:val="auto"/>
              </w:rPr>
              <w:t>Amortization of intangible assets</w:t>
            </w:r>
          </w:p>
        </w:tc>
        <w:tc>
          <w:tcPr>
            <w:tcW w:w="1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15.1</w:t>
            </w:r>
          </w:p>
        </w:tc>
        <w:tc>
          <w:tcPr>
            <w:tcW w:w="7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15.0</w:t>
            </w:r>
          </w:p>
        </w:tc>
        <w:tc>
          <w:tcPr>
            <w:tcW w:w="2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30.0</w:t>
            </w:r>
          </w:p>
        </w:tc>
        <w:tc>
          <w:tcPr>
            <w:tcW w:w="8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29.8</w:t>
            </w:r>
          </w:p>
        </w:tc>
        <w:tc>
          <w:tcPr>
            <w:tcW w:w="0" w:type="dxa"/>
            <w:vAlign w:val="bottom"/>
          </w:tcPr>
          <w:p>
            <w:pPr>
              <w:spacing w:after="0"/>
              <w:rPr>
                <w:sz w:val="1"/>
                <w:szCs w:val="1"/>
                <w:color w:val="auto"/>
              </w:rPr>
            </w:pPr>
          </w:p>
        </w:tc>
      </w:tr>
      <w:tr>
        <w:trPr>
          <w:trHeight w:val="116"/>
        </w:trPr>
        <w:tc>
          <w:tcPr>
            <w:tcW w:w="3640" w:type="dxa"/>
            <w:vAlign w:val="bottom"/>
          </w:tcPr>
          <w:p>
            <w:pPr>
              <w:spacing w:after="0"/>
              <w:rPr>
                <w:sz w:val="20"/>
                <w:szCs w:val="20"/>
                <w:color w:val="auto"/>
              </w:rPr>
            </w:pPr>
            <w:r>
              <w:rPr>
                <w:rFonts w:ascii="Arial" w:cs="Arial" w:eastAsia="Arial" w:hAnsi="Arial"/>
                <w:sz w:val="10"/>
                <w:szCs w:val="10"/>
                <w:color w:val="auto"/>
              </w:rPr>
              <w:t>Total operating expenses</w:t>
            </w:r>
          </w:p>
        </w:tc>
        <w:tc>
          <w:tcPr>
            <w:tcW w:w="11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383.0</w:t>
            </w:r>
          </w:p>
        </w:tc>
        <w:tc>
          <w:tcPr>
            <w:tcW w:w="7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268.7</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630.6</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472.8</w:t>
            </w: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0"/>
                <w:szCs w:val="20"/>
                <w:color w:val="auto"/>
              </w:rPr>
            </w:pPr>
            <w:r>
              <w:rPr>
                <w:rFonts w:ascii="Arial" w:cs="Arial" w:eastAsia="Arial" w:hAnsi="Arial"/>
                <w:sz w:val="10"/>
                <w:szCs w:val="10"/>
                <w:color w:val="auto"/>
              </w:rPr>
              <w:t>Income from operations</w:t>
            </w:r>
          </w:p>
        </w:tc>
        <w:tc>
          <w:tcPr>
            <w:tcW w:w="1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14.5</w:t>
            </w:r>
          </w:p>
        </w:tc>
        <w:tc>
          <w:tcPr>
            <w:tcW w:w="7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126.0</w:t>
            </w: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109.9</w:t>
            </w:r>
          </w:p>
        </w:tc>
        <w:tc>
          <w:tcPr>
            <w:tcW w:w="8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114.4</w:t>
            </w: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0"/>
                <w:szCs w:val="20"/>
                <w:color w:val="auto"/>
              </w:rPr>
            </w:pPr>
            <w:r>
              <w:rPr>
                <w:rFonts w:ascii="Arial" w:cs="Arial" w:eastAsia="Arial" w:hAnsi="Arial"/>
                <w:sz w:val="10"/>
                <w:szCs w:val="10"/>
                <w:color w:val="auto"/>
              </w:rPr>
              <w:t>Other income (expense):</w:t>
            </w: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640" w:type="dxa"/>
            <w:vAlign w:val="bottom"/>
          </w:tcPr>
          <w:p>
            <w:pPr>
              <w:spacing w:after="0"/>
              <w:rPr>
                <w:sz w:val="20"/>
                <w:szCs w:val="20"/>
                <w:color w:val="auto"/>
              </w:rPr>
            </w:pPr>
            <w:r>
              <w:rPr>
                <w:rFonts w:ascii="Arial" w:cs="Arial" w:eastAsia="Arial" w:hAnsi="Arial"/>
                <w:sz w:val="10"/>
                <w:szCs w:val="10"/>
                <w:color w:val="auto"/>
              </w:rPr>
              <w:t>Interest expense</w:t>
            </w:r>
          </w:p>
        </w:tc>
        <w:tc>
          <w:tcPr>
            <w:tcW w:w="11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(8.6)</w:t>
            </w:r>
          </w:p>
        </w:tc>
        <w:tc>
          <w:tcPr>
            <w:tcW w:w="7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(6.4)</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(17.1)</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(15.0)</w:t>
            </w:r>
          </w:p>
        </w:tc>
        <w:tc>
          <w:tcPr>
            <w:tcW w:w="0" w:type="dxa"/>
            <w:vAlign w:val="bottom"/>
          </w:tcPr>
          <w:p>
            <w:pPr>
              <w:spacing w:after="0"/>
              <w:rPr>
                <w:sz w:val="1"/>
                <w:szCs w:val="1"/>
                <w:color w:val="auto"/>
              </w:rPr>
            </w:pPr>
          </w:p>
        </w:tc>
      </w:tr>
      <w:tr>
        <w:trPr>
          <w:trHeight w:val="125"/>
        </w:trPr>
        <w:tc>
          <w:tcPr>
            <w:tcW w:w="3640" w:type="dxa"/>
            <w:vAlign w:val="bottom"/>
          </w:tcPr>
          <w:p>
            <w:pPr>
              <w:spacing w:after="0"/>
              <w:rPr>
                <w:sz w:val="20"/>
                <w:szCs w:val="20"/>
                <w:color w:val="auto"/>
              </w:rPr>
            </w:pPr>
            <w:r>
              <w:rPr>
                <w:rFonts w:ascii="Arial" w:cs="Arial" w:eastAsia="Arial" w:hAnsi="Arial"/>
                <w:sz w:val="10"/>
                <w:szCs w:val="10"/>
                <w:color w:val="auto"/>
              </w:rPr>
              <w:t>Other, net</w:t>
            </w:r>
          </w:p>
        </w:tc>
        <w:tc>
          <w:tcPr>
            <w:tcW w:w="1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w:t>
            </w:r>
          </w:p>
        </w:tc>
        <w:tc>
          <w:tcPr>
            <w:tcW w:w="7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w:t>
            </w:r>
          </w:p>
        </w:tc>
        <w:tc>
          <w:tcPr>
            <w:tcW w:w="2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(0.4)</w:t>
            </w:r>
          </w:p>
        </w:tc>
        <w:tc>
          <w:tcPr>
            <w:tcW w:w="8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16"/>
        </w:trPr>
        <w:tc>
          <w:tcPr>
            <w:tcW w:w="3640" w:type="dxa"/>
            <w:vAlign w:val="bottom"/>
          </w:tcPr>
          <w:p>
            <w:pPr>
              <w:spacing w:after="0"/>
              <w:rPr>
                <w:sz w:val="20"/>
                <w:szCs w:val="20"/>
                <w:color w:val="auto"/>
              </w:rPr>
            </w:pPr>
            <w:r>
              <w:rPr>
                <w:rFonts w:ascii="Arial" w:cs="Arial" w:eastAsia="Arial" w:hAnsi="Arial"/>
                <w:sz w:val="10"/>
                <w:szCs w:val="10"/>
                <w:color w:val="auto"/>
              </w:rPr>
              <w:t>Total other income (expense), net</w:t>
            </w:r>
          </w:p>
        </w:tc>
        <w:tc>
          <w:tcPr>
            <w:tcW w:w="11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(7.3)</w:t>
            </w:r>
          </w:p>
        </w:tc>
        <w:tc>
          <w:tcPr>
            <w:tcW w:w="7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(5.3)</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(17.5)</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(15.0)</w:t>
            </w: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0"/>
                <w:szCs w:val="20"/>
                <w:color w:val="auto"/>
              </w:rPr>
            </w:pPr>
            <w:r>
              <w:rPr>
                <w:rFonts w:ascii="Arial" w:cs="Arial" w:eastAsia="Arial" w:hAnsi="Arial"/>
                <w:sz w:val="10"/>
                <w:szCs w:val="10"/>
                <w:color w:val="auto"/>
              </w:rPr>
              <w:t>Income before income taxes</w:t>
            </w:r>
          </w:p>
        </w:tc>
        <w:tc>
          <w:tcPr>
            <w:tcW w:w="11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7.2</w:t>
            </w:r>
          </w:p>
        </w:tc>
        <w:tc>
          <w:tcPr>
            <w:tcW w:w="7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120.7</w:t>
            </w:r>
          </w:p>
        </w:tc>
        <w:tc>
          <w:tcPr>
            <w:tcW w:w="200" w:type="dxa"/>
            <w:vAlign w:val="bottom"/>
          </w:tcPr>
          <w:p>
            <w:pPr>
              <w:spacing w:after="0"/>
              <w:rPr>
                <w:sz w:val="22"/>
                <w:szCs w:val="22"/>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92.4</w:t>
            </w:r>
          </w:p>
        </w:tc>
        <w:tc>
          <w:tcPr>
            <w:tcW w:w="8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99.4</w:t>
            </w:r>
          </w:p>
        </w:tc>
        <w:tc>
          <w:tcPr>
            <w:tcW w:w="0" w:type="dxa"/>
            <w:vAlign w:val="bottom"/>
          </w:tcPr>
          <w:p>
            <w:pPr>
              <w:spacing w:after="0"/>
              <w:rPr>
                <w:sz w:val="1"/>
                <w:szCs w:val="1"/>
                <w:color w:val="auto"/>
              </w:rPr>
            </w:pPr>
          </w:p>
        </w:tc>
      </w:tr>
      <w:tr>
        <w:trPr>
          <w:trHeight w:val="125"/>
        </w:trPr>
        <w:tc>
          <w:tcPr>
            <w:tcW w:w="3640" w:type="dxa"/>
            <w:vAlign w:val="bottom"/>
          </w:tcPr>
          <w:p>
            <w:pPr>
              <w:spacing w:after="0"/>
              <w:rPr>
                <w:sz w:val="20"/>
                <w:szCs w:val="20"/>
                <w:color w:val="auto"/>
              </w:rPr>
            </w:pPr>
            <w:r>
              <w:rPr>
                <w:rFonts w:ascii="Arial" w:cs="Arial" w:eastAsia="Arial" w:hAnsi="Arial"/>
                <w:sz w:val="10"/>
                <w:szCs w:val="10"/>
                <w:color w:val="auto"/>
              </w:rPr>
              <w:t>Income taxes</w:t>
            </w:r>
          </w:p>
        </w:tc>
        <w:tc>
          <w:tcPr>
            <w:tcW w:w="11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w:t>
            </w:r>
          </w:p>
        </w:tc>
        <w:tc>
          <w:tcPr>
            <w:tcW w:w="74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(28.0)</w:t>
            </w:r>
          </w:p>
        </w:tc>
        <w:tc>
          <w:tcPr>
            <w:tcW w:w="200" w:type="dxa"/>
            <w:vAlign w:val="bottom"/>
            <w:tcBorders>
              <w:bottom w:val="single" w:sz="8" w:color="auto"/>
            </w:tcBorders>
          </w:tcPr>
          <w:p>
            <w:pPr>
              <w:spacing w:after="0"/>
              <w:rPr>
                <w:sz w:val="10"/>
                <w:szCs w:val="10"/>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(18.1)</w:t>
            </w:r>
          </w:p>
        </w:tc>
        <w:tc>
          <w:tcPr>
            <w:tcW w:w="8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(19.2)</w:t>
            </w:r>
          </w:p>
        </w:tc>
        <w:tc>
          <w:tcPr>
            <w:tcW w:w="0" w:type="dxa"/>
            <w:vAlign w:val="bottom"/>
          </w:tcPr>
          <w:p>
            <w:pPr>
              <w:spacing w:after="0"/>
              <w:rPr>
                <w:sz w:val="1"/>
                <w:szCs w:val="1"/>
                <w:color w:val="auto"/>
              </w:rPr>
            </w:pPr>
          </w:p>
        </w:tc>
      </w:tr>
      <w:tr>
        <w:trPr>
          <w:trHeight w:val="115"/>
        </w:trPr>
        <w:tc>
          <w:tcPr>
            <w:tcW w:w="3640" w:type="dxa"/>
            <w:vAlign w:val="bottom"/>
          </w:tcPr>
          <w:p>
            <w:pPr>
              <w:spacing w:after="0"/>
              <w:rPr>
                <w:sz w:val="20"/>
                <w:szCs w:val="20"/>
                <w:color w:val="auto"/>
              </w:rPr>
            </w:pPr>
            <w:r>
              <w:rPr>
                <w:rFonts w:ascii="Arial" w:cs="Arial" w:eastAsia="Arial" w:hAnsi="Arial"/>
                <w:sz w:val="10"/>
                <w:szCs w:val="10"/>
                <w:color w:val="auto"/>
              </w:rPr>
              <w:t>Net income</w:t>
            </w:r>
          </w:p>
        </w:tc>
        <w:tc>
          <w:tcPr>
            <w:tcW w:w="1160" w:type="dxa"/>
            <w:vAlign w:val="bottom"/>
            <w:tcBorders>
              <w:bottom w:val="single" w:sz="8" w:color="auto"/>
            </w:tcBorders>
          </w:tcPr>
          <w:p>
            <w:pPr>
              <w:jc w:val="right"/>
              <w:ind w:right="972"/>
              <w:spacing w:after="0"/>
              <w:rPr>
                <w:sz w:val="20"/>
                <w:szCs w:val="20"/>
                <w:color w:val="auto"/>
              </w:rPr>
            </w:pPr>
            <w:r>
              <w:rPr>
                <w:rFonts w:ascii="Arial" w:cs="Arial" w:eastAsia="Arial" w:hAnsi="Arial"/>
                <w:sz w:val="10"/>
                <w:szCs w:val="10"/>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4.6</w:t>
            </w:r>
          </w:p>
        </w:tc>
        <w:tc>
          <w:tcPr>
            <w:tcW w:w="740" w:type="dxa"/>
            <w:vAlign w:val="bottom"/>
            <w:tcBorders>
              <w:bottom w:val="single" w:sz="8" w:color="auto"/>
            </w:tcBorders>
          </w:tcPr>
          <w:p>
            <w:pPr>
              <w:jc w:val="right"/>
              <w:ind w:right="592"/>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92.7</w:t>
            </w:r>
          </w:p>
        </w:tc>
        <w:tc>
          <w:tcPr>
            <w:tcW w:w="20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74.3</w:t>
            </w:r>
          </w:p>
        </w:tc>
        <w:tc>
          <w:tcPr>
            <w:tcW w:w="800" w:type="dxa"/>
            <w:vAlign w:val="bottom"/>
            <w:tcBorders>
              <w:bottom w:val="single" w:sz="8" w:color="auto"/>
            </w:tcBorders>
          </w:tcPr>
          <w:p>
            <w:pPr>
              <w:jc w:val="center"/>
              <w:ind w:right="6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80.2</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0"/>
                <w:szCs w:val="10"/>
                <w:color w:val="auto"/>
              </w:rPr>
              <w:t>Net income per common share*</w:t>
            </w: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64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3640" w:type="dxa"/>
            <w:vAlign w:val="bottom"/>
          </w:tcPr>
          <w:p>
            <w:pPr>
              <w:ind w:left="80"/>
              <w:spacing w:after="0"/>
              <w:rPr>
                <w:sz w:val="20"/>
                <w:szCs w:val="20"/>
                <w:color w:val="auto"/>
              </w:rPr>
            </w:pPr>
            <w:r>
              <w:rPr>
                <w:rFonts w:ascii="Arial" w:cs="Arial" w:eastAsia="Arial" w:hAnsi="Arial"/>
                <w:sz w:val="10"/>
                <w:szCs w:val="10"/>
                <w:color w:val="auto"/>
              </w:rPr>
              <w:t>Basic</w:t>
            </w:r>
          </w:p>
        </w:tc>
        <w:tc>
          <w:tcPr>
            <w:tcW w:w="1160" w:type="dxa"/>
            <w:vAlign w:val="bottom"/>
          </w:tcPr>
          <w:p>
            <w:pPr>
              <w:jc w:val="right"/>
              <w:ind w:right="97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0.09</w:t>
            </w:r>
          </w:p>
        </w:tc>
        <w:tc>
          <w:tcPr>
            <w:tcW w:w="740" w:type="dxa"/>
            <w:vAlign w:val="bottom"/>
          </w:tcPr>
          <w:p>
            <w:pPr>
              <w:jc w:val="right"/>
              <w:ind w:right="592"/>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1.76</w:t>
            </w:r>
          </w:p>
        </w:tc>
        <w:tc>
          <w:tcPr>
            <w:tcW w:w="2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740" w:type="dxa"/>
            <w:vAlign w:val="bottom"/>
          </w:tcPr>
          <w:p>
            <w:pPr>
              <w:jc w:val="right"/>
              <w:spacing w:after="0"/>
              <w:rPr>
                <w:sz w:val="20"/>
                <w:szCs w:val="20"/>
                <w:color w:val="auto"/>
              </w:rPr>
            </w:pPr>
            <w:r>
              <w:rPr>
                <w:rFonts w:ascii="Arial" w:cs="Arial" w:eastAsia="Arial" w:hAnsi="Arial"/>
                <w:sz w:val="10"/>
                <w:szCs w:val="10"/>
                <w:color w:val="auto"/>
              </w:rPr>
              <w:t>1.40</w:t>
            </w:r>
          </w:p>
        </w:tc>
        <w:tc>
          <w:tcPr>
            <w:tcW w:w="800" w:type="dxa"/>
            <w:vAlign w:val="bottom"/>
          </w:tcPr>
          <w:p>
            <w:pPr>
              <w:jc w:val="center"/>
              <w:ind w:right="612"/>
              <w:spacing w:after="0"/>
              <w:rPr>
                <w:sz w:val="20"/>
                <w:szCs w:val="20"/>
                <w:color w:val="auto"/>
              </w:rPr>
            </w:pPr>
            <w:r>
              <w:rPr>
                <w:rFonts w:ascii="Arial" w:cs="Arial" w:eastAsia="Arial" w:hAnsi="Arial"/>
                <w:sz w:val="10"/>
                <w:szCs w:val="10"/>
                <w:color w:val="auto"/>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1.53</w:t>
            </w:r>
          </w:p>
        </w:tc>
        <w:tc>
          <w:tcPr>
            <w:tcW w:w="0" w:type="dxa"/>
            <w:vAlign w:val="bottom"/>
          </w:tcPr>
          <w:p>
            <w:pPr>
              <w:spacing w:after="0"/>
              <w:rPr>
                <w:sz w:val="1"/>
                <w:szCs w:val="1"/>
                <w:color w:val="auto"/>
              </w:rPr>
            </w:pPr>
          </w:p>
        </w:tc>
      </w:tr>
      <w:tr>
        <w:trPr>
          <w:trHeight w:val="126"/>
        </w:trPr>
        <w:tc>
          <w:tcPr>
            <w:tcW w:w="3640" w:type="dxa"/>
            <w:vAlign w:val="bottom"/>
          </w:tcPr>
          <w:p>
            <w:pPr>
              <w:ind w:left="80"/>
              <w:spacing w:after="0"/>
              <w:rPr>
                <w:sz w:val="20"/>
                <w:szCs w:val="20"/>
                <w:color w:val="auto"/>
              </w:rPr>
            </w:pPr>
            <w:r>
              <w:rPr>
                <w:rFonts w:ascii="Arial" w:cs="Arial" w:eastAsia="Arial" w:hAnsi="Arial"/>
                <w:sz w:val="10"/>
                <w:szCs w:val="10"/>
                <w:color w:val="auto"/>
              </w:rPr>
              <w:t>Diluted</w:t>
            </w:r>
          </w:p>
        </w:tc>
        <w:tc>
          <w:tcPr>
            <w:tcW w:w="1160" w:type="dxa"/>
            <w:vAlign w:val="bottom"/>
          </w:tcPr>
          <w:p>
            <w:pPr>
              <w:jc w:val="right"/>
              <w:ind w:right="972"/>
              <w:spacing w:after="0"/>
              <w:rPr>
                <w:sz w:val="20"/>
                <w:szCs w:val="20"/>
                <w:color w:val="auto"/>
              </w:rPr>
            </w:pPr>
            <w:r>
              <w:rPr>
                <w:rFonts w:ascii="Arial" w:cs="Arial" w:eastAsia="Arial" w:hAnsi="Arial"/>
                <w:sz w:val="10"/>
                <w:szCs w:val="10"/>
                <w:color w:val="auto"/>
              </w:rPr>
              <w:t>$</w:t>
            </w:r>
          </w:p>
        </w:tc>
        <w:tc>
          <w:tcPr>
            <w:tcW w:w="780" w:type="dxa"/>
            <w:vAlign w:val="bottom"/>
          </w:tcPr>
          <w:p>
            <w:pPr>
              <w:jc w:val="right"/>
              <w:spacing w:after="0"/>
              <w:rPr>
                <w:sz w:val="20"/>
                <w:szCs w:val="20"/>
                <w:color w:val="auto"/>
              </w:rPr>
            </w:pPr>
            <w:r>
              <w:rPr>
                <w:rFonts w:ascii="Arial" w:cs="Arial" w:eastAsia="Arial" w:hAnsi="Arial"/>
                <w:sz w:val="10"/>
                <w:szCs w:val="10"/>
                <w:color w:val="auto"/>
              </w:rPr>
              <w:t>0.09</w:t>
            </w:r>
          </w:p>
        </w:tc>
        <w:tc>
          <w:tcPr>
            <w:tcW w:w="740" w:type="dxa"/>
            <w:vAlign w:val="bottom"/>
          </w:tcPr>
          <w:p>
            <w:pPr>
              <w:jc w:val="right"/>
              <w:ind w:right="592"/>
              <w:spacing w:after="0"/>
              <w:rPr>
                <w:sz w:val="20"/>
                <w:szCs w:val="20"/>
                <w:color w:val="auto"/>
              </w:rPr>
            </w:pPr>
            <w:r>
              <w:rPr>
                <w:rFonts w:ascii="Arial" w:cs="Arial" w:eastAsia="Arial" w:hAnsi="Arial"/>
                <w:sz w:val="10"/>
                <w:szCs w:val="10"/>
                <w:color w:val="auto"/>
              </w:rPr>
              <w:t>$</w:t>
            </w:r>
          </w:p>
        </w:tc>
        <w:tc>
          <w:tcPr>
            <w:tcW w:w="1140" w:type="dxa"/>
            <w:vAlign w:val="bottom"/>
          </w:tcPr>
          <w:p>
            <w:pPr>
              <w:jc w:val="right"/>
              <w:spacing w:after="0"/>
              <w:rPr>
                <w:sz w:val="20"/>
                <w:szCs w:val="20"/>
                <w:color w:val="auto"/>
              </w:rPr>
            </w:pPr>
            <w:r>
              <w:rPr>
                <w:rFonts w:ascii="Arial" w:cs="Arial" w:eastAsia="Arial" w:hAnsi="Arial"/>
                <w:sz w:val="10"/>
                <w:szCs w:val="10"/>
                <w:color w:val="auto"/>
              </w:rPr>
              <w:t>1.73</w:t>
            </w:r>
          </w:p>
        </w:tc>
        <w:tc>
          <w:tcPr>
            <w:tcW w:w="200" w:type="dxa"/>
            <w:vAlign w:val="bottom"/>
          </w:tcPr>
          <w:p>
            <w:pPr>
              <w:jc w:val="right"/>
              <w:ind w:right="12"/>
              <w:spacing w:after="0"/>
              <w:rPr>
                <w:sz w:val="20"/>
                <w:szCs w:val="20"/>
                <w:color w:val="auto"/>
              </w:rPr>
            </w:pPr>
            <w:r>
              <w:rPr>
                <w:rFonts w:ascii="Arial" w:cs="Arial" w:eastAsia="Arial" w:hAnsi="Arial"/>
                <w:sz w:val="10"/>
                <w:szCs w:val="10"/>
                <w:color w:val="auto"/>
              </w:rPr>
              <w:t>$</w:t>
            </w:r>
          </w:p>
        </w:tc>
        <w:tc>
          <w:tcPr>
            <w:tcW w:w="1740" w:type="dxa"/>
            <w:vAlign w:val="bottom"/>
          </w:tcPr>
          <w:p>
            <w:pPr>
              <w:jc w:val="right"/>
              <w:spacing w:after="0"/>
              <w:rPr>
                <w:sz w:val="20"/>
                <w:szCs w:val="20"/>
                <w:color w:val="auto"/>
              </w:rPr>
            </w:pPr>
            <w:r>
              <w:rPr>
                <w:rFonts w:ascii="Arial" w:cs="Arial" w:eastAsia="Arial" w:hAnsi="Arial"/>
                <w:sz w:val="10"/>
                <w:szCs w:val="10"/>
                <w:color w:val="auto"/>
              </w:rPr>
              <w:t>1.37</w:t>
            </w:r>
          </w:p>
        </w:tc>
        <w:tc>
          <w:tcPr>
            <w:tcW w:w="800" w:type="dxa"/>
            <w:vAlign w:val="bottom"/>
          </w:tcPr>
          <w:p>
            <w:pPr>
              <w:jc w:val="center"/>
              <w:ind w:right="612"/>
              <w:spacing w:after="0"/>
              <w:rPr>
                <w:sz w:val="20"/>
                <w:szCs w:val="20"/>
                <w:color w:val="auto"/>
              </w:rPr>
            </w:pPr>
            <w:r>
              <w:rPr>
                <w:rFonts w:ascii="Arial" w:cs="Arial" w:eastAsia="Arial" w:hAnsi="Arial"/>
                <w:sz w:val="10"/>
                <w:szCs w:val="10"/>
                <w:color w:val="auto"/>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1.51</w:t>
            </w:r>
          </w:p>
        </w:tc>
        <w:tc>
          <w:tcPr>
            <w:tcW w:w="0" w:type="dxa"/>
            <w:vAlign w:val="bottom"/>
          </w:tcPr>
          <w:p>
            <w:pPr>
              <w:spacing w:after="0"/>
              <w:rPr>
                <w:sz w:val="1"/>
                <w:szCs w:val="1"/>
                <w:color w:val="auto"/>
              </w:rPr>
            </w:pPr>
          </w:p>
        </w:tc>
      </w:tr>
      <w:tr>
        <w:trPr>
          <w:trHeight w:val="261"/>
        </w:trPr>
        <w:tc>
          <w:tcPr>
            <w:tcW w:w="3640" w:type="dxa"/>
            <w:vAlign w:val="bottom"/>
          </w:tcPr>
          <w:p>
            <w:pPr>
              <w:spacing w:after="0"/>
              <w:rPr>
                <w:sz w:val="20"/>
                <w:szCs w:val="20"/>
                <w:color w:val="auto"/>
              </w:rPr>
            </w:pPr>
            <w:r>
              <w:rPr>
                <w:rFonts w:ascii="Arial" w:cs="Arial" w:eastAsia="Arial" w:hAnsi="Arial"/>
                <w:sz w:val="10"/>
                <w:szCs w:val="10"/>
                <w:color w:val="auto"/>
              </w:rPr>
              <w:t>Shares used in computing income per share</w:t>
            </w:r>
          </w:p>
        </w:tc>
        <w:tc>
          <w:tcPr>
            <w:tcW w:w="1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6"/>
        </w:trPr>
        <w:tc>
          <w:tcPr>
            <w:tcW w:w="3640" w:type="dxa"/>
            <w:vAlign w:val="bottom"/>
          </w:tcPr>
          <w:p>
            <w:pPr>
              <w:ind w:left="80"/>
              <w:spacing w:after="0"/>
              <w:rPr>
                <w:sz w:val="20"/>
                <w:szCs w:val="20"/>
                <w:color w:val="auto"/>
              </w:rPr>
            </w:pPr>
            <w:r>
              <w:rPr>
                <w:rFonts w:ascii="Arial" w:cs="Arial" w:eastAsia="Arial" w:hAnsi="Arial"/>
                <w:sz w:val="10"/>
                <w:szCs w:val="10"/>
                <w:color w:val="auto"/>
              </w:rPr>
              <w:t>Basic</w:t>
            </w:r>
          </w:p>
        </w:tc>
        <w:tc>
          <w:tcPr>
            <w:tcW w:w="11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53.6</w:t>
            </w:r>
          </w:p>
        </w:tc>
        <w:tc>
          <w:tcPr>
            <w:tcW w:w="7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52.6</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53.5</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52.3</w:t>
            </w:r>
          </w:p>
        </w:tc>
        <w:tc>
          <w:tcPr>
            <w:tcW w:w="0" w:type="dxa"/>
            <w:vAlign w:val="bottom"/>
          </w:tcPr>
          <w:p>
            <w:pPr>
              <w:spacing w:after="0"/>
              <w:rPr>
                <w:sz w:val="1"/>
                <w:szCs w:val="1"/>
                <w:color w:val="auto"/>
              </w:rPr>
            </w:pPr>
          </w:p>
        </w:tc>
      </w:tr>
      <w:tr>
        <w:trPr>
          <w:trHeight w:val="126"/>
        </w:trPr>
        <w:tc>
          <w:tcPr>
            <w:tcW w:w="3640" w:type="dxa"/>
            <w:vAlign w:val="bottom"/>
          </w:tcPr>
          <w:p>
            <w:pPr>
              <w:ind w:left="80"/>
              <w:spacing w:after="0"/>
              <w:rPr>
                <w:sz w:val="20"/>
                <w:szCs w:val="20"/>
                <w:color w:val="auto"/>
              </w:rPr>
            </w:pPr>
            <w:r>
              <w:rPr>
                <w:rFonts w:ascii="Arial" w:cs="Arial" w:eastAsia="Arial" w:hAnsi="Arial"/>
                <w:sz w:val="10"/>
                <w:szCs w:val="10"/>
                <w:color w:val="auto"/>
              </w:rPr>
              <w:t>Diluted</w:t>
            </w:r>
          </w:p>
        </w:tc>
        <w:tc>
          <w:tcPr>
            <w:tcW w:w="116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54.0</w:t>
            </w:r>
          </w:p>
        </w:tc>
        <w:tc>
          <w:tcPr>
            <w:tcW w:w="74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53.5</w:t>
            </w:r>
          </w:p>
        </w:tc>
        <w:tc>
          <w:tcPr>
            <w:tcW w:w="200" w:type="dxa"/>
            <w:vAlign w:val="bottom"/>
          </w:tcPr>
          <w:p>
            <w:pPr>
              <w:spacing w:after="0"/>
              <w:rPr>
                <w:sz w:val="10"/>
                <w:szCs w:val="10"/>
                <w:color w:val="auto"/>
              </w:rPr>
            </w:pPr>
          </w:p>
        </w:tc>
        <w:tc>
          <w:tcPr>
            <w:tcW w:w="1740" w:type="dxa"/>
            <w:vAlign w:val="bottom"/>
          </w:tcPr>
          <w:p>
            <w:pPr>
              <w:jc w:val="right"/>
              <w:spacing w:after="0"/>
              <w:rPr>
                <w:sz w:val="20"/>
                <w:szCs w:val="20"/>
                <w:color w:val="auto"/>
              </w:rPr>
            </w:pPr>
            <w:r>
              <w:rPr>
                <w:rFonts w:ascii="Arial" w:cs="Arial" w:eastAsia="Arial" w:hAnsi="Arial"/>
                <w:sz w:val="10"/>
                <w:szCs w:val="10"/>
                <w:color w:val="auto"/>
              </w:rPr>
              <w:t>54.3</w:t>
            </w:r>
          </w:p>
        </w:tc>
        <w:tc>
          <w:tcPr>
            <w:tcW w:w="80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53.2</w:t>
            </w: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0"/>
          <w:szCs w:val="10"/>
          <w:color w:val="auto"/>
        </w:rPr>
        <w:t>* Any differences in the calculation of net income per common share is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 of 13</w:t>
      </w:r>
    </w:p>
    <w:p>
      <w:pPr>
        <w:sectPr>
          <w:pgSz w:w="11900" w:h="16838" w:orient="portrait"/>
          <w:cols w:equalWidth="0" w:num="1">
            <w:col w:w="11280"/>
          </w:cols>
          <w:pgMar w:left="300" w:top="671" w:right="319" w:bottom="1440" w:gutter="0" w:footer="0" w:header="0"/>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0"/>
          <w:szCs w:val="10"/>
          <w:color w:val="auto"/>
        </w:rPr>
        <w:t>Cash flows (used in) provided by operating activities: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Net income</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8"/>
          <w:szCs w:val="8"/>
          <w:color w:val="auto"/>
        </w:rPr>
        <w:t>Adjustments to reconcile to net income to net cash (used in) provided by operating activities:</w:t>
      </w:r>
    </w:p>
    <w:p>
      <w:pPr>
        <w:spacing w:after="0" w:line="34" w:lineRule="exact"/>
        <w:rPr>
          <w:sz w:val="20"/>
          <w:szCs w:val="20"/>
          <w:color w:val="auto"/>
        </w:rPr>
      </w:pPr>
    </w:p>
    <w:p>
      <w:pPr>
        <w:ind w:left="280"/>
        <w:spacing w:after="0"/>
        <w:rPr>
          <w:sz w:val="20"/>
          <w:szCs w:val="20"/>
          <w:color w:val="auto"/>
        </w:rPr>
      </w:pPr>
      <w:r>
        <w:rPr>
          <w:rFonts w:ascii="Arial" w:cs="Arial" w:eastAsia="Arial" w:hAnsi="Arial"/>
          <w:sz w:val="10"/>
          <w:szCs w:val="10"/>
          <w:color w:val="auto"/>
        </w:rPr>
        <w:t>Share-based compensation expense</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Depreciation and amortization</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Change in fair value of contingent consideration, net</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Amortization of deferred financing costs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Deferred income taxes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Other</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Changes in operating assets and liabilities: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Accounts receivable</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Inventories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Prepaid expenses and other assets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Accounts payable</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Accrued expenses and other liabilities</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Accrued compensation</w:t>
      </w:r>
    </w:p>
    <w:p>
      <w:pPr>
        <w:spacing w:after="0" w:line="11" w:lineRule="exact"/>
        <w:rPr>
          <w:sz w:val="20"/>
          <w:szCs w:val="20"/>
          <w:color w:val="auto"/>
        </w:rPr>
      </w:pPr>
    </w:p>
    <w:p>
      <w:pPr>
        <w:ind w:left="280"/>
        <w:spacing w:after="0"/>
        <w:rPr>
          <w:sz w:val="20"/>
          <w:szCs w:val="20"/>
          <w:color w:val="auto"/>
        </w:rPr>
      </w:pPr>
      <w:r>
        <w:rPr>
          <w:rFonts w:ascii="Arial" w:cs="Arial" w:eastAsia="Arial" w:hAnsi="Arial"/>
          <w:sz w:val="10"/>
          <w:szCs w:val="10"/>
          <w:color w:val="auto"/>
        </w:rPr>
        <w:t>Contract liabilities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Net cash (used in) provided by operating activities:</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Cash flows used in investing activities: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Purchases of property, plant and equipment</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Milestone payment from prior asset acquisition</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Net cash used in investing activities:</w:t>
      </w:r>
    </w:p>
    <w:p>
      <w:pPr>
        <w:spacing w:after="0" w:line="11" w:lineRule="exact"/>
        <w:rPr>
          <w:sz w:val="20"/>
          <w:szCs w:val="20"/>
          <w:color w:val="auto"/>
        </w:rPr>
      </w:pPr>
    </w:p>
    <w:p>
      <w:pPr>
        <w:spacing w:after="0"/>
        <w:rPr>
          <w:sz w:val="20"/>
          <w:szCs w:val="20"/>
          <w:color w:val="auto"/>
        </w:rPr>
      </w:pPr>
      <w:r>
        <w:rPr>
          <w:rFonts w:ascii="Arial" w:cs="Arial" w:eastAsia="Arial" w:hAnsi="Arial"/>
          <w:sz w:val="10"/>
          <w:szCs w:val="10"/>
          <w:color w:val="auto"/>
        </w:rPr>
        <w:t>Cash flows used in financing activities: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Principal payments on revolving credit facility</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Principal payments on term loan facility</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Principal payments on convertible senior notes</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Proceeds from share-based compensation activity</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Taxes paid for share-based compensation activity</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0"/>
          <w:szCs w:val="10"/>
          <w:color w:val="auto"/>
        </w:rPr>
        <w:t>Contingent consideration payments</w:t>
      </w:r>
    </w:p>
    <w:p>
      <w:pPr>
        <w:spacing w:after="0" w:line="20" w:lineRule="exact"/>
        <w:rPr>
          <w:sz w:val="20"/>
          <w:szCs w:val="20"/>
          <w:color w:val="auto"/>
        </w:rPr>
      </w:pPr>
    </w:p>
    <w:p>
      <w:pPr>
        <w:ind w:left="420"/>
        <w:spacing w:after="0"/>
        <w:rPr>
          <w:sz w:val="20"/>
          <w:szCs w:val="20"/>
          <w:color w:val="auto"/>
        </w:rPr>
      </w:pPr>
      <w:r>
        <w:rPr>
          <w:rFonts w:ascii="Arial" w:cs="Arial" w:eastAsia="Arial" w:hAnsi="Arial"/>
          <w:sz w:val="10"/>
          <w:szCs w:val="10"/>
          <w:color w:val="auto"/>
        </w:rPr>
        <w:t>Net cash used in financing activities:</w:t>
      </w:r>
    </w:p>
    <w:p>
      <w:pPr>
        <w:spacing w:after="0" w:line="11" w:lineRule="exact"/>
        <w:rPr>
          <w:sz w:val="20"/>
          <w:szCs w:val="20"/>
          <w:color w:val="auto"/>
        </w:rPr>
      </w:pPr>
    </w:p>
    <w:p>
      <w:pPr>
        <w:ind w:left="80" w:right="560"/>
        <w:spacing w:after="0" w:line="272" w:lineRule="auto"/>
        <w:rPr>
          <w:sz w:val="20"/>
          <w:szCs w:val="20"/>
          <w:color w:val="auto"/>
        </w:rPr>
      </w:pPr>
      <w:r>
        <w:rPr>
          <w:rFonts w:ascii="Arial" w:cs="Arial" w:eastAsia="Arial" w:hAnsi="Arial"/>
          <w:sz w:val="10"/>
          <w:szCs w:val="10"/>
          <w:color w:val="auto"/>
        </w:rPr>
        <w:t>Effect of exchange rate changes on cash, cash equivalents and restricted cash Net change in cash, cash equivalents and restricted cash</w:t>
      </w:r>
    </w:p>
    <w:p>
      <w:pPr>
        <w:ind w:left="80" w:right="1120"/>
        <w:spacing w:after="0" w:line="458" w:lineRule="auto"/>
        <w:rPr>
          <w:sz w:val="20"/>
          <w:szCs w:val="20"/>
          <w:color w:val="auto"/>
        </w:rPr>
      </w:pPr>
      <w:r>
        <w:rPr>
          <w:rFonts w:ascii="Arial" w:cs="Arial" w:eastAsia="Arial" w:hAnsi="Arial"/>
          <w:sz w:val="8"/>
          <w:szCs w:val="8"/>
          <w:color w:val="auto"/>
        </w:rPr>
        <w:t>Cash, cash equivalents and restricted cash at beginning of period Cash, cash equivalents and restricted cash at end of period</w:t>
      </w:r>
    </w:p>
    <w:p>
      <w:pPr>
        <w:spacing w:after="0" w:line="20" w:lineRule="exact"/>
        <w:rPr>
          <w:sz w:val="20"/>
          <w:szCs w:val="20"/>
          <w:color w:val="auto"/>
        </w:rPr>
      </w:pPr>
      <w:r>
        <w:rPr>
          <w:sz w:val="20"/>
          <w:szCs w:val="20"/>
          <w:color w:val="auto"/>
        </w:rPr>
        <w:br w:type="column"/>
      </w:r>
    </w:p>
    <w:p>
      <w:pPr>
        <w:jc w:val="center"/>
        <w:ind w:right="4160"/>
        <w:spacing w:after="0"/>
        <w:rPr>
          <w:sz w:val="20"/>
          <w:szCs w:val="20"/>
          <w:color w:val="auto"/>
        </w:rPr>
      </w:pPr>
      <w:r>
        <w:rPr>
          <w:rFonts w:ascii="Arial" w:cs="Arial" w:eastAsia="Arial" w:hAnsi="Arial"/>
          <w:sz w:val="10"/>
          <w:szCs w:val="10"/>
          <w:b w:val="1"/>
          <w:bCs w:val="1"/>
          <w:color w:val="auto"/>
        </w:rPr>
        <w:t>Emergent BioSolutions Inc.</w:t>
      </w:r>
    </w:p>
    <w:p>
      <w:pPr>
        <w:spacing w:after="0" w:line="5" w:lineRule="exact"/>
        <w:rPr>
          <w:sz w:val="20"/>
          <w:szCs w:val="20"/>
          <w:color w:val="auto"/>
        </w:rPr>
      </w:pPr>
    </w:p>
    <w:p>
      <w:pPr>
        <w:jc w:val="center"/>
        <w:ind w:right="4160"/>
        <w:spacing w:after="0"/>
        <w:rPr>
          <w:sz w:val="20"/>
          <w:szCs w:val="20"/>
          <w:color w:val="auto"/>
        </w:rPr>
      </w:pPr>
      <w:r>
        <w:rPr>
          <w:rFonts w:ascii="Arial" w:cs="Arial" w:eastAsia="Arial" w:hAnsi="Arial"/>
          <w:sz w:val="8"/>
          <w:szCs w:val="8"/>
          <w:b w:val="1"/>
          <w:bCs w:val="1"/>
          <w:color w:val="auto"/>
        </w:rPr>
        <w:t>Condensed Consolidated Statements of Cash Flows</w:t>
      </w:r>
    </w:p>
    <w:p>
      <w:pPr>
        <w:spacing w:after="0" w:line="16" w:lineRule="exact"/>
        <w:rPr>
          <w:sz w:val="20"/>
          <w:szCs w:val="20"/>
          <w:color w:val="auto"/>
        </w:rPr>
      </w:pPr>
    </w:p>
    <w:p>
      <w:pPr>
        <w:jc w:val="center"/>
        <w:ind w:right="4160"/>
        <w:spacing w:after="0"/>
        <w:rPr>
          <w:sz w:val="20"/>
          <w:szCs w:val="20"/>
          <w:color w:val="auto"/>
        </w:rPr>
      </w:pPr>
      <w:r>
        <w:rPr>
          <w:rFonts w:ascii="Arial" w:cs="Arial" w:eastAsia="Arial" w:hAnsi="Arial"/>
          <w:sz w:val="10"/>
          <w:szCs w:val="10"/>
          <w:b w:val="1"/>
          <w:bCs w:val="1"/>
          <w:color w:val="auto"/>
        </w:rPr>
        <w:t>(unaudited, in millions)</w:t>
      </w:r>
    </w:p>
    <w:p>
      <w:pPr>
        <w:spacing w:after="0" w:line="116" w:lineRule="exact"/>
        <w:rPr>
          <w:sz w:val="20"/>
          <w:szCs w:val="20"/>
          <w:color w:val="auto"/>
        </w:rPr>
      </w:pPr>
    </w:p>
    <w:tbl>
      <w:tblPr>
        <w:tblLayout w:type="fixed"/>
        <w:tblInd w:w="3600" w:type="dxa"/>
        <w:tblCellMar>
          <w:top w:w="0" w:type="dxa"/>
          <w:left w:w="0" w:type="dxa"/>
          <w:bottom w:w="0" w:type="dxa"/>
          <w:right w:w="0" w:type="dxa"/>
        </w:tblCellMar>
      </w:tblPr>
      <w:tr>
        <w:trPr>
          <w:trHeight w:val="126"/>
        </w:trPr>
        <w:tc>
          <w:tcPr>
            <w:tcW w:w="340" w:type="dxa"/>
            <w:vAlign w:val="bottom"/>
          </w:tcPr>
          <w:p>
            <w:pPr>
              <w:spacing w:after="0"/>
              <w:rPr>
                <w:sz w:val="10"/>
                <w:szCs w:val="10"/>
                <w:color w:val="auto"/>
              </w:rPr>
            </w:pPr>
          </w:p>
        </w:tc>
        <w:tc>
          <w:tcPr>
            <w:tcW w:w="2600" w:type="dxa"/>
            <w:vAlign w:val="bottom"/>
            <w:gridSpan w:val="4"/>
          </w:tcPr>
          <w:p>
            <w:pPr>
              <w:jc w:val="center"/>
              <w:ind w:right="112"/>
              <w:spacing w:after="0"/>
              <w:rPr>
                <w:sz w:val="20"/>
                <w:szCs w:val="20"/>
                <w:color w:val="auto"/>
              </w:rPr>
            </w:pPr>
            <w:r>
              <w:rPr>
                <w:rFonts w:ascii="Arial" w:cs="Arial" w:eastAsia="Arial" w:hAnsi="Arial"/>
                <w:sz w:val="10"/>
                <w:szCs w:val="10"/>
                <w:b w:val="1"/>
                <w:bCs w:val="1"/>
                <w:color w:val="auto"/>
                <w:w w:val="95"/>
              </w:rPr>
              <w:t>Six Months Ended June 30,</w:t>
            </w:r>
          </w:p>
        </w:tc>
      </w:tr>
      <w:tr>
        <w:trPr>
          <w:trHeight w:val="126"/>
        </w:trPr>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2021</w:t>
            </w: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0"/>
                <w:szCs w:val="10"/>
                <w:b w:val="1"/>
                <w:bCs w:val="1"/>
                <w:color w:val="auto"/>
              </w:rPr>
              <w:t>2020</w:t>
            </w:r>
          </w:p>
        </w:tc>
      </w:tr>
      <w:tr>
        <w:trPr>
          <w:trHeight w:val="233"/>
        </w:trPr>
        <w:tc>
          <w:tcPr>
            <w:tcW w:w="340" w:type="dxa"/>
            <w:vAlign w:val="bottom"/>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74.3</w:t>
            </w:r>
          </w:p>
        </w:tc>
        <w:tc>
          <w:tcPr>
            <w:tcW w:w="100" w:type="dxa"/>
            <w:vAlign w:val="bottom"/>
          </w:tcPr>
          <w:p>
            <w:pPr>
              <w:spacing w:after="0"/>
              <w:rPr>
                <w:sz w:val="20"/>
                <w:szCs w:val="20"/>
                <w:color w:val="auto"/>
              </w:rPr>
            </w:pPr>
          </w:p>
        </w:tc>
        <w:tc>
          <w:tcPr>
            <w:tcW w:w="340" w:type="dxa"/>
            <w:vAlign w:val="bottom"/>
          </w:tcPr>
          <w:p>
            <w:pPr>
              <w:jc w:val="center"/>
              <w:ind w:right="232"/>
              <w:spacing w:after="0"/>
              <w:rPr>
                <w:sz w:val="20"/>
                <w:szCs w:val="20"/>
                <w:color w:val="auto"/>
              </w:rPr>
            </w:pPr>
            <w:r>
              <w:rPr>
                <w:rFonts w:ascii="Arial" w:cs="Arial" w:eastAsia="Arial" w:hAnsi="Arial"/>
                <w:sz w:val="10"/>
                <w:szCs w:val="10"/>
                <w:color w:val="auto"/>
              </w:rPr>
              <w:t>$</w:t>
            </w:r>
          </w:p>
        </w:tc>
        <w:tc>
          <w:tcPr>
            <w:tcW w:w="1080" w:type="dxa"/>
            <w:vAlign w:val="bottom"/>
          </w:tcPr>
          <w:p>
            <w:pPr>
              <w:jc w:val="right"/>
              <w:spacing w:after="0"/>
              <w:rPr>
                <w:sz w:val="20"/>
                <w:szCs w:val="20"/>
                <w:color w:val="auto"/>
              </w:rPr>
            </w:pPr>
            <w:r>
              <w:rPr>
                <w:rFonts w:ascii="Arial" w:cs="Arial" w:eastAsia="Arial" w:hAnsi="Arial"/>
                <w:sz w:val="10"/>
                <w:szCs w:val="10"/>
                <w:color w:val="auto"/>
              </w:rPr>
              <w:t>80.2</w:t>
            </w:r>
          </w:p>
        </w:tc>
      </w:tr>
      <w:tr>
        <w:trPr>
          <w:trHeight w:val="252"/>
        </w:trPr>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31.0</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61.9</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56.8</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1.7</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1.1</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1.5</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(3.7)</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1.1</w:t>
            </w:r>
          </w:p>
        </w:tc>
      </w:tr>
      <w:tr>
        <w:trPr>
          <w:trHeight w:val="252"/>
        </w:trPr>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12.1</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(79.7)</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(13.7)</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(16.9)</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8.0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(14.5)</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(55.4)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25.0</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(21.4)</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(3.4)</w:t>
            </w:r>
          </w:p>
        </w:tc>
      </w:tr>
      <w:tr>
        <w:trPr>
          <w:trHeight w:val="125"/>
        </w:trPr>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0.4</w:t>
            </w:r>
          </w:p>
        </w:tc>
        <w:tc>
          <w:tcPr>
            <w:tcW w:w="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29.1</w:t>
            </w:r>
          </w:p>
        </w:tc>
      </w:tr>
      <w:tr>
        <w:trPr>
          <w:trHeight w:val="11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(24.6)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185.7</w:t>
            </w:r>
          </w:p>
        </w:tc>
      </w:tr>
      <w:tr>
        <w:trPr>
          <w:trHeight w:val="252"/>
        </w:trPr>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(123.1)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(59.3)</w:t>
            </w:r>
          </w:p>
        </w:tc>
      </w:tr>
      <w:tr>
        <w:trPr>
          <w:trHeight w:val="125"/>
        </w:trPr>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w:t>
            </w:r>
          </w:p>
        </w:tc>
      </w:tr>
      <w:tr>
        <w:trPr>
          <w:trHeight w:val="11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(123.1)</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(69.3)</w:t>
            </w:r>
          </w:p>
        </w:tc>
      </w:tr>
      <w:tr>
        <w:trPr>
          <w:trHeight w:val="252"/>
        </w:trPr>
        <w:tc>
          <w:tcPr>
            <w:tcW w:w="340" w:type="dxa"/>
            <w:vAlign w:val="bottom"/>
          </w:tcPr>
          <w:p>
            <w:pPr>
              <w:spacing w:after="0"/>
              <w:rPr>
                <w:sz w:val="21"/>
                <w:szCs w:val="21"/>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(20.0)</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(11.3)</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(5.6)</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(10.6)</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10.0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23.1</w:t>
            </w:r>
          </w:p>
        </w:tc>
      </w:tr>
      <w:tr>
        <w:trPr>
          <w:trHeight w:val="12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(13.0)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(11.7)</w:t>
            </w:r>
          </w:p>
        </w:tc>
      </w:tr>
      <w:tr>
        <w:trPr>
          <w:trHeight w:val="125"/>
        </w:trPr>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w:t>
            </w:r>
          </w:p>
        </w:tc>
        <w:tc>
          <w:tcPr>
            <w:tcW w:w="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w:t>
            </w:r>
          </w:p>
        </w:tc>
      </w:tr>
      <w:tr>
        <w:trPr>
          <w:trHeight w:val="11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(26.0)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(15.3)</w:t>
            </w:r>
          </w:p>
        </w:tc>
      </w:tr>
      <w:tr>
        <w:trPr>
          <w:trHeight w:val="125"/>
        </w:trPr>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w:t>
            </w:r>
          </w:p>
        </w:tc>
        <w:tc>
          <w:tcPr>
            <w:tcW w:w="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w:t>
            </w:r>
          </w:p>
        </w:tc>
      </w:tr>
      <w:tr>
        <w:trPr>
          <w:trHeight w:val="116"/>
        </w:trPr>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(173.8)</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80" w:type="dxa"/>
            <w:vAlign w:val="bottom"/>
          </w:tcPr>
          <w:p>
            <w:pPr>
              <w:jc w:val="right"/>
              <w:spacing w:after="0"/>
              <w:rPr>
                <w:sz w:val="20"/>
                <w:szCs w:val="20"/>
                <w:color w:val="auto"/>
              </w:rPr>
            </w:pPr>
            <w:r>
              <w:rPr>
                <w:rFonts w:ascii="Arial" w:cs="Arial" w:eastAsia="Arial" w:hAnsi="Arial"/>
                <w:sz w:val="10"/>
                <w:szCs w:val="10"/>
                <w:color w:val="auto"/>
              </w:rPr>
              <w:t>101.0</w:t>
            </w:r>
          </w:p>
        </w:tc>
      </w:tr>
      <w:tr>
        <w:trPr>
          <w:trHeight w:val="125"/>
        </w:trPr>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621.5</w:t>
            </w:r>
          </w:p>
        </w:tc>
        <w:tc>
          <w:tcPr>
            <w:tcW w:w="10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168.0</w:t>
            </w:r>
          </w:p>
        </w:tc>
      </w:tr>
      <w:tr>
        <w:trPr>
          <w:trHeight w:val="115"/>
        </w:trPr>
        <w:tc>
          <w:tcPr>
            <w:tcW w:w="34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447.7</w:t>
            </w:r>
          </w:p>
        </w:tc>
        <w:tc>
          <w:tcPr>
            <w:tcW w:w="100" w:type="dxa"/>
            <w:vAlign w:val="bottom"/>
          </w:tcPr>
          <w:p>
            <w:pPr>
              <w:spacing w:after="0"/>
              <w:rPr>
                <w:sz w:val="10"/>
                <w:szCs w:val="10"/>
                <w:color w:val="auto"/>
              </w:rPr>
            </w:pPr>
          </w:p>
        </w:tc>
        <w:tc>
          <w:tcPr>
            <w:tcW w:w="340" w:type="dxa"/>
            <w:vAlign w:val="bottom"/>
            <w:tcBorders>
              <w:bottom w:val="single" w:sz="8" w:color="auto"/>
            </w:tcBorders>
          </w:tcPr>
          <w:p>
            <w:pPr>
              <w:jc w:val="center"/>
              <w:ind w:right="232"/>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269.0</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p>
      <w:pPr>
        <w:sectPr>
          <w:pgSz w:w="11900" w:h="16838" w:orient="portrait"/>
          <w:cols w:equalWidth="0" w:num="2">
            <w:col w:w="3980" w:space="360"/>
            <w:col w:w="6540"/>
          </w:cols>
          <w:pgMar w:left="420" w:top="644"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Arial" w:cs="Arial" w:eastAsia="Arial" w:hAnsi="Arial"/>
          <w:sz w:val="9"/>
          <w:szCs w:val="9"/>
          <w:color w:val="auto"/>
        </w:rPr>
        <w:t>10 of 13</w:t>
      </w:r>
    </w:p>
    <w:p>
      <w:pPr>
        <w:sectPr>
          <w:pgSz w:w="11900" w:h="16838" w:orient="portrait"/>
          <w:cols w:equalWidth="0" w:num="1">
            <w:col w:w="10880"/>
          </w:cols>
          <w:pgMar w:left="420" w:top="644" w:right="59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2"/>
          <w:szCs w:val="12"/>
          <w:b w:val="1"/>
          <w:bCs w:val="1"/>
          <w:i w:val="1"/>
          <w:iCs w:val="1"/>
          <w:color w:val="auto"/>
        </w:rPr>
        <w:t>Reconciliation of Net Income to Adjusted Net Income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183755" cy="1148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755" cy="1148715"/>
                    </a:xfrm>
                    <a:prstGeom prst="rect">
                      <a:avLst/>
                    </a:prstGeom>
                    <a:noFill/>
                  </pic:spPr>
                </pic:pic>
              </a:graphicData>
            </a:graphic>
          </wp:anchor>
        </w:drawing>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80" w:type="dxa"/>
            <w:vAlign w:val="bottom"/>
            <w:shd w:val="clear" w:color="auto" w:fill="0F243E"/>
          </w:tcPr>
          <w:p>
            <w:pPr>
              <w:spacing w:after="0"/>
              <w:rPr>
                <w:sz w:val="13"/>
                <w:szCs w:val="13"/>
                <w:color w:val="auto"/>
              </w:rPr>
            </w:pPr>
          </w:p>
        </w:tc>
        <w:tc>
          <w:tcPr>
            <w:tcW w:w="2200" w:type="dxa"/>
            <w:vAlign w:val="bottom"/>
            <w:shd w:val="clear" w:color="auto" w:fill="0F243E"/>
          </w:tcPr>
          <w:p>
            <w:pPr>
              <w:spacing w:after="0"/>
              <w:rPr>
                <w:sz w:val="13"/>
                <w:szCs w:val="13"/>
                <w:color w:val="auto"/>
              </w:rPr>
            </w:pPr>
          </w:p>
        </w:tc>
        <w:tc>
          <w:tcPr>
            <w:tcW w:w="1680" w:type="dxa"/>
            <w:vAlign w:val="bottom"/>
            <w:shd w:val="clear" w:color="auto" w:fill="0F243E"/>
          </w:tcPr>
          <w:p>
            <w:pPr>
              <w:spacing w:after="0"/>
              <w:rPr>
                <w:sz w:val="13"/>
                <w:szCs w:val="13"/>
                <w:color w:val="auto"/>
              </w:rPr>
            </w:pPr>
          </w:p>
        </w:tc>
        <w:tc>
          <w:tcPr>
            <w:tcW w:w="1680" w:type="dxa"/>
            <w:vAlign w:val="bottom"/>
            <w:gridSpan w:val="2"/>
            <w:shd w:val="clear" w:color="auto" w:fill="0F243E"/>
          </w:tcPr>
          <w:p>
            <w:pPr>
              <w:jc w:val="center"/>
              <w:spacing w:after="0"/>
              <w:rPr>
                <w:sz w:val="20"/>
                <w:szCs w:val="20"/>
                <w:color w:val="auto"/>
              </w:rPr>
            </w:pPr>
            <w:r>
              <w:rPr>
                <w:rFonts w:ascii="Arial" w:cs="Arial" w:eastAsia="Arial" w:hAnsi="Arial"/>
                <w:sz w:val="11"/>
                <w:szCs w:val="11"/>
                <w:b w:val="1"/>
                <w:bCs w:val="1"/>
                <w:color w:val="FFFFFF"/>
                <w:w w:val="98"/>
              </w:rPr>
              <w:t>Three Months Ended June 30,</w:t>
            </w:r>
          </w:p>
        </w:tc>
        <w:tc>
          <w:tcPr>
            <w:tcW w:w="1660" w:type="dxa"/>
            <w:vAlign w:val="bottom"/>
            <w:shd w:val="clear" w:color="auto" w:fill="0F243E"/>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0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 except per share value)</w:t>
            </w:r>
          </w:p>
        </w:tc>
        <w:tc>
          <w:tcPr>
            <w:tcW w:w="2200" w:type="dxa"/>
            <w:vAlign w:val="bottom"/>
            <w:shd w:val="clear" w:color="auto" w:fill="0F243E"/>
          </w:tcPr>
          <w:p>
            <w:pPr>
              <w:spacing w:after="0"/>
              <w:rPr>
                <w:sz w:val="14"/>
                <w:szCs w:val="14"/>
                <w:color w:val="auto"/>
              </w:rPr>
            </w:pPr>
          </w:p>
        </w:tc>
        <w:tc>
          <w:tcPr>
            <w:tcW w:w="1680" w:type="dxa"/>
            <w:vAlign w:val="bottom"/>
            <w:shd w:val="clear" w:color="auto" w:fill="0F243E"/>
          </w:tcPr>
          <w:p>
            <w:pPr>
              <w:jc w:val="center"/>
              <w:spacing w:after="0"/>
              <w:rPr>
                <w:sz w:val="20"/>
                <w:szCs w:val="20"/>
                <w:color w:val="auto"/>
              </w:rPr>
            </w:pPr>
            <w:r>
              <w:rPr>
                <w:rFonts w:ascii="Arial" w:cs="Arial" w:eastAsia="Arial" w:hAnsi="Arial"/>
                <w:sz w:val="11"/>
                <w:szCs w:val="11"/>
                <w:b w:val="1"/>
                <w:bCs w:val="1"/>
                <w:color w:val="FFFFFF"/>
                <w:w w:val="97"/>
              </w:rPr>
              <w:t>2021</w:t>
            </w:r>
          </w:p>
        </w:tc>
        <w:tc>
          <w:tcPr>
            <w:tcW w:w="660" w:type="dxa"/>
            <w:vAlign w:val="bottom"/>
            <w:shd w:val="clear" w:color="auto" w:fill="0F243E"/>
          </w:tcPr>
          <w:p>
            <w:pPr>
              <w:spacing w:after="0"/>
              <w:rPr>
                <w:sz w:val="14"/>
                <w:szCs w:val="14"/>
                <w:color w:val="auto"/>
              </w:rPr>
            </w:pPr>
          </w:p>
        </w:tc>
        <w:tc>
          <w:tcPr>
            <w:tcW w:w="1020" w:type="dxa"/>
            <w:vAlign w:val="bottom"/>
            <w:shd w:val="clear" w:color="auto" w:fill="0F243E"/>
          </w:tcPr>
          <w:p>
            <w:pPr>
              <w:jc w:val="center"/>
              <w:ind w:right="606"/>
              <w:spacing w:after="0"/>
              <w:rPr>
                <w:sz w:val="20"/>
                <w:szCs w:val="20"/>
                <w:color w:val="auto"/>
              </w:rPr>
            </w:pPr>
            <w:r>
              <w:rPr>
                <w:rFonts w:ascii="Arial" w:cs="Arial" w:eastAsia="Arial" w:hAnsi="Arial"/>
                <w:sz w:val="11"/>
                <w:szCs w:val="11"/>
                <w:b w:val="1"/>
                <w:bCs w:val="1"/>
                <w:color w:val="FFFFFF"/>
                <w:w w:val="97"/>
              </w:rPr>
              <w:t>2020</w:t>
            </w:r>
          </w:p>
        </w:tc>
        <w:tc>
          <w:tcPr>
            <w:tcW w:w="166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8"/>
              </w:rPr>
              <w:t>Source</w:t>
            </w:r>
          </w:p>
        </w:tc>
        <w:tc>
          <w:tcPr>
            <w:tcW w:w="0" w:type="dxa"/>
            <w:vAlign w:val="bottom"/>
          </w:tcPr>
          <w:p>
            <w:pPr>
              <w:spacing w:after="0"/>
              <w:rPr>
                <w:sz w:val="1"/>
                <w:szCs w:val="1"/>
                <w:color w:val="auto"/>
              </w:rPr>
            </w:pPr>
          </w:p>
        </w:tc>
      </w:tr>
      <w:tr>
        <w:trPr>
          <w:trHeight w:val="149"/>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w:t>
            </w:r>
          </w:p>
        </w:tc>
        <w:tc>
          <w:tcPr>
            <w:tcW w:w="3880" w:type="dxa"/>
            <w:vAlign w:val="bottom"/>
            <w:gridSpan w:val="2"/>
            <w:shd w:val="clear" w:color="auto" w:fill="CCCCCC"/>
          </w:tcPr>
          <w:p>
            <w:pPr>
              <w:jc w:val="center"/>
              <w:ind w:left="2146"/>
              <w:spacing w:after="0"/>
              <w:rPr>
                <w:sz w:val="20"/>
                <w:szCs w:val="20"/>
                <w:color w:val="auto"/>
              </w:rPr>
            </w:pPr>
            <w:r>
              <w:rPr>
                <w:rFonts w:ascii="Arial" w:cs="Arial" w:eastAsia="Arial" w:hAnsi="Arial"/>
                <w:sz w:val="11"/>
                <w:szCs w:val="11"/>
                <w:color w:val="auto"/>
                <w:w w:val="93"/>
              </w:rPr>
              <w:t>$4.6</w:t>
            </w:r>
          </w:p>
        </w:tc>
        <w:tc>
          <w:tcPr>
            <w:tcW w:w="660" w:type="dxa"/>
            <w:vAlign w:val="bottom"/>
            <w:shd w:val="clear" w:color="auto" w:fill="CCCCCC"/>
          </w:tcPr>
          <w:p>
            <w:pPr>
              <w:spacing w:after="0"/>
              <w:rPr>
                <w:sz w:val="12"/>
                <w:szCs w:val="12"/>
                <w:color w:val="auto"/>
              </w:rPr>
            </w:pPr>
          </w:p>
        </w:tc>
        <w:tc>
          <w:tcPr>
            <w:tcW w:w="1020" w:type="dxa"/>
            <w:vAlign w:val="bottom"/>
            <w:shd w:val="clear" w:color="auto" w:fill="CCCCCC"/>
          </w:tcPr>
          <w:p>
            <w:pPr>
              <w:jc w:val="center"/>
              <w:ind w:right="626"/>
              <w:spacing w:after="0"/>
              <w:rPr>
                <w:sz w:val="20"/>
                <w:szCs w:val="20"/>
                <w:color w:val="auto"/>
              </w:rPr>
            </w:pPr>
            <w:r>
              <w:rPr>
                <w:rFonts w:ascii="Arial" w:cs="Arial" w:eastAsia="Arial" w:hAnsi="Arial"/>
                <w:sz w:val="11"/>
                <w:szCs w:val="11"/>
                <w:color w:val="auto"/>
                <w:w w:val="94"/>
              </w:rPr>
              <w:t>$92.7</w:t>
            </w:r>
          </w:p>
        </w:tc>
        <w:tc>
          <w:tcPr>
            <w:tcW w:w="16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spacing w:after="0"/>
              <w:rPr>
                <w:sz w:val="13"/>
                <w:szCs w:val="13"/>
                <w:color w:val="auto"/>
              </w:rPr>
            </w:pPr>
          </w:p>
        </w:tc>
        <w:tc>
          <w:tcPr>
            <w:tcW w:w="660" w:type="dxa"/>
            <w:vAlign w:val="bottom"/>
            <w:shd w:val="clear" w:color="auto" w:fill="CCCCCC"/>
          </w:tcPr>
          <w:p>
            <w:pPr>
              <w:spacing w:after="0"/>
              <w:rPr>
                <w:sz w:val="13"/>
                <w:szCs w:val="13"/>
                <w:color w:val="auto"/>
              </w:rPr>
            </w:pPr>
          </w:p>
        </w:tc>
        <w:tc>
          <w:tcPr>
            <w:tcW w:w="1020" w:type="dxa"/>
            <w:vAlign w:val="bottom"/>
            <w:shd w:val="clear" w:color="auto" w:fill="CCCCCC"/>
          </w:tcPr>
          <w:p>
            <w:pPr>
              <w:spacing w:after="0"/>
              <w:rPr>
                <w:sz w:val="13"/>
                <w:szCs w:val="13"/>
                <w:color w:val="auto"/>
              </w:rPr>
            </w:pPr>
          </w:p>
        </w:tc>
        <w:tc>
          <w:tcPr>
            <w:tcW w:w="166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080" w:type="dxa"/>
            <w:vAlign w:val="bottom"/>
            <w:vMerge w:val="restart"/>
            <w:shd w:val="clear" w:color="auto" w:fill="CCCCCC"/>
          </w:tcPr>
          <w:p>
            <w:pPr>
              <w:ind w:left="180"/>
              <w:spacing w:after="0"/>
              <w:rPr>
                <w:sz w:val="20"/>
                <w:szCs w:val="20"/>
                <w:color w:val="auto"/>
              </w:rPr>
            </w:pPr>
            <w:r>
              <w:rPr>
                <w:rFonts w:ascii="Arial" w:cs="Arial" w:eastAsia="Arial" w:hAnsi="Arial"/>
                <w:sz w:val="11"/>
                <w:szCs w:val="11"/>
                <w:color w:val="auto"/>
              </w:rPr>
              <w:t>+ Non-cash amortization charges</w:t>
            </w:r>
          </w:p>
        </w:tc>
        <w:tc>
          <w:tcPr>
            <w:tcW w:w="2200" w:type="dxa"/>
            <w:vAlign w:val="bottom"/>
            <w:shd w:val="clear" w:color="auto" w:fill="CCCCCC"/>
          </w:tcPr>
          <w:p>
            <w:pPr>
              <w:spacing w:after="0"/>
              <w:rPr>
                <w:sz w:val="11"/>
                <w:szCs w:val="11"/>
                <w:color w:val="auto"/>
              </w:rPr>
            </w:pPr>
          </w:p>
        </w:tc>
        <w:tc>
          <w:tcPr>
            <w:tcW w:w="1680" w:type="dxa"/>
            <w:vAlign w:val="bottom"/>
            <w:vMerge w:val="restart"/>
            <w:shd w:val="clear" w:color="auto" w:fill="CCCCCC"/>
          </w:tcPr>
          <w:p>
            <w:pPr>
              <w:jc w:val="center"/>
              <w:spacing w:after="0"/>
              <w:rPr>
                <w:sz w:val="20"/>
                <w:szCs w:val="20"/>
                <w:color w:val="auto"/>
              </w:rPr>
            </w:pPr>
            <w:r>
              <w:rPr>
                <w:rFonts w:ascii="Arial" w:cs="Arial" w:eastAsia="Arial" w:hAnsi="Arial"/>
                <w:sz w:val="11"/>
                <w:szCs w:val="11"/>
                <w:color w:val="auto"/>
                <w:w w:val="93"/>
              </w:rPr>
              <w:t>16.1</w:t>
            </w:r>
          </w:p>
        </w:tc>
        <w:tc>
          <w:tcPr>
            <w:tcW w:w="660" w:type="dxa"/>
            <w:vAlign w:val="bottom"/>
            <w:shd w:val="clear" w:color="auto" w:fill="CCCCCC"/>
          </w:tcPr>
          <w:p>
            <w:pPr>
              <w:spacing w:after="0"/>
              <w:rPr>
                <w:sz w:val="11"/>
                <w:szCs w:val="11"/>
                <w:color w:val="auto"/>
              </w:rPr>
            </w:pPr>
          </w:p>
        </w:tc>
        <w:tc>
          <w:tcPr>
            <w:tcW w:w="1020" w:type="dxa"/>
            <w:vAlign w:val="bottom"/>
            <w:vMerge w:val="restart"/>
            <w:shd w:val="clear" w:color="auto" w:fill="CCCCCC"/>
          </w:tcPr>
          <w:p>
            <w:pPr>
              <w:jc w:val="center"/>
              <w:ind w:right="626"/>
              <w:spacing w:after="0"/>
              <w:rPr>
                <w:sz w:val="20"/>
                <w:szCs w:val="20"/>
                <w:color w:val="auto"/>
              </w:rPr>
            </w:pPr>
            <w:r>
              <w:rPr>
                <w:rFonts w:ascii="Arial" w:cs="Arial" w:eastAsia="Arial" w:hAnsi="Arial"/>
                <w:sz w:val="11"/>
                <w:szCs w:val="11"/>
                <w:color w:val="auto"/>
              </w:rPr>
              <w:t>15.8</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Intangible Asset (IA) Amortization,</w:t>
            </w:r>
          </w:p>
        </w:tc>
        <w:tc>
          <w:tcPr>
            <w:tcW w:w="0" w:type="dxa"/>
            <w:vAlign w:val="bottom"/>
          </w:tcPr>
          <w:p>
            <w:pPr>
              <w:spacing w:after="0"/>
              <w:rPr>
                <w:sz w:val="1"/>
                <w:szCs w:val="1"/>
                <w:color w:val="auto"/>
              </w:rPr>
            </w:pPr>
          </w:p>
        </w:tc>
      </w:tr>
      <w:tr>
        <w:trPr>
          <w:trHeight w:val="76"/>
        </w:trPr>
        <w:tc>
          <w:tcPr>
            <w:tcW w:w="4080" w:type="dxa"/>
            <w:vAlign w:val="bottom"/>
            <w:vMerge w:val="continue"/>
            <w:shd w:val="clear" w:color="auto" w:fill="CCCCCC"/>
          </w:tcPr>
          <w:p>
            <w:pPr>
              <w:spacing w:after="0"/>
              <w:rPr>
                <w:sz w:val="6"/>
                <w:szCs w:val="6"/>
                <w:color w:val="auto"/>
              </w:rPr>
            </w:pPr>
          </w:p>
        </w:tc>
        <w:tc>
          <w:tcPr>
            <w:tcW w:w="2200" w:type="dxa"/>
            <w:vAlign w:val="bottom"/>
            <w:shd w:val="clear" w:color="auto" w:fill="CCCCCC"/>
          </w:tcPr>
          <w:p>
            <w:pPr>
              <w:spacing w:after="0"/>
              <w:rPr>
                <w:sz w:val="6"/>
                <w:szCs w:val="6"/>
                <w:color w:val="auto"/>
              </w:rPr>
            </w:pPr>
          </w:p>
        </w:tc>
        <w:tc>
          <w:tcPr>
            <w:tcW w:w="1680" w:type="dxa"/>
            <w:vAlign w:val="bottom"/>
            <w:vMerge w:val="continue"/>
            <w:shd w:val="clear" w:color="auto" w:fill="CCCCCC"/>
          </w:tcPr>
          <w:p>
            <w:pPr>
              <w:spacing w:after="0"/>
              <w:rPr>
                <w:sz w:val="6"/>
                <w:szCs w:val="6"/>
                <w:color w:val="auto"/>
              </w:rPr>
            </w:pPr>
          </w:p>
        </w:tc>
        <w:tc>
          <w:tcPr>
            <w:tcW w:w="660" w:type="dxa"/>
            <w:vAlign w:val="bottom"/>
            <w:shd w:val="clear" w:color="auto" w:fill="CCCCCC"/>
          </w:tcPr>
          <w:p>
            <w:pPr>
              <w:spacing w:after="0"/>
              <w:rPr>
                <w:sz w:val="6"/>
                <w:szCs w:val="6"/>
                <w:color w:val="auto"/>
              </w:rPr>
            </w:pPr>
          </w:p>
        </w:tc>
        <w:tc>
          <w:tcPr>
            <w:tcW w:w="1020" w:type="dxa"/>
            <w:vAlign w:val="bottom"/>
            <w:vMerge w:val="continue"/>
            <w:shd w:val="clear" w:color="auto" w:fill="CCCCCC"/>
          </w:tcPr>
          <w:p>
            <w:pPr>
              <w:spacing w:after="0"/>
              <w:rPr>
                <w:sz w:val="6"/>
                <w:szCs w:val="6"/>
                <w:color w:val="auto"/>
              </w:rPr>
            </w:pPr>
          </w:p>
        </w:tc>
        <w:tc>
          <w:tcPr>
            <w:tcW w:w="1660" w:type="dxa"/>
            <w:vAlign w:val="bottom"/>
            <w:vMerge w:val="restart"/>
            <w:shd w:val="clear" w:color="auto" w:fill="CCCCCC"/>
          </w:tcPr>
          <w:p>
            <w:pPr>
              <w:jc w:val="center"/>
              <w:spacing w:after="0"/>
              <w:rPr>
                <w:sz w:val="20"/>
                <w:szCs w:val="20"/>
                <w:color w:val="auto"/>
              </w:rPr>
            </w:pPr>
            <w:r>
              <w:rPr>
                <w:rFonts w:ascii="Arial" w:cs="Arial" w:eastAsia="Arial" w:hAnsi="Arial"/>
                <w:sz w:val="11"/>
                <w:szCs w:val="11"/>
                <w:color w:val="auto"/>
                <w:w w:val="98"/>
              </w:rPr>
              <w:t>Other Income</w:t>
            </w:r>
          </w:p>
        </w:tc>
        <w:tc>
          <w:tcPr>
            <w:tcW w:w="0" w:type="dxa"/>
            <w:vAlign w:val="bottom"/>
          </w:tcPr>
          <w:p>
            <w:pPr>
              <w:spacing w:after="0"/>
              <w:rPr>
                <w:sz w:val="1"/>
                <w:szCs w:val="1"/>
                <w:color w:val="auto"/>
              </w:rPr>
            </w:pPr>
          </w:p>
        </w:tc>
      </w:tr>
      <w:tr>
        <w:trPr>
          <w:trHeight w:val="54"/>
        </w:trPr>
        <w:tc>
          <w:tcPr>
            <w:tcW w:w="4080" w:type="dxa"/>
            <w:vAlign w:val="bottom"/>
            <w:shd w:val="clear" w:color="auto" w:fill="CCCCCC"/>
          </w:tcPr>
          <w:p>
            <w:pPr>
              <w:spacing w:after="0"/>
              <w:rPr>
                <w:sz w:val="4"/>
                <w:szCs w:val="4"/>
                <w:color w:val="auto"/>
              </w:rPr>
            </w:pPr>
          </w:p>
        </w:tc>
        <w:tc>
          <w:tcPr>
            <w:tcW w:w="2200" w:type="dxa"/>
            <w:vAlign w:val="bottom"/>
            <w:shd w:val="clear" w:color="auto" w:fill="CCCCCC"/>
          </w:tcPr>
          <w:p>
            <w:pPr>
              <w:spacing w:after="0"/>
              <w:rPr>
                <w:sz w:val="4"/>
                <w:szCs w:val="4"/>
                <w:color w:val="auto"/>
              </w:rPr>
            </w:pPr>
          </w:p>
        </w:tc>
        <w:tc>
          <w:tcPr>
            <w:tcW w:w="1680" w:type="dxa"/>
            <w:vAlign w:val="bottom"/>
            <w:shd w:val="clear" w:color="auto" w:fill="CCCCCC"/>
          </w:tcPr>
          <w:p>
            <w:pPr>
              <w:spacing w:after="0"/>
              <w:rPr>
                <w:sz w:val="4"/>
                <w:szCs w:val="4"/>
                <w:color w:val="auto"/>
              </w:rPr>
            </w:pPr>
          </w:p>
        </w:tc>
        <w:tc>
          <w:tcPr>
            <w:tcW w:w="660" w:type="dxa"/>
            <w:vAlign w:val="bottom"/>
            <w:shd w:val="clear" w:color="auto" w:fill="CCCCCC"/>
          </w:tcPr>
          <w:p>
            <w:pPr>
              <w:spacing w:after="0"/>
              <w:rPr>
                <w:sz w:val="4"/>
                <w:szCs w:val="4"/>
                <w:color w:val="auto"/>
              </w:rPr>
            </w:pPr>
          </w:p>
        </w:tc>
        <w:tc>
          <w:tcPr>
            <w:tcW w:w="1020" w:type="dxa"/>
            <w:vAlign w:val="bottom"/>
            <w:shd w:val="clear" w:color="auto" w:fill="CCCCCC"/>
          </w:tcPr>
          <w:p>
            <w:pPr>
              <w:spacing w:after="0"/>
              <w:rPr>
                <w:sz w:val="4"/>
                <w:szCs w:val="4"/>
                <w:color w:val="auto"/>
              </w:rPr>
            </w:pPr>
          </w:p>
        </w:tc>
        <w:tc>
          <w:tcPr>
            <w:tcW w:w="1660" w:type="dxa"/>
            <w:vAlign w:val="bottom"/>
            <w:vMerge w:val="continue"/>
            <w:shd w:val="clear" w:color="auto" w:fill="CCCCCC"/>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0.6</w:t>
            </w:r>
          </w:p>
        </w:tc>
        <w:tc>
          <w:tcPr>
            <w:tcW w:w="660" w:type="dxa"/>
            <w:vAlign w:val="bottom"/>
            <w:shd w:val="clear" w:color="auto" w:fill="CCCCCC"/>
          </w:tcPr>
          <w:p>
            <w:pPr>
              <w:spacing w:after="0"/>
              <w:rPr>
                <w:sz w:val="13"/>
                <w:szCs w:val="13"/>
                <w:color w:val="auto"/>
              </w:rPr>
            </w:pPr>
          </w:p>
        </w:tc>
        <w:tc>
          <w:tcPr>
            <w:tcW w:w="1020" w:type="dxa"/>
            <w:vAlign w:val="bottom"/>
            <w:shd w:val="clear" w:color="auto" w:fill="CCCCCC"/>
          </w:tcPr>
          <w:p>
            <w:pPr>
              <w:jc w:val="center"/>
              <w:ind w:right="626"/>
              <w:spacing w:after="0"/>
              <w:rPr>
                <w:sz w:val="20"/>
                <w:szCs w:val="20"/>
                <w:color w:val="auto"/>
              </w:rPr>
            </w:pPr>
            <w:r>
              <w:rPr>
                <w:rFonts w:ascii="Arial" w:cs="Arial" w:eastAsia="Arial" w:hAnsi="Arial"/>
                <w:sz w:val="11"/>
                <w:szCs w:val="11"/>
                <w:color w:val="auto"/>
                <w:w w:val="91"/>
              </w:rPr>
              <w:t>0.5</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COGS</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0.1</w:t>
            </w:r>
          </w:p>
        </w:tc>
        <w:tc>
          <w:tcPr>
            <w:tcW w:w="660" w:type="dxa"/>
            <w:vAlign w:val="bottom"/>
            <w:shd w:val="clear" w:color="auto" w:fill="CCCCCC"/>
          </w:tcPr>
          <w:p>
            <w:pPr>
              <w:spacing w:after="0"/>
              <w:rPr>
                <w:sz w:val="13"/>
                <w:szCs w:val="13"/>
                <w:color w:val="auto"/>
              </w:rPr>
            </w:pPr>
          </w:p>
        </w:tc>
        <w:tc>
          <w:tcPr>
            <w:tcW w:w="1020" w:type="dxa"/>
            <w:vAlign w:val="bottom"/>
            <w:shd w:val="clear" w:color="auto" w:fill="CCCCCC"/>
          </w:tcPr>
          <w:p>
            <w:pPr>
              <w:jc w:val="center"/>
              <w:ind w:right="626"/>
              <w:spacing w:after="0"/>
              <w:rPr>
                <w:sz w:val="20"/>
                <w:szCs w:val="20"/>
                <w:color w:val="auto"/>
              </w:rPr>
            </w:pPr>
            <w:r>
              <w:rPr>
                <w:rFonts w:ascii="Arial" w:cs="Arial" w:eastAsia="Arial" w:hAnsi="Arial"/>
                <w:sz w:val="11"/>
                <w:szCs w:val="11"/>
                <w:color w:val="auto"/>
                <w:w w:val="90"/>
              </w:rPr>
              <w:t>—</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7"/>
              </w:rPr>
              <w:t>SG&amp;A</w:t>
            </w:r>
          </w:p>
        </w:tc>
        <w:tc>
          <w:tcPr>
            <w:tcW w:w="0" w:type="dxa"/>
            <w:vAlign w:val="bottom"/>
          </w:tcPr>
          <w:p>
            <w:pPr>
              <w:spacing w:after="0"/>
              <w:rPr>
                <w:sz w:val="1"/>
                <w:szCs w:val="1"/>
                <w:color w:val="auto"/>
              </w:rPr>
            </w:pPr>
          </w:p>
        </w:tc>
      </w:tr>
      <w:tr>
        <w:trPr>
          <w:trHeight w:val="155"/>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Tax effect</w:t>
            </w:r>
          </w:p>
        </w:tc>
        <w:tc>
          <w:tcPr>
            <w:tcW w:w="2200" w:type="dxa"/>
            <w:vAlign w:val="bottom"/>
            <w:tcBorders>
              <w:bottom w:val="single" w:sz="8" w:color="CCCCCC"/>
            </w:tcBorders>
            <w:shd w:val="clear" w:color="auto" w:fill="CCCCCC"/>
          </w:tcPr>
          <w:p>
            <w:pPr>
              <w:spacing w:after="0"/>
              <w:rPr>
                <w:sz w:val="13"/>
                <w:szCs w:val="13"/>
                <w:color w:val="auto"/>
              </w:rPr>
            </w:pPr>
          </w:p>
        </w:tc>
        <w:tc>
          <w:tcPr>
            <w:tcW w:w="16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rPr>
              <w:t>(3.4)</w:t>
            </w:r>
          </w:p>
        </w:tc>
        <w:tc>
          <w:tcPr>
            <w:tcW w:w="660" w:type="dxa"/>
            <w:vAlign w:val="bottom"/>
            <w:tcBorders>
              <w:bottom w:val="single" w:sz="8" w:color="auto"/>
            </w:tcBorders>
            <w:shd w:val="clear" w:color="auto" w:fill="CCCCCC"/>
          </w:tcPr>
          <w:p>
            <w:pPr>
              <w:spacing w:after="0"/>
              <w:rPr>
                <w:sz w:val="13"/>
                <w:szCs w:val="13"/>
                <w:color w:val="auto"/>
              </w:rPr>
            </w:pPr>
          </w:p>
        </w:tc>
        <w:tc>
          <w:tcPr>
            <w:tcW w:w="1020" w:type="dxa"/>
            <w:vAlign w:val="bottom"/>
            <w:tcBorders>
              <w:bottom w:val="single" w:sz="8" w:color="auto"/>
            </w:tcBorders>
            <w:shd w:val="clear" w:color="auto" w:fill="CCCCCC"/>
          </w:tcPr>
          <w:p>
            <w:pPr>
              <w:jc w:val="center"/>
              <w:ind w:right="626"/>
              <w:spacing w:after="0"/>
              <w:rPr>
                <w:sz w:val="20"/>
                <w:szCs w:val="20"/>
                <w:color w:val="auto"/>
              </w:rPr>
            </w:pPr>
            <w:r>
              <w:rPr>
                <w:rFonts w:ascii="Arial" w:cs="Arial" w:eastAsia="Arial" w:hAnsi="Arial"/>
                <w:sz w:val="11"/>
                <w:szCs w:val="11"/>
                <w:color w:val="auto"/>
                <w:w w:val="97"/>
              </w:rPr>
              <w:t>(3.3)</w:t>
            </w:r>
          </w:p>
        </w:tc>
        <w:tc>
          <w:tcPr>
            <w:tcW w:w="1660" w:type="dxa"/>
            <w:vAlign w:val="bottom"/>
            <w:tcBorders>
              <w:bottom w:val="single" w:sz="8" w:color="CCCCCC"/>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2200" w:type="dxa"/>
            <w:vAlign w:val="bottom"/>
            <w:tcBorders>
              <w:bottom w:val="single" w:sz="8" w:color="CCCCCC"/>
            </w:tcBorders>
            <w:shd w:val="clear" w:color="auto" w:fill="CCCCCC"/>
          </w:tcPr>
          <w:p>
            <w:pPr>
              <w:spacing w:after="0"/>
              <w:rPr>
                <w:sz w:val="11"/>
                <w:szCs w:val="11"/>
                <w:color w:val="auto"/>
              </w:rPr>
            </w:pPr>
          </w:p>
        </w:tc>
        <w:tc>
          <w:tcPr>
            <w:tcW w:w="16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rPr>
              <w:t>$13.4</w:t>
            </w:r>
          </w:p>
        </w:tc>
        <w:tc>
          <w:tcPr>
            <w:tcW w:w="660" w:type="dxa"/>
            <w:vAlign w:val="bottom"/>
            <w:tcBorders>
              <w:bottom w:val="single" w:sz="8" w:color="auto"/>
            </w:tcBorders>
            <w:shd w:val="clear" w:color="auto" w:fill="CCCCCC"/>
          </w:tcPr>
          <w:p>
            <w:pPr>
              <w:spacing w:after="0"/>
              <w:rPr>
                <w:sz w:val="11"/>
                <w:szCs w:val="11"/>
                <w:color w:val="auto"/>
              </w:rPr>
            </w:pPr>
          </w:p>
        </w:tc>
        <w:tc>
          <w:tcPr>
            <w:tcW w:w="1020" w:type="dxa"/>
            <w:vAlign w:val="bottom"/>
            <w:tcBorders>
              <w:bottom w:val="single" w:sz="8" w:color="auto"/>
            </w:tcBorders>
            <w:shd w:val="clear" w:color="auto" w:fill="CCCCCC"/>
          </w:tcPr>
          <w:p>
            <w:pPr>
              <w:jc w:val="center"/>
              <w:ind w:right="626"/>
              <w:spacing w:after="0"/>
              <w:rPr>
                <w:sz w:val="20"/>
                <w:szCs w:val="20"/>
                <w:color w:val="auto"/>
              </w:rPr>
            </w:pPr>
            <w:r>
              <w:rPr>
                <w:rFonts w:ascii="Arial" w:cs="Arial" w:eastAsia="Arial" w:hAnsi="Arial"/>
                <w:sz w:val="11"/>
                <w:szCs w:val="11"/>
                <w:color w:val="auto"/>
                <w:w w:val="94"/>
              </w:rPr>
              <w:t>$13.0</w:t>
            </w:r>
          </w:p>
        </w:tc>
        <w:tc>
          <w:tcPr>
            <w:tcW w:w="1660" w:type="dxa"/>
            <w:vAlign w:val="bottom"/>
            <w:tcBorders>
              <w:bottom w:val="single" w:sz="8" w:color="CCCCCC"/>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Adjusted net income</w:t>
            </w:r>
          </w:p>
        </w:tc>
        <w:tc>
          <w:tcPr>
            <w:tcW w:w="2200" w:type="dxa"/>
            <w:vAlign w:val="bottom"/>
            <w:tcBorders>
              <w:bottom w:val="single" w:sz="8" w:color="CCCCCC"/>
            </w:tcBorders>
            <w:shd w:val="clear" w:color="auto" w:fill="CCCCCC"/>
          </w:tcPr>
          <w:p>
            <w:pPr>
              <w:spacing w:after="0"/>
              <w:rPr>
                <w:sz w:val="11"/>
                <w:szCs w:val="11"/>
                <w:color w:val="auto"/>
              </w:rPr>
            </w:pPr>
          </w:p>
        </w:tc>
        <w:tc>
          <w:tcPr>
            <w:tcW w:w="16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rPr>
              <w:t>$18.0</w:t>
            </w:r>
          </w:p>
        </w:tc>
        <w:tc>
          <w:tcPr>
            <w:tcW w:w="660" w:type="dxa"/>
            <w:vAlign w:val="bottom"/>
            <w:tcBorders>
              <w:bottom w:val="single" w:sz="8" w:color="auto"/>
            </w:tcBorders>
            <w:shd w:val="clear" w:color="auto" w:fill="CCCCCC"/>
          </w:tcPr>
          <w:p>
            <w:pPr>
              <w:spacing w:after="0"/>
              <w:rPr>
                <w:sz w:val="11"/>
                <w:szCs w:val="11"/>
                <w:color w:val="auto"/>
              </w:rPr>
            </w:pPr>
          </w:p>
        </w:tc>
        <w:tc>
          <w:tcPr>
            <w:tcW w:w="1020" w:type="dxa"/>
            <w:vAlign w:val="bottom"/>
            <w:tcBorders>
              <w:bottom w:val="single" w:sz="8" w:color="auto"/>
            </w:tcBorders>
            <w:shd w:val="clear" w:color="auto" w:fill="CCCCCC"/>
          </w:tcPr>
          <w:p>
            <w:pPr>
              <w:jc w:val="center"/>
              <w:ind w:right="626"/>
              <w:spacing w:after="0"/>
              <w:rPr>
                <w:sz w:val="20"/>
                <w:szCs w:val="20"/>
                <w:color w:val="auto"/>
              </w:rPr>
            </w:pPr>
            <w:r>
              <w:rPr>
                <w:rFonts w:ascii="Arial" w:cs="Arial" w:eastAsia="Arial" w:hAnsi="Arial"/>
                <w:sz w:val="11"/>
                <w:szCs w:val="11"/>
                <w:color w:val="auto"/>
              </w:rPr>
              <w:t>$105.7</w:t>
            </w:r>
          </w:p>
        </w:tc>
        <w:tc>
          <w:tcPr>
            <w:tcW w:w="1660" w:type="dxa"/>
            <w:vAlign w:val="bottom"/>
            <w:tcBorders>
              <w:bottom w:val="single" w:sz="8" w:color="CCCCCC"/>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net income per diluted share</w:t>
            </w:r>
          </w:p>
        </w:tc>
        <w:tc>
          <w:tcPr>
            <w:tcW w:w="2200" w:type="dxa"/>
            <w:vAlign w:val="bottom"/>
            <w:shd w:val="clear" w:color="auto" w:fill="CCCCCC"/>
          </w:tcPr>
          <w:p>
            <w:pPr>
              <w:spacing w:after="0"/>
              <w:rPr>
                <w:sz w:val="11"/>
                <w:szCs w:val="11"/>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$0.33</w:t>
            </w:r>
          </w:p>
        </w:tc>
        <w:tc>
          <w:tcPr>
            <w:tcW w:w="660" w:type="dxa"/>
            <w:vAlign w:val="bottom"/>
            <w:shd w:val="clear" w:color="auto" w:fill="CCCCCC"/>
          </w:tcPr>
          <w:p>
            <w:pPr>
              <w:spacing w:after="0"/>
              <w:rPr>
                <w:sz w:val="11"/>
                <w:szCs w:val="11"/>
                <w:color w:val="auto"/>
              </w:rPr>
            </w:pPr>
          </w:p>
        </w:tc>
        <w:tc>
          <w:tcPr>
            <w:tcW w:w="1020" w:type="dxa"/>
            <w:vAlign w:val="bottom"/>
            <w:shd w:val="clear" w:color="auto" w:fill="CCCCCC"/>
          </w:tcPr>
          <w:p>
            <w:pPr>
              <w:jc w:val="center"/>
              <w:ind w:right="626"/>
              <w:spacing w:after="0"/>
              <w:rPr>
                <w:sz w:val="20"/>
                <w:szCs w:val="20"/>
                <w:color w:val="auto"/>
              </w:rPr>
            </w:pPr>
            <w:r>
              <w:rPr>
                <w:rFonts w:ascii="Arial" w:cs="Arial" w:eastAsia="Arial" w:hAnsi="Arial"/>
                <w:sz w:val="11"/>
                <w:szCs w:val="11"/>
                <w:color w:val="auto"/>
                <w:w w:val="94"/>
              </w:rPr>
              <w:t>$1.98</w:t>
            </w:r>
          </w:p>
        </w:tc>
        <w:tc>
          <w:tcPr>
            <w:tcW w:w="166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gridSpan w:val="2"/>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0F243E"/>
          </w:tcPr>
          <w:p>
            <w:pPr>
              <w:spacing w:after="0"/>
              <w:rPr>
                <w:sz w:val="12"/>
                <w:szCs w:val="12"/>
                <w:color w:val="auto"/>
              </w:rPr>
            </w:pPr>
          </w:p>
        </w:tc>
        <w:tc>
          <w:tcPr>
            <w:tcW w:w="2200" w:type="dxa"/>
            <w:vAlign w:val="bottom"/>
            <w:shd w:val="clear" w:color="auto" w:fill="0F243E"/>
          </w:tcPr>
          <w:p>
            <w:pPr>
              <w:spacing w:after="0"/>
              <w:rPr>
                <w:sz w:val="12"/>
                <w:szCs w:val="12"/>
                <w:color w:val="auto"/>
              </w:rPr>
            </w:pPr>
          </w:p>
        </w:tc>
        <w:tc>
          <w:tcPr>
            <w:tcW w:w="1680" w:type="dxa"/>
            <w:vAlign w:val="bottom"/>
            <w:shd w:val="clear" w:color="auto" w:fill="0F243E"/>
          </w:tcPr>
          <w:p>
            <w:pPr>
              <w:spacing w:after="0"/>
              <w:rPr>
                <w:sz w:val="12"/>
                <w:szCs w:val="12"/>
                <w:color w:val="auto"/>
              </w:rPr>
            </w:pPr>
          </w:p>
        </w:tc>
        <w:tc>
          <w:tcPr>
            <w:tcW w:w="1680" w:type="dxa"/>
            <w:vAlign w:val="bottom"/>
            <w:gridSpan w:val="2"/>
            <w:shd w:val="clear" w:color="auto" w:fill="0F243E"/>
          </w:tcPr>
          <w:p>
            <w:pPr>
              <w:jc w:val="center"/>
              <w:spacing w:after="0"/>
              <w:rPr>
                <w:sz w:val="20"/>
                <w:szCs w:val="20"/>
                <w:color w:val="auto"/>
              </w:rPr>
            </w:pPr>
            <w:r>
              <w:rPr>
                <w:rFonts w:ascii="Arial" w:cs="Arial" w:eastAsia="Arial" w:hAnsi="Arial"/>
                <w:sz w:val="11"/>
                <w:szCs w:val="11"/>
                <w:b w:val="1"/>
                <w:bCs w:val="1"/>
                <w:color w:val="FFFFFF"/>
                <w:w w:val="96"/>
              </w:rPr>
              <w:t>Six Months Ended June 30,</w:t>
            </w:r>
          </w:p>
        </w:tc>
        <w:tc>
          <w:tcPr>
            <w:tcW w:w="1660" w:type="dxa"/>
            <w:vAlign w:val="bottom"/>
            <w:shd w:val="clear" w:color="auto" w:fill="0F243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40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 except per share value)</w:t>
            </w:r>
          </w:p>
        </w:tc>
        <w:tc>
          <w:tcPr>
            <w:tcW w:w="2200" w:type="dxa"/>
            <w:vAlign w:val="bottom"/>
            <w:shd w:val="clear" w:color="auto" w:fill="0F243E"/>
          </w:tcPr>
          <w:p>
            <w:pPr>
              <w:spacing w:after="0"/>
              <w:rPr>
                <w:sz w:val="14"/>
                <w:szCs w:val="14"/>
                <w:color w:val="auto"/>
              </w:rPr>
            </w:pPr>
          </w:p>
        </w:tc>
        <w:tc>
          <w:tcPr>
            <w:tcW w:w="1680" w:type="dxa"/>
            <w:vAlign w:val="bottom"/>
            <w:shd w:val="clear" w:color="auto" w:fill="0F243E"/>
          </w:tcPr>
          <w:p>
            <w:pPr>
              <w:jc w:val="center"/>
              <w:spacing w:after="0"/>
              <w:rPr>
                <w:sz w:val="20"/>
                <w:szCs w:val="20"/>
                <w:color w:val="auto"/>
              </w:rPr>
            </w:pPr>
            <w:r>
              <w:rPr>
                <w:rFonts w:ascii="Arial" w:cs="Arial" w:eastAsia="Arial" w:hAnsi="Arial"/>
                <w:sz w:val="11"/>
                <w:szCs w:val="11"/>
                <w:b w:val="1"/>
                <w:bCs w:val="1"/>
                <w:color w:val="FFFFFF"/>
                <w:w w:val="97"/>
              </w:rPr>
              <w:t>2021</w:t>
            </w:r>
          </w:p>
        </w:tc>
        <w:tc>
          <w:tcPr>
            <w:tcW w:w="660" w:type="dxa"/>
            <w:vAlign w:val="bottom"/>
            <w:shd w:val="clear" w:color="auto" w:fill="0F243E"/>
          </w:tcPr>
          <w:p>
            <w:pPr>
              <w:spacing w:after="0"/>
              <w:rPr>
                <w:sz w:val="14"/>
                <w:szCs w:val="14"/>
                <w:color w:val="auto"/>
              </w:rPr>
            </w:pPr>
          </w:p>
        </w:tc>
        <w:tc>
          <w:tcPr>
            <w:tcW w:w="1020" w:type="dxa"/>
            <w:vAlign w:val="bottom"/>
            <w:shd w:val="clear" w:color="auto" w:fill="0F243E"/>
          </w:tcPr>
          <w:p>
            <w:pPr>
              <w:jc w:val="center"/>
              <w:ind w:right="606"/>
              <w:spacing w:after="0"/>
              <w:rPr>
                <w:sz w:val="20"/>
                <w:szCs w:val="20"/>
                <w:color w:val="auto"/>
              </w:rPr>
            </w:pPr>
            <w:r>
              <w:rPr>
                <w:rFonts w:ascii="Arial" w:cs="Arial" w:eastAsia="Arial" w:hAnsi="Arial"/>
                <w:sz w:val="11"/>
                <w:szCs w:val="11"/>
                <w:b w:val="1"/>
                <w:bCs w:val="1"/>
                <w:color w:val="FFFFFF"/>
                <w:w w:val="97"/>
              </w:rPr>
              <w:t>2020</w:t>
            </w:r>
          </w:p>
        </w:tc>
        <w:tc>
          <w:tcPr>
            <w:tcW w:w="1660" w:type="dxa"/>
            <w:vAlign w:val="bottom"/>
            <w:shd w:val="clear" w:color="auto" w:fill="0F243E"/>
          </w:tcPr>
          <w:p>
            <w:pPr>
              <w:jc w:val="center"/>
              <w:spacing w:after="0"/>
              <w:rPr>
                <w:sz w:val="20"/>
                <w:szCs w:val="20"/>
                <w:color w:val="auto"/>
              </w:rPr>
            </w:pPr>
            <w:r>
              <w:rPr>
                <w:rFonts w:ascii="Arial" w:cs="Arial" w:eastAsia="Arial" w:hAnsi="Arial"/>
                <w:sz w:val="12"/>
                <w:szCs w:val="12"/>
                <w:b w:val="1"/>
                <w:bCs w:val="1"/>
                <w:color w:val="FFFFFF"/>
                <w:w w:val="98"/>
              </w:rPr>
              <w:t>Source</w:t>
            </w:r>
          </w:p>
        </w:tc>
        <w:tc>
          <w:tcPr>
            <w:tcW w:w="0" w:type="dxa"/>
            <w:vAlign w:val="bottom"/>
          </w:tcPr>
          <w:p>
            <w:pPr>
              <w:spacing w:after="0"/>
              <w:rPr>
                <w:sz w:val="1"/>
                <w:szCs w:val="1"/>
                <w:color w:val="auto"/>
              </w:rPr>
            </w:pPr>
          </w:p>
        </w:tc>
      </w:tr>
      <w:tr>
        <w:trPr>
          <w:trHeight w:val="149"/>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w:t>
            </w:r>
          </w:p>
        </w:tc>
        <w:tc>
          <w:tcPr>
            <w:tcW w:w="3880" w:type="dxa"/>
            <w:vAlign w:val="bottom"/>
            <w:gridSpan w:val="2"/>
            <w:shd w:val="clear" w:color="auto" w:fill="CCCCCC"/>
          </w:tcPr>
          <w:p>
            <w:pPr>
              <w:jc w:val="center"/>
              <w:ind w:left="2146"/>
              <w:spacing w:after="0"/>
              <w:rPr>
                <w:sz w:val="20"/>
                <w:szCs w:val="20"/>
                <w:color w:val="auto"/>
              </w:rPr>
            </w:pPr>
            <w:r>
              <w:rPr>
                <w:rFonts w:ascii="Arial" w:cs="Arial" w:eastAsia="Arial" w:hAnsi="Arial"/>
                <w:sz w:val="11"/>
                <w:szCs w:val="11"/>
                <w:color w:val="auto"/>
              </w:rPr>
              <w:t>$74.3</w:t>
            </w:r>
          </w:p>
        </w:tc>
        <w:tc>
          <w:tcPr>
            <w:tcW w:w="660" w:type="dxa"/>
            <w:vAlign w:val="bottom"/>
            <w:shd w:val="clear" w:color="auto" w:fill="CCCCCC"/>
          </w:tcPr>
          <w:p>
            <w:pPr>
              <w:spacing w:after="0"/>
              <w:rPr>
                <w:sz w:val="12"/>
                <w:szCs w:val="12"/>
                <w:color w:val="auto"/>
              </w:rPr>
            </w:pPr>
          </w:p>
        </w:tc>
        <w:tc>
          <w:tcPr>
            <w:tcW w:w="1020" w:type="dxa"/>
            <w:vAlign w:val="bottom"/>
            <w:shd w:val="clear" w:color="auto" w:fill="CCCCCC"/>
          </w:tcPr>
          <w:p>
            <w:pPr>
              <w:jc w:val="center"/>
              <w:ind w:right="626"/>
              <w:spacing w:after="0"/>
              <w:rPr>
                <w:sz w:val="20"/>
                <w:szCs w:val="20"/>
                <w:color w:val="auto"/>
              </w:rPr>
            </w:pPr>
            <w:r>
              <w:rPr>
                <w:rFonts w:ascii="Arial" w:cs="Arial" w:eastAsia="Arial" w:hAnsi="Arial"/>
                <w:sz w:val="11"/>
                <w:szCs w:val="11"/>
                <w:color w:val="auto"/>
                <w:w w:val="94"/>
              </w:rPr>
              <w:t>$80.2</w:t>
            </w:r>
          </w:p>
        </w:tc>
        <w:tc>
          <w:tcPr>
            <w:tcW w:w="16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spacing w:after="0"/>
              <w:rPr>
                <w:sz w:val="13"/>
                <w:szCs w:val="13"/>
                <w:color w:val="auto"/>
              </w:rPr>
            </w:pPr>
          </w:p>
        </w:tc>
        <w:tc>
          <w:tcPr>
            <w:tcW w:w="660" w:type="dxa"/>
            <w:vAlign w:val="bottom"/>
            <w:shd w:val="clear" w:color="auto" w:fill="CCCCCC"/>
          </w:tcPr>
          <w:p>
            <w:pPr>
              <w:spacing w:after="0"/>
              <w:rPr>
                <w:sz w:val="13"/>
                <w:szCs w:val="13"/>
                <w:color w:val="auto"/>
              </w:rPr>
            </w:pPr>
          </w:p>
        </w:tc>
        <w:tc>
          <w:tcPr>
            <w:tcW w:w="1020" w:type="dxa"/>
            <w:vAlign w:val="bottom"/>
            <w:shd w:val="clear" w:color="auto" w:fill="CCCCCC"/>
          </w:tcPr>
          <w:p>
            <w:pPr>
              <w:spacing w:after="0"/>
              <w:rPr>
                <w:sz w:val="13"/>
                <w:szCs w:val="13"/>
                <w:color w:val="auto"/>
              </w:rPr>
            </w:pPr>
          </w:p>
        </w:tc>
        <w:tc>
          <w:tcPr>
            <w:tcW w:w="166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080" w:type="dxa"/>
            <w:vAlign w:val="bottom"/>
            <w:vMerge w:val="restart"/>
            <w:shd w:val="clear" w:color="auto" w:fill="CCCCCC"/>
          </w:tcPr>
          <w:p>
            <w:pPr>
              <w:ind w:left="180"/>
              <w:spacing w:after="0"/>
              <w:rPr>
                <w:sz w:val="20"/>
                <w:szCs w:val="20"/>
                <w:color w:val="auto"/>
              </w:rPr>
            </w:pPr>
            <w:r>
              <w:rPr>
                <w:rFonts w:ascii="Arial" w:cs="Arial" w:eastAsia="Arial" w:hAnsi="Arial"/>
                <w:sz w:val="11"/>
                <w:szCs w:val="11"/>
                <w:color w:val="auto"/>
              </w:rPr>
              <w:t>+ Non-cash amortization charges</w:t>
            </w:r>
          </w:p>
        </w:tc>
        <w:tc>
          <w:tcPr>
            <w:tcW w:w="2200" w:type="dxa"/>
            <w:vAlign w:val="bottom"/>
            <w:shd w:val="clear" w:color="auto" w:fill="CCCCCC"/>
          </w:tcPr>
          <w:p>
            <w:pPr>
              <w:spacing w:after="0"/>
              <w:rPr>
                <w:sz w:val="11"/>
                <w:szCs w:val="11"/>
                <w:color w:val="auto"/>
              </w:rPr>
            </w:pPr>
          </w:p>
        </w:tc>
        <w:tc>
          <w:tcPr>
            <w:tcW w:w="1680" w:type="dxa"/>
            <w:vAlign w:val="bottom"/>
            <w:vMerge w:val="restart"/>
            <w:shd w:val="clear" w:color="auto" w:fill="CCCCCC"/>
          </w:tcPr>
          <w:p>
            <w:pPr>
              <w:jc w:val="center"/>
              <w:spacing w:after="0"/>
              <w:rPr>
                <w:sz w:val="20"/>
                <w:szCs w:val="20"/>
                <w:color w:val="auto"/>
              </w:rPr>
            </w:pPr>
            <w:r>
              <w:rPr>
                <w:rFonts w:ascii="Arial" w:cs="Arial" w:eastAsia="Arial" w:hAnsi="Arial"/>
                <w:sz w:val="11"/>
                <w:szCs w:val="11"/>
                <w:color w:val="auto"/>
                <w:w w:val="93"/>
              </w:rPr>
              <w:t>32.1</w:t>
            </w:r>
          </w:p>
        </w:tc>
        <w:tc>
          <w:tcPr>
            <w:tcW w:w="660" w:type="dxa"/>
            <w:vAlign w:val="bottom"/>
            <w:shd w:val="clear" w:color="auto" w:fill="CCCCCC"/>
          </w:tcPr>
          <w:p>
            <w:pPr>
              <w:spacing w:after="0"/>
              <w:rPr>
                <w:sz w:val="11"/>
                <w:szCs w:val="11"/>
                <w:color w:val="auto"/>
              </w:rPr>
            </w:pPr>
          </w:p>
        </w:tc>
        <w:tc>
          <w:tcPr>
            <w:tcW w:w="1020" w:type="dxa"/>
            <w:vAlign w:val="bottom"/>
            <w:vMerge w:val="restart"/>
            <w:shd w:val="clear" w:color="auto" w:fill="CCCCCC"/>
          </w:tcPr>
          <w:p>
            <w:pPr>
              <w:jc w:val="center"/>
              <w:ind w:right="626"/>
              <w:spacing w:after="0"/>
              <w:rPr>
                <w:sz w:val="20"/>
                <w:szCs w:val="20"/>
                <w:color w:val="auto"/>
              </w:rPr>
            </w:pPr>
            <w:r>
              <w:rPr>
                <w:rFonts w:ascii="Arial" w:cs="Arial" w:eastAsia="Arial" w:hAnsi="Arial"/>
                <w:sz w:val="11"/>
                <w:szCs w:val="11"/>
                <w:color w:val="auto"/>
              </w:rPr>
              <w:t>31.3</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Intangible Asset (IA) Amortization,</w:t>
            </w:r>
          </w:p>
        </w:tc>
        <w:tc>
          <w:tcPr>
            <w:tcW w:w="0" w:type="dxa"/>
            <w:vAlign w:val="bottom"/>
          </w:tcPr>
          <w:p>
            <w:pPr>
              <w:spacing w:after="0"/>
              <w:rPr>
                <w:sz w:val="1"/>
                <w:szCs w:val="1"/>
                <w:color w:val="auto"/>
              </w:rPr>
            </w:pPr>
          </w:p>
        </w:tc>
      </w:tr>
      <w:tr>
        <w:trPr>
          <w:trHeight w:val="76"/>
        </w:trPr>
        <w:tc>
          <w:tcPr>
            <w:tcW w:w="4080" w:type="dxa"/>
            <w:vAlign w:val="bottom"/>
            <w:vMerge w:val="continue"/>
            <w:shd w:val="clear" w:color="auto" w:fill="CCCCCC"/>
          </w:tcPr>
          <w:p>
            <w:pPr>
              <w:spacing w:after="0"/>
              <w:rPr>
                <w:sz w:val="6"/>
                <w:szCs w:val="6"/>
                <w:color w:val="auto"/>
              </w:rPr>
            </w:pPr>
          </w:p>
        </w:tc>
        <w:tc>
          <w:tcPr>
            <w:tcW w:w="2200" w:type="dxa"/>
            <w:vAlign w:val="bottom"/>
            <w:shd w:val="clear" w:color="auto" w:fill="CCCCCC"/>
          </w:tcPr>
          <w:p>
            <w:pPr>
              <w:spacing w:after="0"/>
              <w:rPr>
                <w:sz w:val="6"/>
                <w:szCs w:val="6"/>
                <w:color w:val="auto"/>
              </w:rPr>
            </w:pPr>
          </w:p>
        </w:tc>
        <w:tc>
          <w:tcPr>
            <w:tcW w:w="1680" w:type="dxa"/>
            <w:vAlign w:val="bottom"/>
            <w:vMerge w:val="continue"/>
            <w:shd w:val="clear" w:color="auto" w:fill="CCCCCC"/>
          </w:tcPr>
          <w:p>
            <w:pPr>
              <w:spacing w:after="0"/>
              <w:rPr>
                <w:sz w:val="6"/>
                <w:szCs w:val="6"/>
                <w:color w:val="auto"/>
              </w:rPr>
            </w:pPr>
          </w:p>
        </w:tc>
        <w:tc>
          <w:tcPr>
            <w:tcW w:w="660" w:type="dxa"/>
            <w:vAlign w:val="bottom"/>
            <w:shd w:val="clear" w:color="auto" w:fill="CCCCCC"/>
          </w:tcPr>
          <w:p>
            <w:pPr>
              <w:spacing w:after="0"/>
              <w:rPr>
                <w:sz w:val="6"/>
                <w:szCs w:val="6"/>
                <w:color w:val="auto"/>
              </w:rPr>
            </w:pPr>
          </w:p>
        </w:tc>
        <w:tc>
          <w:tcPr>
            <w:tcW w:w="1020" w:type="dxa"/>
            <w:vAlign w:val="bottom"/>
            <w:vMerge w:val="continue"/>
            <w:shd w:val="clear" w:color="auto" w:fill="CCCCCC"/>
          </w:tcPr>
          <w:p>
            <w:pPr>
              <w:spacing w:after="0"/>
              <w:rPr>
                <w:sz w:val="6"/>
                <w:szCs w:val="6"/>
                <w:color w:val="auto"/>
              </w:rPr>
            </w:pPr>
          </w:p>
        </w:tc>
        <w:tc>
          <w:tcPr>
            <w:tcW w:w="1660" w:type="dxa"/>
            <w:vAlign w:val="bottom"/>
            <w:vMerge w:val="restart"/>
            <w:shd w:val="clear" w:color="auto" w:fill="CCCCCC"/>
          </w:tcPr>
          <w:p>
            <w:pPr>
              <w:jc w:val="center"/>
              <w:spacing w:after="0"/>
              <w:rPr>
                <w:sz w:val="20"/>
                <w:szCs w:val="20"/>
                <w:color w:val="auto"/>
              </w:rPr>
            </w:pPr>
            <w:r>
              <w:rPr>
                <w:rFonts w:ascii="Arial" w:cs="Arial" w:eastAsia="Arial" w:hAnsi="Arial"/>
                <w:sz w:val="11"/>
                <w:szCs w:val="11"/>
                <w:color w:val="auto"/>
                <w:w w:val="98"/>
              </w:rPr>
              <w:t>Other Income</w:t>
            </w:r>
          </w:p>
        </w:tc>
        <w:tc>
          <w:tcPr>
            <w:tcW w:w="0" w:type="dxa"/>
            <w:vAlign w:val="bottom"/>
          </w:tcPr>
          <w:p>
            <w:pPr>
              <w:spacing w:after="0"/>
              <w:rPr>
                <w:sz w:val="1"/>
                <w:szCs w:val="1"/>
                <w:color w:val="auto"/>
              </w:rPr>
            </w:pPr>
          </w:p>
        </w:tc>
      </w:tr>
      <w:tr>
        <w:trPr>
          <w:trHeight w:val="54"/>
        </w:trPr>
        <w:tc>
          <w:tcPr>
            <w:tcW w:w="4080" w:type="dxa"/>
            <w:vAlign w:val="bottom"/>
            <w:shd w:val="clear" w:color="auto" w:fill="CCCCCC"/>
          </w:tcPr>
          <w:p>
            <w:pPr>
              <w:spacing w:after="0"/>
              <w:rPr>
                <w:sz w:val="4"/>
                <w:szCs w:val="4"/>
                <w:color w:val="auto"/>
              </w:rPr>
            </w:pPr>
          </w:p>
        </w:tc>
        <w:tc>
          <w:tcPr>
            <w:tcW w:w="2200" w:type="dxa"/>
            <w:vAlign w:val="bottom"/>
            <w:shd w:val="clear" w:color="auto" w:fill="CCCCCC"/>
          </w:tcPr>
          <w:p>
            <w:pPr>
              <w:spacing w:after="0"/>
              <w:rPr>
                <w:sz w:val="4"/>
                <w:szCs w:val="4"/>
                <w:color w:val="auto"/>
              </w:rPr>
            </w:pPr>
          </w:p>
        </w:tc>
        <w:tc>
          <w:tcPr>
            <w:tcW w:w="1680" w:type="dxa"/>
            <w:vAlign w:val="bottom"/>
            <w:shd w:val="clear" w:color="auto" w:fill="CCCCCC"/>
          </w:tcPr>
          <w:p>
            <w:pPr>
              <w:spacing w:after="0"/>
              <w:rPr>
                <w:sz w:val="4"/>
                <w:szCs w:val="4"/>
                <w:color w:val="auto"/>
              </w:rPr>
            </w:pPr>
          </w:p>
        </w:tc>
        <w:tc>
          <w:tcPr>
            <w:tcW w:w="660" w:type="dxa"/>
            <w:vAlign w:val="bottom"/>
            <w:shd w:val="clear" w:color="auto" w:fill="CCCCCC"/>
          </w:tcPr>
          <w:p>
            <w:pPr>
              <w:spacing w:after="0"/>
              <w:rPr>
                <w:sz w:val="4"/>
                <w:szCs w:val="4"/>
                <w:color w:val="auto"/>
              </w:rPr>
            </w:pPr>
          </w:p>
        </w:tc>
        <w:tc>
          <w:tcPr>
            <w:tcW w:w="1020" w:type="dxa"/>
            <w:vAlign w:val="bottom"/>
            <w:shd w:val="clear" w:color="auto" w:fill="CCCCCC"/>
          </w:tcPr>
          <w:p>
            <w:pPr>
              <w:spacing w:after="0"/>
              <w:rPr>
                <w:sz w:val="4"/>
                <w:szCs w:val="4"/>
                <w:color w:val="auto"/>
              </w:rPr>
            </w:pPr>
          </w:p>
        </w:tc>
        <w:tc>
          <w:tcPr>
            <w:tcW w:w="1660" w:type="dxa"/>
            <w:vAlign w:val="bottom"/>
            <w:vMerge w:val="continue"/>
            <w:shd w:val="clear" w:color="auto" w:fill="CCCCCC"/>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1.7</w:t>
            </w:r>
          </w:p>
        </w:tc>
        <w:tc>
          <w:tcPr>
            <w:tcW w:w="660" w:type="dxa"/>
            <w:vAlign w:val="bottom"/>
            <w:shd w:val="clear" w:color="auto" w:fill="CCCCCC"/>
          </w:tcPr>
          <w:p>
            <w:pPr>
              <w:spacing w:after="0"/>
              <w:rPr>
                <w:sz w:val="13"/>
                <w:szCs w:val="13"/>
                <w:color w:val="auto"/>
              </w:rPr>
            </w:pPr>
          </w:p>
        </w:tc>
        <w:tc>
          <w:tcPr>
            <w:tcW w:w="1020" w:type="dxa"/>
            <w:vAlign w:val="bottom"/>
            <w:shd w:val="clear" w:color="auto" w:fill="CCCCCC"/>
          </w:tcPr>
          <w:p>
            <w:pPr>
              <w:jc w:val="center"/>
              <w:ind w:right="626"/>
              <w:spacing w:after="0"/>
              <w:rPr>
                <w:sz w:val="20"/>
                <w:szCs w:val="20"/>
                <w:color w:val="auto"/>
              </w:rPr>
            </w:pPr>
            <w:r>
              <w:rPr>
                <w:rFonts w:ascii="Arial" w:cs="Arial" w:eastAsia="Arial" w:hAnsi="Arial"/>
                <w:sz w:val="11"/>
                <w:szCs w:val="11"/>
                <w:color w:val="auto"/>
                <w:w w:val="91"/>
              </w:rPr>
              <w:t>1.1</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COGS</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0.3</w:t>
            </w:r>
          </w:p>
        </w:tc>
        <w:tc>
          <w:tcPr>
            <w:tcW w:w="660" w:type="dxa"/>
            <w:vAlign w:val="bottom"/>
            <w:shd w:val="clear" w:color="auto" w:fill="CCCCCC"/>
          </w:tcPr>
          <w:p>
            <w:pPr>
              <w:spacing w:after="0"/>
              <w:rPr>
                <w:sz w:val="13"/>
                <w:szCs w:val="13"/>
                <w:color w:val="auto"/>
              </w:rPr>
            </w:pPr>
          </w:p>
        </w:tc>
        <w:tc>
          <w:tcPr>
            <w:tcW w:w="1020" w:type="dxa"/>
            <w:vAlign w:val="bottom"/>
            <w:shd w:val="clear" w:color="auto" w:fill="CCCCCC"/>
          </w:tcPr>
          <w:p>
            <w:pPr>
              <w:jc w:val="center"/>
              <w:ind w:right="626"/>
              <w:spacing w:after="0"/>
              <w:rPr>
                <w:sz w:val="20"/>
                <w:szCs w:val="20"/>
                <w:color w:val="auto"/>
              </w:rPr>
            </w:pPr>
            <w:r>
              <w:rPr>
                <w:rFonts w:ascii="Arial" w:cs="Arial" w:eastAsia="Arial" w:hAnsi="Arial"/>
                <w:sz w:val="11"/>
                <w:szCs w:val="11"/>
                <w:color w:val="auto"/>
                <w:w w:val="90"/>
              </w:rPr>
              <w:t>—</w:t>
            </w: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7"/>
              </w:rPr>
              <w:t>SG&amp;A</w:t>
            </w:r>
          </w:p>
        </w:tc>
        <w:tc>
          <w:tcPr>
            <w:tcW w:w="0" w:type="dxa"/>
            <w:vAlign w:val="bottom"/>
          </w:tcPr>
          <w:p>
            <w:pPr>
              <w:spacing w:after="0"/>
              <w:rPr>
                <w:sz w:val="1"/>
                <w:szCs w:val="1"/>
                <w:color w:val="auto"/>
              </w:rPr>
            </w:pPr>
          </w:p>
        </w:tc>
      </w:tr>
      <w:tr>
        <w:trPr>
          <w:trHeight w:val="155"/>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Tax effect</w:t>
            </w:r>
          </w:p>
        </w:tc>
        <w:tc>
          <w:tcPr>
            <w:tcW w:w="2200" w:type="dxa"/>
            <w:vAlign w:val="bottom"/>
            <w:tcBorders>
              <w:bottom w:val="single" w:sz="8" w:color="CCCCCC"/>
            </w:tcBorders>
            <w:shd w:val="clear" w:color="auto" w:fill="CCCCCC"/>
          </w:tcPr>
          <w:p>
            <w:pPr>
              <w:spacing w:after="0"/>
              <w:rPr>
                <w:sz w:val="13"/>
                <w:szCs w:val="13"/>
                <w:color w:val="auto"/>
              </w:rPr>
            </w:pPr>
          </w:p>
        </w:tc>
        <w:tc>
          <w:tcPr>
            <w:tcW w:w="16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rPr>
              <w:t>(6.8)</w:t>
            </w:r>
          </w:p>
        </w:tc>
        <w:tc>
          <w:tcPr>
            <w:tcW w:w="660" w:type="dxa"/>
            <w:vAlign w:val="bottom"/>
            <w:tcBorders>
              <w:bottom w:val="single" w:sz="8" w:color="auto"/>
            </w:tcBorders>
            <w:shd w:val="clear" w:color="auto" w:fill="CCCCCC"/>
          </w:tcPr>
          <w:p>
            <w:pPr>
              <w:spacing w:after="0"/>
              <w:rPr>
                <w:sz w:val="13"/>
                <w:szCs w:val="13"/>
                <w:color w:val="auto"/>
              </w:rPr>
            </w:pPr>
          </w:p>
        </w:tc>
        <w:tc>
          <w:tcPr>
            <w:tcW w:w="1020" w:type="dxa"/>
            <w:vAlign w:val="bottom"/>
            <w:tcBorders>
              <w:bottom w:val="single" w:sz="8" w:color="auto"/>
            </w:tcBorders>
            <w:shd w:val="clear" w:color="auto" w:fill="CCCCCC"/>
          </w:tcPr>
          <w:p>
            <w:pPr>
              <w:jc w:val="center"/>
              <w:ind w:right="626"/>
              <w:spacing w:after="0"/>
              <w:rPr>
                <w:sz w:val="20"/>
                <w:szCs w:val="20"/>
                <w:color w:val="auto"/>
              </w:rPr>
            </w:pPr>
            <w:r>
              <w:rPr>
                <w:rFonts w:ascii="Arial" w:cs="Arial" w:eastAsia="Arial" w:hAnsi="Arial"/>
                <w:sz w:val="11"/>
                <w:szCs w:val="11"/>
                <w:color w:val="auto"/>
                <w:w w:val="97"/>
              </w:rPr>
              <w:t>(6.6)</w:t>
            </w:r>
          </w:p>
        </w:tc>
        <w:tc>
          <w:tcPr>
            <w:tcW w:w="1660" w:type="dxa"/>
            <w:vAlign w:val="bottom"/>
            <w:tcBorders>
              <w:bottom w:val="single" w:sz="8" w:color="CCCCCC"/>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2200" w:type="dxa"/>
            <w:vAlign w:val="bottom"/>
            <w:tcBorders>
              <w:bottom w:val="single" w:sz="8" w:color="CCCCCC"/>
            </w:tcBorders>
            <w:shd w:val="clear" w:color="auto" w:fill="CCCCCC"/>
          </w:tcPr>
          <w:p>
            <w:pPr>
              <w:spacing w:after="0"/>
              <w:rPr>
                <w:sz w:val="11"/>
                <w:szCs w:val="11"/>
                <w:color w:val="auto"/>
              </w:rPr>
            </w:pPr>
          </w:p>
        </w:tc>
        <w:tc>
          <w:tcPr>
            <w:tcW w:w="16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rPr>
              <w:t>$27.3</w:t>
            </w:r>
          </w:p>
        </w:tc>
        <w:tc>
          <w:tcPr>
            <w:tcW w:w="660" w:type="dxa"/>
            <w:vAlign w:val="bottom"/>
            <w:tcBorders>
              <w:bottom w:val="single" w:sz="8" w:color="auto"/>
            </w:tcBorders>
            <w:shd w:val="clear" w:color="auto" w:fill="CCCCCC"/>
          </w:tcPr>
          <w:p>
            <w:pPr>
              <w:spacing w:after="0"/>
              <w:rPr>
                <w:sz w:val="11"/>
                <w:szCs w:val="11"/>
                <w:color w:val="auto"/>
              </w:rPr>
            </w:pPr>
          </w:p>
        </w:tc>
        <w:tc>
          <w:tcPr>
            <w:tcW w:w="1020" w:type="dxa"/>
            <w:vAlign w:val="bottom"/>
            <w:tcBorders>
              <w:bottom w:val="single" w:sz="8" w:color="auto"/>
            </w:tcBorders>
            <w:shd w:val="clear" w:color="auto" w:fill="CCCCCC"/>
          </w:tcPr>
          <w:p>
            <w:pPr>
              <w:jc w:val="center"/>
              <w:ind w:right="626"/>
              <w:spacing w:after="0"/>
              <w:rPr>
                <w:sz w:val="20"/>
                <w:szCs w:val="20"/>
                <w:color w:val="auto"/>
              </w:rPr>
            </w:pPr>
            <w:r>
              <w:rPr>
                <w:rFonts w:ascii="Arial" w:cs="Arial" w:eastAsia="Arial" w:hAnsi="Arial"/>
                <w:sz w:val="11"/>
                <w:szCs w:val="11"/>
                <w:color w:val="auto"/>
                <w:w w:val="94"/>
              </w:rPr>
              <w:t>$25.8</w:t>
            </w:r>
          </w:p>
        </w:tc>
        <w:tc>
          <w:tcPr>
            <w:tcW w:w="1660" w:type="dxa"/>
            <w:vAlign w:val="bottom"/>
            <w:tcBorders>
              <w:bottom w:val="single" w:sz="8" w:color="CCCCCC"/>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Adjusted net income</w:t>
            </w:r>
          </w:p>
        </w:tc>
        <w:tc>
          <w:tcPr>
            <w:tcW w:w="2200" w:type="dxa"/>
            <w:vAlign w:val="bottom"/>
            <w:tcBorders>
              <w:bottom w:val="single" w:sz="8" w:color="CCCCCC"/>
            </w:tcBorders>
            <w:shd w:val="clear" w:color="auto" w:fill="CCCCCC"/>
          </w:tcPr>
          <w:p>
            <w:pPr>
              <w:spacing w:after="0"/>
              <w:rPr>
                <w:sz w:val="11"/>
                <w:szCs w:val="11"/>
                <w:color w:val="auto"/>
              </w:rPr>
            </w:pPr>
          </w:p>
        </w:tc>
        <w:tc>
          <w:tcPr>
            <w:tcW w:w="168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w w:val="94"/>
              </w:rPr>
              <w:t>$101.6</w:t>
            </w:r>
          </w:p>
        </w:tc>
        <w:tc>
          <w:tcPr>
            <w:tcW w:w="660" w:type="dxa"/>
            <w:vAlign w:val="bottom"/>
            <w:tcBorders>
              <w:bottom w:val="single" w:sz="8" w:color="auto"/>
            </w:tcBorders>
            <w:shd w:val="clear" w:color="auto" w:fill="CCCCCC"/>
          </w:tcPr>
          <w:p>
            <w:pPr>
              <w:spacing w:after="0"/>
              <w:rPr>
                <w:sz w:val="11"/>
                <w:szCs w:val="11"/>
                <w:color w:val="auto"/>
              </w:rPr>
            </w:pPr>
          </w:p>
        </w:tc>
        <w:tc>
          <w:tcPr>
            <w:tcW w:w="1020" w:type="dxa"/>
            <w:vAlign w:val="bottom"/>
            <w:tcBorders>
              <w:bottom w:val="single" w:sz="8" w:color="auto"/>
            </w:tcBorders>
            <w:shd w:val="clear" w:color="auto" w:fill="CCCCCC"/>
          </w:tcPr>
          <w:p>
            <w:pPr>
              <w:jc w:val="center"/>
              <w:ind w:right="626"/>
              <w:spacing w:after="0"/>
              <w:rPr>
                <w:sz w:val="20"/>
                <w:szCs w:val="20"/>
                <w:color w:val="auto"/>
              </w:rPr>
            </w:pPr>
            <w:r>
              <w:rPr>
                <w:rFonts w:ascii="Arial" w:cs="Arial" w:eastAsia="Arial" w:hAnsi="Arial"/>
                <w:sz w:val="11"/>
                <w:szCs w:val="11"/>
                <w:color w:val="auto"/>
              </w:rPr>
              <w:t>$106.0</w:t>
            </w:r>
          </w:p>
        </w:tc>
        <w:tc>
          <w:tcPr>
            <w:tcW w:w="1660" w:type="dxa"/>
            <w:vAlign w:val="bottom"/>
            <w:tcBorders>
              <w:bottom w:val="single" w:sz="8" w:color="CCCCCC"/>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net income per diluted share</w:t>
            </w:r>
          </w:p>
        </w:tc>
        <w:tc>
          <w:tcPr>
            <w:tcW w:w="2200" w:type="dxa"/>
            <w:vAlign w:val="bottom"/>
            <w:shd w:val="clear" w:color="auto" w:fill="CCCCCC"/>
          </w:tcPr>
          <w:p>
            <w:pPr>
              <w:spacing w:after="0"/>
              <w:rPr>
                <w:sz w:val="11"/>
                <w:szCs w:val="11"/>
                <w:color w:val="auto"/>
              </w:rPr>
            </w:pPr>
          </w:p>
        </w:tc>
        <w:tc>
          <w:tcPr>
            <w:tcW w:w="168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$1.87</w:t>
            </w:r>
          </w:p>
        </w:tc>
        <w:tc>
          <w:tcPr>
            <w:tcW w:w="660" w:type="dxa"/>
            <w:vAlign w:val="bottom"/>
            <w:shd w:val="clear" w:color="auto" w:fill="CCCCCC"/>
          </w:tcPr>
          <w:p>
            <w:pPr>
              <w:spacing w:after="0"/>
              <w:rPr>
                <w:sz w:val="11"/>
                <w:szCs w:val="11"/>
                <w:color w:val="auto"/>
              </w:rPr>
            </w:pPr>
          </w:p>
        </w:tc>
        <w:tc>
          <w:tcPr>
            <w:tcW w:w="1020" w:type="dxa"/>
            <w:vAlign w:val="bottom"/>
            <w:shd w:val="clear" w:color="auto" w:fill="CCCCCC"/>
          </w:tcPr>
          <w:p>
            <w:pPr>
              <w:jc w:val="center"/>
              <w:ind w:right="626"/>
              <w:spacing w:after="0"/>
              <w:rPr>
                <w:sz w:val="20"/>
                <w:szCs w:val="20"/>
                <w:color w:val="auto"/>
              </w:rPr>
            </w:pPr>
            <w:r>
              <w:rPr>
                <w:rFonts w:ascii="Arial" w:cs="Arial" w:eastAsia="Arial" w:hAnsi="Arial"/>
                <w:sz w:val="11"/>
                <w:szCs w:val="11"/>
                <w:color w:val="auto"/>
                <w:w w:val="94"/>
              </w:rPr>
              <w:t>$1.99</w:t>
            </w:r>
          </w:p>
        </w:tc>
        <w:tc>
          <w:tcPr>
            <w:tcW w:w="166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08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340" w:type="dxa"/>
            <w:vAlign w:val="bottom"/>
            <w:gridSpan w:val="2"/>
          </w:tcPr>
          <w:p>
            <w:pPr>
              <w:spacing w:after="0"/>
              <w:rPr>
                <w:sz w:val="8"/>
                <w:szCs w:val="8"/>
                <w:color w:val="auto"/>
              </w:rPr>
            </w:pPr>
          </w:p>
        </w:tc>
        <w:tc>
          <w:tcPr>
            <w:tcW w:w="10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080" w:type="dxa"/>
            <w:vAlign w:val="bottom"/>
            <w:shd w:val="clear" w:color="auto" w:fill="0F243E"/>
          </w:tcPr>
          <w:p>
            <w:pPr>
              <w:spacing w:after="0"/>
              <w:rPr>
                <w:sz w:val="10"/>
                <w:szCs w:val="10"/>
                <w:color w:val="auto"/>
              </w:rPr>
            </w:pPr>
          </w:p>
        </w:tc>
        <w:tc>
          <w:tcPr>
            <w:tcW w:w="2200" w:type="dxa"/>
            <w:vAlign w:val="bottom"/>
            <w:shd w:val="clear" w:color="auto" w:fill="0F243E"/>
          </w:tcPr>
          <w:p>
            <w:pPr>
              <w:spacing w:after="0"/>
              <w:rPr>
                <w:sz w:val="10"/>
                <w:szCs w:val="10"/>
                <w:color w:val="auto"/>
              </w:rPr>
            </w:pPr>
          </w:p>
        </w:tc>
        <w:tc>
          <w:tcPr>
            <w:tcW w:w="2340" w:type="dxa"/>
            <w:vAlign w:val="bottom"/>
            <w:gridSpan w:val="2"/>
            <w:shd w:val="clear" w:color="auto" w:fill="0F243E"/>
          </w:tcPr>
          <w:p>
            <w:pPr>
              <w:jc w:val="center"/>
              <w:ind w:left="966"/>
              <w:spacing w:after="0" w:line="117" w:lineRule="exact"/>
              <w:rPr>
                <w:sz w:val="20"/>
                <w:szCs w:val="20"/>
                <w:color w:val="auto"/>
              </w:rPr>
            </w:pPr>
            <w:r>
              <w:rPr>
                <w:rFonts w:ascii="Arial" w:cs="Arial" w:eastAsia="Arial" w:hAnsi="Arial"/>
                <w:sz w:val="11"/>
                <w:szCs w:val="11"/>
                <w:b w:val="1"/>
                <w:bCs w:val="1"/>
                <w:color w:val="FFFFFF"/>
                <w:w w:val="98"/>
              </w:rPr>
              <w:t>Reaffirmed 2021 Full Year</w:t>
            </w:r>
          </w:p>
        </w:tc>
        <w:tc>
          <w:tcPr>
            <w:tcW w:w="1020" w:type="dxa"/>
            <w:vAlign w:val="bottom"/>
            <w:shd w:val="clear" w:color="auto" w:fill="0F243E"/>
          </w:tcPr>
          <w:p>
            <w:pPr>
              <w:spacing w:after="0"/>
              <w:rPr>
                <w:sz w:val="10"/>
                <w:szCs w:val="10"/>
                <w:color w:val="auto"/>
              </w:rPr>
            </w:pPr>
          </w:p>
        </w:tc>
        <w:tc>
          <w:tcPr>
            <w:tcW w:w="1660" w:type="dxa"/>
            <w:vAlign w:val="bottom"/>
            <w:vMerge w:val="restart"/>
            <w:shd w:val="clear" w:color="auto" w:fill="0F243E"/>
          </w:tcPr>
          <w:p>
            <w:pPr>
              <w:jc w:val="center"/>
              <w:spacing w:after="0"/>
              <w:rPr>
                <w:sz w:val="20"/>
                <w:szCs w:val="20"/>
                <w:color w:val="auto"/>
              </w:rPr>
            </w:pPr>
            <w:r>
              <w:rPr>
                <w:rFonts w:ascii="Arial" w:cs="Arial" w:eastAsia="Arial" w:hAnsi="Arial"/>
                <w:sz w:val="11"/>
                <w:szCs w:val="11"/>
                <w:b w:val="1"/>
                <w:bCs w:val="1"/>
                <w:color w:val="FFFFFF"/>
                <w:w w:val="96"/>
              </w:rPr>
              <w:t>Source</w:t>
            </w:r>
          </w:p>
        </w:tc>
        <w:tc>
          <w:tcPr>
            <w:tcW w:w="0" w:type="dxa"/>
            <w:vAlign w:val="bottom"/>
          </w:tcPr>
          <w:p>
            <w:pPr>
              <w:spacing w:after="0"/>
              <w:rPr>
                <w:sz w:val="1"/>
                <w:szCs w:val="1"/>
                <w:color w:val="auto"/>
              </w:rPr>
            </w:pPr>
          </w:p>
        </w:tc>
      </w:tr>
      <w:tr>
        <w:trPr>
          <w:trHeight w:val="144"/>
        </w:trPr>
        <w:tc>
          <w:tcPr>
            <w:tcW w:w="40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2200" w:type="dxa"/>
            <w:vAlign w:val="bottom"/>
            <w:shd w:val="clear" w:color="auto" w:fill="0F243E"/>
          </w:tcPr>
          <w:p>
            <w:pPr>
              <w:spacing w:after="0"/>
              <w:rPr>
                <w:sz w:val="12"/>
                <w:szCs w:val="12"/>
                <w:color w:val="auto"/>
              </w:rPr>
            </w:pPr>
          </w:p>
        </w:tc>
        <w:tc>
          <w:tcPr>
            <w:tcW w:w="2340" w:type="dxa"/>
            <w:vAlign w:val="bottom"/>
            <w:gridSpan w:val="2"/>
            <w:shd w:val="clear" w:color="auto" w:fill="0F243E"/>
          </w:tcPr>
          <w:p>
            <w:pPr>
              <w:jc w:val="center"/>
              <w:ind w:left="986"/>
              <w:spacing w:after="0"/>
              <w:rPr>
                <w:sz w:val="20"/>
                <w:szCs w:val="20"/>
                <w:color w:val="auto"/>
              </w:rPr>
            </w:pPr>
            <w:r>
              <w:rPr>
                <w:rFonts w:ascii="Arial" w:cs="Arial" w:eastAsia="Arial" w:hAnsi="Arial"/>
                <w:sz w:val="11"/>
                <w:szCs w:val="11"/>
                <w:b w:val="1"/>
                <w:bCs w:val="1"/>
                <w:color w:val="FFFFFF"/>
              </w:rPr>
              <w:t>Forecast</w:t>
            </w:r>
          </w:p>
        </w:tc>
        <w:tc>
          <w:tcPr>
            <w:tcW w:w="1020" w:type="dxa"/>
            <w:vAlign w:val="bottom"/>
            <w:shd w:val="clear" w:color="auto" w:fill="0F243E"/>
          </w:tcPr>
          <w:p>
            <w:pPr>
              <w:spacing w:after="0"/>
              <w:rPr>
                <w:sz w:val="12"/>
                <w:szCs w:val="12"/>
                <w:color w:val="auto"/>
              </w:rPr>
            </w:pPr>
          </w:p>
        </w:tc>
        <w:tc>
          <w:tcPr>
            <w:tcW w:w="1660" w:type="dxa"/>
            <w:vAlign w:val="bottom"/>
            <w:vMerge w:val="continue"/>
            <w:shd w:val="clear" w:color="auto" w:fill="0F243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w:t>
            </w:r>
          </w:p>
        </w:tc>
        <w:tc>
          <w:tcPr>
            <w:tcW w:w="4540" w:type="dxa"/>
            <w:vAlign w:val="bottom"/>
            <w:gridSpan w:val="3"/>
            <w:shd w:val="clear" w:color="auto" w:fill="CCCCCC"/>
          </w:tcPr>
          <w:p>
            <w:pPr>
              <w:jc w:val="right"/>
              <w:ind w:right="306"/>
              <w:spacing w:after="0"/>
              <w:rPr>
                <w:sz w:val="20"/>
                <w:szCs w:val="20"/>
                <w:color w:val="auto"/>
              </w:rPr>
            </w:pPr>
            <w:r>
              <w:rPr>
                <w:rFonts w:ascii="Arial" w:cs="Arial" w:eastAsia="Arial" w:hAnsi="Arial"/>
                <w:sz w:val="11"/>
                <w:szCs w:val="11"/>
                <w:color w:val="auto"/>
              </w:rPr>
              <w:t>$340 - $415</w:t>
            </w:r>
          </w:p>
        </w:tc>
        <w:tc>
          <w:tcPr>
            <w:tcW w:w="1020" w:type="dxa"/>
            <w:vAlign w:val="bottom"/>
            <w:shd w:val="clear" w:color="auto" w:fill="CCCCCC"/>
          </w:tcPr>
          <w:p>
            <w:pPr>
              <w:spacing w:after="0"/>
              <w:rPr>
                <w:sz w:val="12"/>
                <w:szCs w:val="12"/>
                <w:color w:val="auto"/>
              </w:rPr>
            </w:pPr>
          </w:p>
        </w:tc>
        <w:tc>
          <w:tcPr>
            <w:tcW w:w="1660" w:type="dxa"/>
            <w:vAlign w:val="bottom"/>
            <w:shd w:val="clear" w:color="auto" w:fill="CCCCCC"/>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80"/>
              <w:spacing w:after="0"/>
              <w:rPr>
                <w:sz w:val="20"/>
                <w:szCs w:val="20"/>
                <w:color w:val="auto"/>
              </w:rPr>
            </w:pPr>
            <w:r>
              <w:rPr>
                <w:rFonts w:ascii="Arial" w:cs="Arial" w:eastAsia="Arial" w:hAnsi="Arial"/>
                <w:sz w:val="11"/>
                <w:szCs w:val="11"/>
                <w:color w:val="auto"/>
              </w:rPr>
              <w:t>Adjustments:</w:t>
            </w:r>
          </w:p>
        </w:tc>
        <w:tc>
          <w:tcPr>
            <w:tcW w:w="2200" w:type="dxa"/>
            <w:vAlign w:val="bottom"/>
            <w:shd w:val="clear" w:color="auto" w:fill="CCCCCC"/>
          </w:tcPr>
          <w:p>
            <w:pPr>
              <w:spacing w:after="0"/>
              <w:rPr>
                <w:sz w:val="13"/>
                <w:szCs w:val="13"/>
                <w:color w:val="auto"/>
              </w:rPr>
            </w:pPr>
          </w:p>
        </w:tc>
        <w:tc>
          <w:tcPr>
            <w:tcW w:w="1680" w:type="dxa"/>
            <w:vAlign w:val="bottom"/>
            <w:shd w:val="clear" w:color="auto" w:fill="CCCCCC"/>
          </w:tcPr>
          <w:p>
            <w:pPr>
              <w:spacing w:after="0"/>
              <w:rPr>
                <w:sz w:val="13"/>
                <w:szCs w:val="13"/>
                <w:color w:val="auto"/>
              </w:rPr>
            </w:pPr>
          </w:p>
        </w:tc>
        <w:tc>
          <w:tcPr>
            <w:tcW w:w="660" w:type="dxa"/>
            <w:vAlign w:val="bottom"/>
            <w:shd w:val="clear" w:color="auto" w:fill="CCCCCC"/>
          </w:tcPr>
          <w:p>
            <w:pPr>
              <w:spacing w:after="0"/>
              <w:rPr>
                <w:sz w:val="13"/>
                <w:szCs w:val="13"/>
                <w:color w:val="auto"/>
              </w:rPr>
            </w:pPr>
          </w:p>
        </w:tc>
        <w:tc>
          <w:tcPr>
            <w:tcW w:w="1020" w:type="dxa"/>
            <w:vAlign w:val="bottom"/>
            <w:shd w:val="clear" w:color="auto" w:fill="CCCCCC"/>
          </w:tcPr>
          <w:p>
            <w:pPr>
              <w:spacing w:after="0"/>
              <w:rPr>
                <w:sz w:val="13"/>
                <w:szCs w:val="13"/>
                <w:color w:val="auto"/>
              </w:rPr>
            </w:pPr>
          </w:p>
        </w:tc>
        <w:tc>
          <w:tcPr>
            <w:tcW w:w="166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Non-cash amortization charges</w:t>
            </w:r>
          </w:p>
        </w:tc>
        <w:tc>
          <w:tcPr>
            <w:tcW w:w="2200" w:type="dxa"/>
            <w:vAlign w:val="bottom"/>
            <w:shd w:val="clear" w:color="auto" w:fill="CCCCCC"/>
          </w:tcPr>
          <w:p>
            <w:pPr>
              <w:spacing w:after="0"/>
              <w:rPr>
                <w:sz w:val="13"/>
                <w:szCs w:val="13"/>
                <w:color w:val="auto"/>
              </w:rPr>
            </w:pPr>
          </w:p>
        </w:tc>
        <w:tc>
          <w:tcPr>
            <w:tcW w:w="2340" w:type="dxa"/>
            <w:vAlign w:val="bottom"/>
            <w:gridSpan w:val="2"/>
            <w:shd w:val="clear" w:color="auto" w:fill="CCCCCC"/>
          </w:tcPr>
          <w:p>
            <w:pPr>
              <w:jc w:val="center"/>
              <w:ind w:left="966"/>
              <w:spacing w:after="0"/>
              <w:rPr>
                <w:sz w:val="20"/>
                <w:szCs w:val="20"/>
                <w:color w:val="auto"/>
              </w:rPr>
            </w:pPr>
            <w:r>
              <w:rPr>
                <w:rFonts w:ascii="Arial" w:cs="Arial" w:eastAsia="Arial" w:hAnsi="Arial"/>
                <w:sz w:val="11"/>
                <w:szCs w:val="11"/>
                <w:color w:val="auto"/>
                <w:w w:val="97"/>
              </w:rPr>
              <w:t>64</w:t>
            </w:r>
          </w:p>
        </w:tc>
        <w:tc>
          <w:tcPr>
            <w:tcW w:w="1020" w:type="dxa"/>
            <w:vAlign w:val="bottom"/>
            <w:shd w:val="clear" w:color="auto" w:fill="CCCCCC"/>
          </w:tcPr>
          <w:p>
            <w:pPr>
              <w:spacing w:after="0"/>
              <w:rPr>
                <w:sz w:val="13"/>
                <w:szCs w:val="13"/>
                <w:color w:val="auto"/>
              </w:rPr>
            </w:pP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9"/>
              </w:rPr>
              <w:t>IA Amortization, Other Income</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2200" w:type="dxa"/>
            <w:vAlign w:val="bottom"/>
            <w:shd w:val="clear" w:color="auto" w:fill="CCCCCC"/>
          </w:tcPr>
          <w:p>
            <w:pPr>
              <w:spacing w:after="0"/>
              <w:rPr>
                <w:sz w:val="13"/>
                <w:szCs w:val="13"/>
                <w:color w:val="auto"/>
              </w:rPr>
            </w:pPr>
          </w:p>
        </w:tc>
        <w:tc>
          <w:tcPr>
            <w:tcW w:w="2340" w:type="dxa"/>
            <w:vAlign w:val="bottom"/>
            <w:gridSpan w:val="2"/>
            <w:shd w:val="clear" w:color="auto" w:fill="CCCCCC"/>
          </w:tcPr>
          <w:p>
            <w:pPr>
              <w:jc w:val="center"/>
              <w:ind w:left="986"/>
              <w:spacing w:after="0"/>
              <w:rPr>
                <w:sz w:val="20"/>
                <w:szCs w:val="20"/>
                <w:color w:val="auto"/>
              </w:rPr>
            </w:pPr>
            <w:r>
              <w:rPr>
                <w:rFonts w:ascii="Arial" w:cs="Arial" w:eastAsia="Arial" w:hAnsi="Arial"/>
                <w:sz w:val="11"/>
                <w:szCs w:val="11"/>
                <w:color w:val="auto"/>
                <w:w w:val="97"/>
              </w:rPr>
              <w:t>3</w:t>
            </w:r>
          </w:p>
        </w:tc>
        <w:tc>
          <w:tcPr>
            <w:tcW w:w="1020" w:type="dxa"/>
            <w:vAlign w:val="bottom"/>
            <w:shd w:val="clear" w:color="auto" w:fill="CCCCCC"/>
          </w:tcPr>
          <w:p>
            <w:pPr>
              <w:spacing w:after="0"/>
              <w:rPr>
                <w:sz w:val="13"/>
                <w:szCs w:val="13"/>
                <w:color w:val="auto"/>
              </w:rPr>
            </w:pP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COGS</w:t>
            </w:r>
          </w:p>
        </w:tc>
        <w:tc>
          <w:tcPr>
            <w:tcW w:w="0" w:type="dxa"/>
            <w:vAlign w:val="bottom"/>
          </w:tcPr>
          <w:p>
            <w:pPr>
              <w:spacing w:after="0"/>
              <w:rPr>
                <w:sz w:val="1"/>
                <w:szCs w:val="1"/>
                <w:color w:val="auto"/>
              </w:rPr>
            </w:pPr>
          </w:p>
        </w:tc>
      </w:tr>
      <w:tr>
        <w:trPr>
          <w:trHeight w:val="153"/>
        </w:trPr>
        <w:tc>
          <w:tcPr>
            <w:tcW w:w="40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2200" w:type="dxa"/>
            <w:vAlign w:val="bottom"/>
            <w:shd w:val="clear" w:color="auto" w:fill="CCCCCC"/>
          </w:tcPr>
          <w:p>
            <w:pPr>
              <w:spacing w:after="0"/>
              <w:rPr>
                <w:sz w:val="13"/>
                <w:szCs w:val="13"/>
                <w:color w:val="auto"/>
              </w:rPr>
            </w:pPr>
          </w:p>
        </w:tc>
        <w:tc>
          <w:tcPr>
            <w:tcW w:w="2340" w:type="dxa"/>
            <w:vAlign w:val="bottom"/>
            <w:gridSpan w:val="2"/>
            <w:shd w:val="clear" w:color="auto" w:fill="CCCCCC"/>
          </w:tcPr>
          <w:p>
            <w:pPr>
              <w:jc w:val="center"/>
              <w:ind w:left="986"/>
              <w:spacing w:after="0"/>
              <w:rPr>
                <w:sz w:val="20"/>
                <w:szCs w:val="20"/>
                <w:color w:val="auto"/>
              </w:rPr>
            </w:pPr>
            <w:r>
              <w:rPr>
                <w:rFonts w:ascii="Arial" w:cs="Arial" w:eastAsia="Arial" w:hAnsi="Arial"/>
                <w:sz w:val="11"/>
                <w:szCs w:val="11"/>
                <w:color w:val="auto"/>
                <w:w w:val="97"/>
              </w:rPr>
              <w:t>2</w:t>
            </w:r>
          </w:p>
        </w:tc>
        <w:tc>
          <w:tcPr>
            <w:tcW w:w="1020" w:type="dxa"/>
            <w:vAlign w:val="bottom"/>
            <w:shd w:val="clear" w:color="auto" w:fill="CCCCCC"/>
          </w:tcPr>
          <w:p>
            <w:pPr>
              <w:spacing w:after="0"/>
              <w:rPr>
                <w:sz w:val="13"/>
                <w:szCs w:val="13"/>
                <w:color w:val="auto"/>
              </w:rPr>
            </w:pPr>
          </w:p>
        </w:tc>
        <w:tc>
          <w:tcPr>
            <w:tcW w:w="166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7"/>
              </w:rPr>
              <w:t>SG&amp;A</w:t>
            </w:r>
          </w:p>
        </w:tc>
        <w:tc>
          <w:tcPr>
            <w:tcW w:w="0" w:type="dxa"/>
            <w:vAlign w:val="bottom"/>
          </w:tcPr>
          <w:p>
            <w:pPr>
              <w:spacing w:after="0"/>
              <w:rPr>
                <w:sz w:val="1"/>
                <w:szCs w:val="1"/>
                <w:color w:val="auto"/>
              </w:rPr>
            </w:pPr>
          </w:p>
        </w:tc>
      </w:tr>
      <w:tr>
        <w:trPr>
          <w:trHeight w:val="155"/>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Tax effect</w:t>
            </w:r>
          </w:p>
        </w:tc>
        <w:tc>
          <w:tcPr>
            <w:tcW w:w="2200" w:type="dxa"/>
            <w:vAlign w:val="bottom"/>
            <w:tcBorders>
              <w:bottom w:val="single" w:sz="8" w:color="CCCCCC"/>
            </w:tcBorders>
            <w:shd w:val="clear" w:color="auto" w:fill="CCCCCC"/>
          </w:tcPr>
          <w:p>
            <w:pPr>
              <w:spacing w:after="0"/>
              <w:rPr>
                <w:sz w:val="13"/>
                <w:szCs w:val="13"/>
                <w:color w:val="auto"/>
              </w:rPr>
            </w:pPr>
          </w:p>
        </w:tc>
        <w:tc>
          <w:tcPr>
            <w:tcW w:w="2340" w:type="dxa"/>
            <w:vAlign w:val="bottom"/>
            <w:tcBorders>
              <w:bottom w:val="single" w:sz="8" w:color="auto"/>
            </w:tcBorders>
            <w:gridSpan w:val="2"/>
            <w:shd w:val="clear" w:color="auto" w:fill="CCCCCC"/>
          </w:tcPr>
          <w:p>
            <w:pPr>
              <w:jc w:val="center"/>
              <w:ind w:left="986"/>
              <w:spacing w:after="0"/>
              <w:rPr>
                <w:sz w:val="20"/>
                <w:szCs w:val="20"/>
                <w:color w:val="auto"/>
              </w:rPr>
            </w:pPr>
            <w:r>
              <w:rPr>
                <w:rFonts w:ascii="Arial" w:cs="Arial" w:eastAsia="Arial" w:hAnsi="Arial"/>
                <w:sz w:val="11"/>
                <w:szCs w:val="11"/>
                <w:color w:val="auto"/>
                <w:w w:val="91"/>
              </w:rPr>
              <w:t>(14)</w:t>
            </w:r>
          </w:p>
        </w:tc>
        <w:tc>
          <w:tcPr>
            <w:tcW w:w="1020" w:type="dxa"/>
            <w:vAlign w:val="bottom"/>
            <w:tcBorders>
              <w:bottom w:val="single" w:sz="8" w:color="auto"/>
            </w:tcBorders>
            <w:shd w:val="clear" w:color="auto" w:fill="CCCCCC"/>
          </w:tcPr>
          <w:p>
            <w:pPr>
              <w:spacing w:after="0"/>
              <w:rPr>
                <w:sz w:val="13"/>
                <w:szCs w:val="13"/>
                <w:color w:val="auto"/>
              </w:rPr>
            </w:pPr>
          </w:p>
        </w:tc>
        <w:tc>
          <w:tcPr>
            <w:tcW w:w="1660" w:type="dxa"/>
            <w:vAlign w:val="bottom"/>
            <w:tcBorders>
              <w:bottom w:val="single" w:sz="8" w:color="CCCCCC"/>
            </w:tcBorders>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2200" w:type="dxa"/>
            <w:vAlign w:val="bottom"/>
            <w:tcBorders>
              <w:bottom w:val="single" w:sz="8" w:color="CCCCCC"/>
            </w:tcBorders>
            <w:shd w:val="clear" w:color="auto" w:fill="CCCCCC"/>
          </w:tcPr>
          <w:p>
            <w:pPr>
              <w:spacing w:after="0"/>
              <w:rPr>
                <w:sz w:val="11"/>
                <w:szCs w:val="11"/>
                <w:color w:val="auto"/>
              </w:rPr>
            </w:pPr>
          </w:p>
        </w:tc>
        <w:tc>
          <w:tcPr>
            <w:tcW w:w="2340" w:type="dxa"/>
            <w:vAlign w:val="bottom"/>
            <w:tcBorders>
              <w:bottom w:val="single" w:sz="8" w:color="auto"/>
            </w:tcBorders>
            <w:gridSpan w:val="2"/>
            <w:shd w:val="clear" w:color="auto" w:fill="CCCCCC"/>
          </w:tcPr>
          <w:p>
            <w:pPr>
              <w:jc w:val="center"/>
              <w:ind w:left="986"/>
              <w:spacing w:after="0"/>
              <w:rPr>
                <w:sz w:val="20"/>
                <w:szCs w:val="20"/>
                <w:color w:val="auto"/>
              </w:rPr>
            </w:pPr>
            <w:r>
              <w:rPr>
                <w:rFonts w:ascii="Arial" w:cs="Arial" w:eastAsia="Arial" w:hAnsi="Arial"/>
                <w:sz w:val="11"/>
                <w:szCs w:val="11"/>
                <w:color w:val="auto"/>
                <w:w w:val="97"/>
              </w:rPr>
              <w:t>$55</w:t>
            </w:r>
          </w:p>
        </w:tc>
        <w:tc>
          <w:tcPr>
            <w:tcW w:w="1020" w:type="dxa"/>
            <w:vAlign w:val="bottom"/>
            <w:tcBorders>
              <w:bottom w:val="single" w:sz="8" w:color="auto"/>
            </w:tcBorders>
            <w:shd w:val="clear" w:color="auto" w:fill="CCCCCC"/>
          </w:tcPr>
          <w:p>
            <w:pPr>
              <w:spacing w:after="0"/>
              <w:rPr>
                <w:sz w:val="11"/>
                <w:szCs w:val="11"/>
                <w:color w:val="auto"/>
              </w:rPr>
            </w:pPr>
          </w:p>
        </w:tc>
        <w:tc>
          <w:tcPr>
            <w:tcW w:w="1660" w:type="dxa"/>
            <w:vAlign w:val="bottom"/>
            <w:tcBorders>
              <w:bottom w:val="single" w:sz="8" w:color="CCCCCC"/>
            </w:tcBorders>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net income</w:t>
            </w:r>
          </w:p>
        </w:tc>
        <w:tc>
          <w:tcPr>
            <w:tcW w:w="2200" w:type="dxa"/>
            <w:vAlign w:val="bottom"/>
            <w:shd w:val="clear" w:color="auto" w:fill="CCCCCC"/>
          </w:tcPr>
          <w:p>
            <w:pPr>
              <w:spacing w:after="0"/>
              <w:rPr>
                <w:sz w:val="11"/>
                <w:szCs w:val="11"/>
                <w:color w:val="auto"/>
              </w:rPr>
            </w:pPr>
          </w:p>
        </w:tc>
        <w:tc>
          <w:tcPr>
            <w:tcW w:w="2340" w:type="dxa"/>
            <w:vAlign w:val="bottom"/>
            <w:gridSpan w:val="2"/>
            <w:shd w:val="clear" w:color="auto" w:fill="CCCCCC"/>
          </w:tcPr>
          <w:p>
            <w:pPr>
              <w:jc w:val="center"/>
              <w:ind w:left="986"/>
              <w:spacing w:after="0"/>
              <w:rPr>
                <w:sz w:val="20"/>
                <w:szCs w:val="20"/>
                <w:color w:val="auto"/>
              </w:rPr>
            </w:pPr>
            <w:r>
              <w:rPr>
                <w:rFonts w:ascii="Arial" w:cs="Arial" w:eastAsia="Arial" w:hAnsi="Arial"/>
                <w:sz w:val="11"/>
                <w:szCs w:val="11"/>
                <w:color w:val="auto"/>
                <w:w w:val="98"/>
              </w:rPr>
              <w:t>$395 - $470</w:t>
            </w:r>
          </w:p>
        </w:tc>
        <w:tc>
          <w:tcPr>
            <w:tcW w:w="1020" w:type="dxa"/>
            <w:vAlign w:val="bottom"/>
            <w:shd w:val="clear" w:color="auto" w:fill="CCCCCC"/>
          </w:tcPr>
          <w:p>
            <w:pPr>
              <w:spacing w:after="0"/>
              <w:rPr>
                <w:sz w:val="11"/>
                <w:szCs w:val="11"/>
                <w:color w:val="auto"/>
              </w:rPr>
            </w:pPr>
          </w:p>
        </w:tc>
        <w:tc>
          <w:tcPr>
            <w:tcW w:w="1660" w:type="dxa"/>
            <w:vAlign w:val="bottom"/>
            <w:shd w:val="clear" w:color="auto" w:fill="CCCCCC"/>
          </w:tcPr>
          <w:p>
            <w:pPr>
              <w:spacing w:after="0"/>
              <w:rPr>
                <w:sz w:val="11"/>
                <w:szCs w:val="11"/>
                <w:color w:val="auto"/>
              </w:rPr>
            </w:pPr>
          </w:p>
        </w:tc>
        <w:tc>
          <w:tcPr>
            <w:tcW w:w="0" w:type="dxa"/>
            <w:vAlign w:val="bottom"/>
          </w:tcPr>
          <w:p>
            <w:pPr>
              <w:spacing w:after="0"/>
              <w:rPr>
                <w:sz w:val="1"/>
                <w:szCs w:val="1"/>
                <w:color w:val="auto"/>
              </w:rPr>
            </w:pPr>
          </w:p>
        </w:tc>
      </w:tr>
      <w:tr>
        <w:trPr>
          <w:trHeight w:val="761"/>
        </w:trPr>
        <w:tc>
          <w:tcPr>
            <w:tcW w:w="4080" w:type="dxa"/>
            <w:vAlign w:val="bottom"/>
          </w:tcPr>
          <w:p>
            <w:pPr>
              <w:spacing w:after="0"/>
              <w:rPr>
                <w:sz w:val="24"/>
                <w:szCs w:val="24"/>
                <w:color w:val="auto"/>
              </w:rPr>
            </w:pPr>
          </w:p>
        </w:tc>
        <w:tc>
          <w:tcPr>
            <w:tcW w:w="4540" w:type="dxa"/>
            <w:vAlign w:val="bottom"/>
            <w:gridSpan w:val="3"/>
          </w:tcPr>
          <w:p>
            <w:pPr>
              <w:jc w:val="right"/>
              <w:ind w:right="2746"/>
              <w:spacing w:after="0"/>
              <w:rPr>
                <w:sz w:val="20"/>
                <w:szCs w:val="20"/>
                <w:color w:val="auto"/>
              </w:rPr>
            </w:pPr>
            <w:r>
              <w:rPr>
                <w:rFonts w:ascii="Arial" w:cs="Arial" w:eastAsia="Arial" w:hAnsi="Arial"/>
                <w:sz w:val="11"/>
                <w:szCs w:val="11"/>
                <w:color w:val="auto"/>
              </w:rPr>
              <w:t>11 of 13</w:t>
            </w: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-2631440</wp:posOffset>
            </wp:positionV>
            <wp:extent cx="7183755" cy="21545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3755" cy="2154555"/>
                    </a:xfrm>
                    <a:prstGeom prst="rect">
                      <a:avLst/>
                    </a:prstGeom>
                    <a:noFill/>
                  </pic:spPr>
                </pic:pic>
              </a:graphicData>
            </a:graphic>
          </wp:anchor>
        </w:drawing>
      </w:r>
    </w:p>
    <w:p>
      <w:pPr>
        <w:sectPr>
          <w:pgSz w:w="11900" w:h="16838" w:orient="portrait"/>
          <w:cols w:equalWidth="0" w:num="1">
            <w:col w:w="11300"/>
          </w:cols>
          <w:pgMar w:left="300" w:top="710" w:right="299" w:bottom="1440" w:gutter="0" w:footer="0" w:header="0"/>
        </w:sectPr>
      </w:pPr>
    </w:p>
    <w:bookmarkStart w:id="13" w:name="page14"/>
    <w:bookmarkEnd w:id="13"/>
    <w:p>
      <w:pPr>
        <w:spacing w:after="0"/>
        <w:rPr>
          <w:sz w:val="20"/>
          <w:szCs w:val="20"/>
          <w:color w:val="auto"/>
        </w:rPr>
      </w:pPr>
      <w:r>
        <w:rPr>
          <w:rFonts w:ascii="Arial" w:cs="Arial" w:eastAsia="Arial" w:hAnsi="Arial"/>
          <w:sz w:val="12"/>
          <w:szCs w:val="12"/>
          <w:b w:val="1"/>
          <w:bCs w:val="1"/>
          <w:i w:val="1"/>
          <w:iCs w:val="1"/>
          <w:color w:val="auto"/>
        </w:rPr>
        <w:t>Reconciliation of Net Income to Adjusted EBITDA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83755" cy="10744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755" cy="1074420"/>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280" w:type="dxa"/>
            <w:vAlign w:val="bottom"/>
            <w:shd w:val="clear" w:color="auto" w:fill="0F243E"/>
          </w:tcPr>
          <w:p>
            <w:pPr>
              <w:spacing w:after="0"/>
              <w:rPr>
                <w:sz w:val="13"/>
                <w:szCs w:val="13"/>
                <w:color w:val="auto"/>
              </w:rPr>
            </w:pPr>
          </w:p>
        </w:tc>
        <w:tc>
          <w:tcPr>
            <w:tcW w:w="1560" w:type="dxa"/>
            <w:vAlign w:val="bottom"/>
            <w:shd w:val="clear" w:color="auto" w:fill="0F243E"/>
          </w:tcPr>
          <w:p>
            <w:pPr>
              <w:spacing w:after="0"/>
              <w:rPr>
                <w:sz w:val="13"/>
                <w:szCs w:val="13"/>
                <w:color w:val="auto"/>
              </w:rPr>
            </w:pPr>
          </w:p>
        </w:tc>
        <w:tc>
          <w:tcPr>
            <w:tcW w:w="3460" w:type="dxa"/>
            <w:vAlign w:val="bottom"/>
            <w:shd w:val="clear" w:color="auto" w:fill="0F243E"/>
          </w:tcPr>
          <w:p>
            <w:pPr>
              <w:ind w:left="180"/>
              <w:spacing w:after="0"/>
              <w:rPr>
                <w:sz w:val="20"/>
                <w:szCs w:val="20"/>
                <w:color w:val="auto"/>
              </w:rPr>
            </w:pPr>
            <w:r>
              <w:rPr>
                <w:rFonts w:ascii="Arial" w:cs="Arial" w:eastAsia="Arial" w:hAnsi="Arial"/>
                <w:sz w:val="11"/>
                <w:szCs w:val="11"/>
                <w:b w:val="1"/>
                <w:bCs w:val="1"/>
                <w:color w:val="FFFFFF"/>
              </w:rPr>
              <w:t>Three Months Ended June 30,</w:t>
            </w:r>
          </w:p>
        </w:tc>
      </w:tr>
      <w:tr>
        <w:trPr>
          <w:trHeight w:val="153"/>
        </w:trPr>
        <w:tc>
          <w:tcPr>
            <w:tcW w:w="62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1560" w:type="dxa"/>
            <w:vAlign w:val="bottom"/>
            <w:shd w:val="clear" w:color="auto" w:fill="0F243E"/>
          </w:tcPr>
          <w:p>
            <w:pPr>
              <w:jc w:val="center"/>
              <w:ind w:left="906"/>
              <w:spacing w:after="0"/>
              <w:rPr>
                <w:sz w:val="20"/>
                <w:szCs w:val="20"/>
                <w:color w:val="auto"/>
              </w:rPr>
            </w:pPr>
            <w:r>
              <w:rPr>
                <w:rFonts w:ascii="Arial" w:cs="Arial" w:eastAsia="Arial" w:hAnsi="Arial"/>
                <w:sz w:val="11"/>
                <w:szCs w:val="11"/>
                <w:b w:val="1"/>
                <w:bCs w:val="1"/>
                <w:color w:val="FFFFFF"/>
                <w:w w:val="97"/>
              </w:rPr>
              <w:t>2021</w:t>
            </w:r>
          </w:p>
        </w:tc>
        <w:tc>
          <w:tcPr>
            <w:tcW w:w="3460" w:type="dxa"/>
            <w:vAlign w:val="bottom"/>
            <w:shd w:val="clear" w:color="auto" w:fill="0F243E"/>
          </w:tcPr>
          <w:p>
            <w:pPr>
              <w:jc w:val="center"/>
              <w:ind w:left="886"/>
              <w:spacing w:after="0"/>
              <w:rPr>
                <w:sz w:val="20"/>
                <w:szCs w:val="20"/>
                <w:color w:val="auto"/>
              </w:rPr>
            </w:pPr>
            <w:r>
              <w:rPr>
                <w:rFonts w:ascii="Arial" w:cs="Arial" w:eastAsia="Arial" w:hAnsi="Arial"/>
                <w:sz w:val="11"/>
                <w:szCs w:val="11"/>
                <w:b w:val="1"/>
                <w:bCs w:val="1"/>
                <w:color w:val="FFFFFF"/>
                <w:w w:val="97"/>
              </w:rPr>
              <w:t>2020</w:t>
            </w:r>
          </w:p>
        </w:tc>
      </w:tr>
      <w:tr>
        <w:trPr>
          <w:trHeight w:val="149"/>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w:t>
            </w:r>
          </w:p>
        </w:tc>
        <w:tc>
          <w:tcPr>
            <w:tcW w:w="156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w w:val="93"/>
              </w:rPr>
              <w:t>$4.6</w:t>
            </w:r>
          </w:p>
        </w:tc>
        <w:tc>
          <w:tcPr>
            <w:tcW w:w="3460" w:type="dxa"/>
            <w:vAlign w:val="bottom"/>
            <w:shd w:val="clear" w:color="auto" w:fill="CCCCCC"/>
          </w:tcPr>
          <w:p>
            <w:pPr>
              <w:jc w:val="center"/>
              <w:ind w:left="886"/>
              <w:spacing w:after="0"/>
              <w:rPr>
                <w:sz w:val="20"/>
                <w:szCs w:val="20"/>
                <w:color w:val="auto"/>
              </w:rPr>
            </w:pPr>
            <w:r>
              <w:rPr>
                <w:rFonts w:ascii="Arial" w:cs="Arial" w:eastAsia="Arial" w:hAnsi="Arial"/>
                <w:sz w:val="11"/>
                <w:szCs w:val="11"/>
                <w:color w:val="auto"/>
              </w:rPr>
              <w:t>$92.7</w:t>
            </w:r>
          </w:p>
        </w:tc>
      </w:tr>
      <w:tr>
        <w:trPr>
          <w:trHeight w:val="153"/>
        </w:trPr>
        <w:tc>
          <w:tcPr>
            <w:tcW w:w="6280" w:type="dxa"/>
            <w:vAlign w:val="bottom"/>
            <w:shd w:val="clear" w:color="auto" w:fill="CCCCCC"/>
          </w:tcPr>
          <w:p>
            <w:pPr>
              <w:ind w:left="80"/>
              <w:spacing w:after="0"/>
              <w:rPr>
                <w:sz w:val="20"/>
                <w:szCs w:val="20"/>
                <w:color w:val="auto"/>
              </w:rPr>
            </w:pPr>
            <w:r>
              <w:rPr>
                <w:rFonts w:ascii="Arial" w:cs="Arial" w:eastAsia="Arial" w:hAnsi="Arial"/>
                <w:sz w:val="11"/>
                <w:szCs w:val="11"/>
                <w:color w:val="auto"/>
              </w:rPr>
              <w:t>Adjustments:</w:t>
            </w:r>
          </w:p>
        </w:tc>
        <w:tc>
          <w:tcPr>
            <w:tcW w:w="1560" w:type="dxa"/>
            <w:vAlign w:val="bottom"/>
            <w:shd w:val="clear" w:color="auto" w:fill="CCCCCC"/>
          </w:tcPr>
          <w:p>
            <w:pPr>
              <w:spacing w:after="0"/>
              <w:rPr>
                <w:sz w:val="13"/>
                <w:szCs w:val="13"/>
                <w:color w:val="auto"/>
              </w:rPr>
            </w:pPr>
          </w:p>
        </w:tc>
        <w:tc>
          <w:tcPr>
            <w:tcW w:w="3460" w:type="dxa"/>
            <w:vAlign w:val="bottom"/>
            <w:shd w:val="clear" w:color="auto" w:fill="CCCCCC"/>
          </w:tcPr>
          <w:p>
            <w:pPr>
              <w:spacing w:after="0"/>
              <w:rPr>
                <w:sz w:val="13"/>
                <w:szCs w:val="13"/>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Depreciation &amp; amortization</w:t>
            </w:r>
          </w:p>
        </w:tc>
        <w:tc>
          <w:tcPr>
            <w:tcW w:w="156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w w:val="93"/>
              </w:rPr>
              <w:t>33.2</w:t>
            </w:r>
          </w:p>
        </w:tc>
        <w:tc>
          <w:tcPr>
            <w:tcW w:w="346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rPr>
              <w:t>28.6</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Provision for income taxes</w:t>
            </w:r>
          </w:p>
        </w:tc>
        <w:tc>
          <w:tcPr>
            <w:tcW w:w="156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rPr>
              <w:t>2.6</w:t>
            </w:r>
          </w:p>
        </w:tc>
        <w:tc>
          <w:tcPr>
            <w:tcW w:w="346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rPr>
              <w:t>28.0</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Total interest expense, net</w:t>
            </w:r>
          </w:p>
        </w:tc>
        <w:tc>
          <w:tcPr>
            <w:tcW w:w="156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rPr>
              <w:t>8.4</w:t>
            </w:r>
          </w:p>
        </w:tc>
        <w:tc>
          <w:tcPr>
            <w:tcW w:w="346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w w:val="91"/>
              </w:rPr>
              <w:t>6.3</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156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rPr>
              <w:t>0.6</w:t>
            </w:r>
          </w:p>
        </w:tc>
        <w:tc>
          <w:tcPr>
            <w:tcW w:w="346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w w:val="91"/>
              </w:rPr>
              <w:t>0.5</w:t>
            </w:r>
          </w:p>
        </w:tc>
      </w:tr>
      <w:tr>
        <w:trPr>
          <w:trHeight w:val="155"/>
        </w:trPr>
        <w:tc>
          <w:tcPr>
            <w:tcW w:w="62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1560" w:type="dxa"/>
            <w:vAlign w:val="bottom"/>
            <w:tcBorders>
              <w:bottom w:val="single" w:sz="8" w:color="auto"/>
            </w:tcBorders>
            <w:shd w:val="clear" w:color="auto" w:fill="CCCCCC"/>
          </w:tcPr>
          <w:p>
            <w:pPr>
              <w:jc w:val="center"/>
              <w:ind w:left="906"/>
              <w:spacing w:after="0"/>
              <w:rPr>
                <w:sz w:val="20"/>
                <w:szCs w:val="20"/>
                <w:color w:val="auto"/>
              </w:rPr>
            </w:pPr>
            <w:r>
              <w:rPr>
                <w:rFonts w:ascii="Arial" w:cs="Arial" w:eastAsia="Arial" w:hAnsi="Arial"/>
                <w:sz w:val="11"/>
                <w:szCs w:val="11"/>
                <w:color w:val="auto"/>
              </w:rPr>
              <w:t>0.1</w:t>
            </w:r>
          </w:p>
        </w:tc>
        <w:tc>
          <w:tcPr>
            <w:tcW w:w="3460" w:type="dxa"/>
            <w:vAlign w:val="bottom"/>
            <w:tcBorders>
              <w:bottom w:val="single" w:sz="8" w:color="auto"/>
            </w:tcBorders>
            <w:shd w:val="clear" w:color="auto" w:fill="CCCCCC"/>
          </w:tcPr>
          <w:p>
            <w:pPr>
              <w:jc w:val="center"/>
              <w:ind w:left="906"/>
              <w:spacing w:after="0"/>
              <w:rPr>
                <w:sz w:val="20"/>
                <w:szCs w:val="20"/>
                <w:color w:val="auto"/>
              </w:rPr>
            </w:pPr>
            <w:r>
              <w:rPr>
                <w:rFonts w:ascii="Arial" w:cs="Arial" w:eastAsia="Arial" w:hAnsi="Arial"/>
                <w:sz w:val="11"/>
                <w:szCs w:val="11"/>
                <w:color w:val="auto"/>
                <w:w w:val="90"/>
              </w:rPr>
              <w:t>—</w:t>
            </w:r>
          </w:p>
        </w:tc>
      </w:tr>
      <w:tr>
        <w:trPr>
          <w:trHeight w:val="133"/>
        </w:trPr>
        <w:tc>
          <w:tcPr>
            <w:tcW w:w="62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1560" w:type="dxa"/>
            <w:vAlign w:val="bottom"/>
            <w:tcBorders>
              <w:bottom w:val="single" w:sz="8" w:color="auto"/>
            </w:tcBorders>
            <w:shd w:val="clear" w:color="auto" w:fill="CCCCCC"/>
          </w:tcPr>
          <w:p>
            <w:pPr>
              <w:jc w:val="center"/>
              <w:ind w:left="906"/>
              <w:spacing w:after="0"/>
              <w:rPr>
                <w:sz w:val="20"/>
                <w:szCs w:val="20"/>
                <w:color w:val="auto"/>
              </w:rPr>
            </w:pPr>
            <w:r>
              <w:rPr>
                <w:rFonts w:ascii="Arial" w:cs="Arial" w:eastAsia="Arial" w:hAnsi="Arial"/>
                <w:sz w:val="11"/>
                <w:szCs w:val="11"/>
                <w:color w:val="auto"/>
              </w:rPr>
              <w:t>$44.9</w:t>
            </w:r>
          </w:p>
        </w:tc>
        <w:tc>
          <w:tcPr>
            <w:tcW w:w="3460" w:type="dxa"/>
            <w:vAlign w:val="bottom"/>
            <w:tcBorders>
              <w:bottom w:val="single" w:sz="8" w:color="auto"/>
            </w:tcBorders>
            <w:shd w:val="clear" w:color="auto" w:fill="CCCCCC"/>
          </w:tcPr>
          <w:p>
            <w:pPr>
              <w:jc w:val="center"/>
              <w:ind w:left="886"/>
              <w:spacing w:after="0"/>
              <w:rPr>
                <w:sz w:val="20"/>
                <w:szCs w:val="20"/>
                <w:color w:val="auto"/>
              </w:rPr>
            </w:pPr>
            <w:r>
              <w:rPr>
                <w:rFonts w:ascii="Arial" w:cs="Arial" w:eastAsia="Arial" w:hAnsi="Arial"/>
                <w:sz w:val="11"/>
                <w:szCs w:val="11"/>
                <w:color w:val="auto"/>
              </w:rPr>
              <w:t>$63.4</w:t>
            </w:r>
          </w:p>
        </w:tc>
      </w:tr>
      <w:tr>
        <w:trPr>
          <w:trHeight w:val="135"/>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EBITDA</w:t>
            </w:r>
          </w:p>
        </w:tc>
        <w:tc>
          <w:tcPr>
            <w:tcW w:w="156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rPr>
              <w:t>$49.5</w:t>
            </w:r>
          </w:p>
        </w:tc>
        <w:tc>
          <w:tcPr>
            <w:tcW w:w="3460" w:type="dxa"/>
            <w:vAlign w:val="bottom"/>
            <w:shd w:val="clear" w:color="auto" w:fill="CCCCCC"/>
          </w:tcPr>
          <w:p>
            <w:pPr>
              <w:jc w:val="center"/>
              <w:ind w:left="906"/>
              <w:spacing w:after="0"/>
              <w:rPr>
                <w:sz w:val="20"/>
                <w:szCs w:val="20"/>
                <w:color w:val="auto"/>
              </w:rPr>
            </w:pPr>
            <w:r>
              <w:rPr>
                <w:rFonts w:ascii="Arial" w:cs="Arial" w:eastAsia="Arial" w:hAnsi="Arial"/>
                <w:sz w:val="11"/>
                <w:szCs w:val="11"/>
                <w:color w:val="auto"/>
              </w:rPr>
              <w:t>$156.1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83755" cy="10744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3755" cy="1074420"/>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280" w:type="dxa"/>
            <w:vAlign w:val="bottom"/>
            <w:shd w:val="clear" w:color="auto" w:fill="0F243E"/>
          </w:tcPr>
          <w:p>
            <w:pPr>
              <w:spacing w:after="0"/>
              <w:rPr>
                <w:sz w:val="13"/>
                <w:szCs w:val="13"/>
                <w:color w:val="auto"/>
              </w:rPr>
            </w:pPr>
          </w:p>
        </w:tc>
        <w:tc>
          <w:tcPr>
            <w:tcW w:w="1620" w:type="dxa"/>
            <w:vAlign w:val="bottom"/>
            <w:shd w:val="clear" w:color="auto" w:fill="0F243E"/>
          </w:tcPr>
          <w:p>
            <w:pPr>
              <w:spacing w:after="0"/>
              <w:rPr>
                <w:sz w:val="13"/>
                <w:szCs w:val="13"/>
                <w:color w:val="auto"/>
              </w:rPr>
            </w:pPr>
          </w:p>
        </w:tc>
        <w:tc>
          <w:tcPr>
            <w:tcW w:w="3400" w:type="dxa"/>
            <w:vAlign w:val="bottom"/>
            <w:shd w:val="clear" w:color="auto" w:fill="0F243E"/>
          </w:tcPr>
          <w:p>
            <w:pPr>
              <w:ind w:left="200"/>
              <w:spacing w:after="0"/>
              <w:rPr>
                <w:sz w:val="20"/>
                <w:szCs w:val="20"/>
                <w:color w:val="auto"/>
              </w:rPr>
            </w:pPr>
            <w:r>
              <w:rPr>
                <w:rFonts w:ascii="Arial" w:cs="Arial" w:eastAsia="Arial" w:hAnsi="Arial"/>
                <w:sz w:val="11"/>
                <w:szCs w:val="11"/>
                <w:b w:val="1"/>
                <w:bCs w:val="1"/>
                <w:color w:val="FFFFFF"/>
              </w:rPr>
              <w:t>Six Months Ended June 30,</w:t>
            </w:r>
          </w:p>
        </w:tc>
      </w:tr>
      <w:tr>
        <w:trPr>
          <w:trHeight w:val="153"/>
        </w:trPr>
        <w:tc>
          <w:tcPr>
            <w:tcW w:w="62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1620" w:type="dxa"/>
            <w:vAlign w:val="bottom"/>
            <w:shd w:val="clear" w:color="auto" w:fill="0F243E"/>
          </w:tcPr>
          <w:p>
            <w:pPr>
              <w:jc w:val="center"/>
              <w:ind w:left="846"/>
              <w:spacing w:after="0"/>
              <w:rPr>
                <w:sz w:val="20"/>
                <w:szCs w:val="20"/>
                <w:color w:val="auto"/>
              </w:rPr>
            </w:pPr>
            <w:r>
              <w:rPr>
                <w:rFonts w:ascii="Arial" w:cs="Arial" w:eastAsia="Arial" w:hAnsi="Arial"/>
                <w:sz w:val="11"/>
                <w:szCs w:val="11"/>
                <w:b w:val="1"/>
                <w:bCs w:val="1"/>
                <w:color w:val="FFFFFF"/>
                <w:w w:val="97"/>
              </w:rPr>
              <w:t>2021</w:t>
            </w:r>
          </w:p>
        </w:tc>
        <w:tc>
          <w:tcPr>
            <w:tcW w:w="3400" w:type="dxa"/>
            <w:vAlign w:val="bottom"/>
            <w:shd w:val="clear" w:color="auto" w:fill="0F243E"/>
          </w:tcPr>
          <w:p>
            <w:pPr>
              <w:jc w:val="center"/>
              <w:ind w:left="826"/>
              <w:spacing w:after="0"/>
              <w:rPr>
                <w:sz w:val="20"/>
                <w:szCs w:val="20"/>
                <w:color w:val="auto"/>
              </w:rPr>
            </w:pPr>
            <w:r>
              <w:rPr>
                <w:rFonts w:ascii="Arial" w:cs="Arial" w:eastAsia="Arial" w:hAnsi="Arial"/>
                <w:sz w:val="11"/>
                <w:szCs w:val="11"/>
                <w:b w:val="1"/>
                <w:bCs w:val="1"/>
                <w:color w:val="FFFFFF"/>
                <w:w w:val="97"/>
              </w:rPr>
              <w:t>2020</w:t>
            </w:r>
          </w:p>
        </w:tc>
      </w:tr>
      <w:tr>
        <w:trPr>
          <w:trHeight w:val="149"/>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w:t>
            </w:r>
          </w:p>
        </w:tc>
        <w:tc>
          <w:tcPr>
            <w:tcW w:w="162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rPr>
              <w:t>$74.3</w:t>
            </w:r>
          </w:p>
        </w:tc>
        <w:tc>
          <w:tcPr>
            <w:tcW w:w="3400" w:type="dxa"/>
            <w:vAlign w:val="bottom"/>
            <w:shd w:val="clear" w:color="auto" w:fill="CCCCCC"/>
          </w:tcPr>
          <w:p>
            <w:pPr>
              <w:jc w:val="center"/>
              <w:ind w:left="826"/>
              <w:spacing w:after="0"/>
              <w:rPr>
                <w:sz w:val="20"/>
                <w:szCs w:val="20"/>
                <w:color w:val="auto"/>
              </w:rPr>
            </w:pPr>
            <w:r>
              <w:rPr>
                <w:rFonts w:ascii="Arial" w:cs="Arial" w:eastAsia="Arial" w:hAnsi="Arial"/>
                <w:sz w:val="11"/>
                <w:szCs w:val="11"/>
                <w:color w:val="auto"/>
              </w:rPr>
              <w:t>$80.2</w:t>
            </w:r>
          </w:p>
        </w:tc>
      </w:tr>
      <w:tr>
        <w:trPr>
          <w:trHeight w:val="153"/>
        </w:trPr>
        <w:tc>
          <w:tcPr>
            <w:tcW w:w="6280" w:type="dxa"/>
            <w:vAlign w:val="bottom"/>
            <w:shd w:val="clear" w:color="auto" w:fill="CCCCCC"/>
          </w:tcPr>
          <w:p>
            <w:pPr>
              <w:ind w:left="80"/>
              <w:spacing w:after="0"/>
              <w:rPr>
                <w:sz w:val="20"/>
                <w:szCs w:val="20"/>
                <w:color w:val="auto"/>
              </w:rPr>
            </w:pPr>
            <w:r>
              <w:rPr>
                <w:rFonts w:ascii="Arial" w:cs="Arial" w:eastAsia="Arial" w:hAnsi="Arial"/>
                <w:sz w:val="11"/>
                <w:szCs w:val="11"/>
                <w:color w:val="auto"/>
              </w:rPr>
              <w:t>Adjustments:</w:t>
            </w:r>
          </w:p>
        </w:tc>
        <w:tc>
          <w:tcPr>
            <w:tcW w:w="1620" w:type="dxa"/>
            <w:vAlign w:val="bottom"/>
            <w:shd w:val="clear" w:color="auto" w:fill="CCCCCC"/>
          </w:tcPr>
          <w:p>
            <w:pPr>
              <w:spacing w:after="0"/>
              <w:rPr>
                <w:sz w:val="13"/>
                <w:szCs w:val="13"/>
                <w:color w:val="auto"/>
              </w:rPr>
            </w:pPr>
          </w:p>
        </w:tc>
        <w:tc>
          <w:tcPr>
            <w:tcW w:w="3400" w:type="dxa"/>
            <w:vAlign w:val="bottom"/>
            <w:shd w:val="clear" w:color="auto" w:fill="CCCCCC"/>
          </w:tcPr>
          <w:p>
            <w:pPr>
              <w:spacing w:after="0"/>
              <w:rPr>
                <w:sz w:val="13"/>
                <w:szCs w:val="13"/>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Depreciation &amp; amortization</w:t>
            </w:r>
          </w:p>
        </w:tc>
        <w:tc>
          <w:tcPr>
            <w:tcW w:w="162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w w:val="93"/>
              </w:rPr>
              <w:t>61.9</w:t>
            </w:r>
          </w:p>
        </w:tc>
        <w:tc>
          <w:tcPr>
            <w:tcW w:w="340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rPr>
              <w:t>56.8</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Provision for income taxes</w:t>
            </w:r>
          </w:p>
        </w:tc>
        <w:tc>
          <w:tcPr>
            <w:tcW w:w="162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w w:val="93"/>
              </w:rPr>
              <w:t>18.1</w:t>
            </w:r>
          </w:p>
        </w:tc>
        <w:tc>
          <w:tcPr>
            <w:tcW w:w="340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rPr>
              <w:t>19.2</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Total interest expense, net</w:t>
            </w:r>
          </w:p>
        </w:tc>
        <w:tc>
          <w:tcPr>
            <w:tcW w:w="162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w w:val="93"/>
              </w:rPr>
              <w:t>16.7</w:t>
            </w:r>
          </w:p>
        </w:tc>
        <w:tc>
          <w:tcPr>
            <w:tcW w:w="340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rPr>
              <w:t>14.1</w:t>
            </w: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162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rPr>
              <w:t>1.7</w:t>
            </w:r>
          </w:p>
        </w:tc>
        <w:tc>
          <w:tcPr>
            <w:tcW w:w="340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w w:val="91"/>
              </w:rPr>
              <w:t>1.1</w:t>
            </w:r>
          </w:p>
        </w:tc>
      </w:tr>
      <w:tr>
        <w:trPr>
          <w:trHeight w:val="155"/>
        </w:trPr>
        <w:tc>
          <w:tcPr>
            <w:tcW w:w="62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1620" w:type="dxa"/>
            <w:vAlign w:val="bottom"/>
            <w:tcBorders>
              <w:bottom w:val="single" w:sz="8" w:color="auto"/>
            </w:tcBorders>
            <w:shd w:val="clear" w:color="auto" w:fill="CCCCCC"/>
          </w:tcPr>
          <w:p>
            <w:pPr>
              <w:jc w:val="center"/>
              <w:ind w:left="846"/>
              <w:spacing w:after="0"/>
              <w:rPr>
                <w:sz w:val="20"/>
                <w:szCs w:val="20"/>
                <w:color w:val="auto"/>
              </w:rPr>
            </w:pPr>
            <w:r>
              <w:rPr>
                <w:rFonts w:ascii="Arial" w:cs="Arial" w:eastAsia="Arial" w:hAnsi="Arial"/>
                <w:sz w:val="11"/>
                <w:szCs w:val="11"/>
                <w:color w:val="auto"/>
              </w:rPr>
              <w:t>0.3</w:t>
            </w:r>
          </w:p>
        </w:tc>
        <w:tc>
          <w:tcPr>
            <w:tcW w:w="3400" w:type="dxa"/>
            <w:vAlign w:val="bottom"/>
            <w:tcBorders>
              <w:bottom w:val="single" w:sz="8" w:color="auto"/>
            </w:tcBorders>
            <w:shd w:val="clear" w:color="auto" w:fill="CCCCCC"/>
          </w:tcPr>
          <w:p>
            <w:pPr>
              <w:jc w:val="center"/>
              <w:ind w:left="846"/>
              <w:spacing w:after="0"/>
              <w:rPr>
                <w:sz w:val="20"/>
                <w:szCs w:val="20"/>
                <w:color w:val="auto"/>
              </w:rPr>
            </w:pPr>
            <w:r>
              <w:rPr>
                <w:rFonts w:ascii="Arial" w:cs="Arial" w:eastAsia="Arial" w:hAnsi="Arial"/>
                <w:sz w:val="11"/>
                <w:szCs w:val="11"/>
                <w:color w:val="auto"/>
                <w:w w:val="90"/>
              </w:rPr>
              <w:t>—</w:t>
            </w:r>
          </w:p>
        </w:tc>
      </w:tr>
      <w:tr>
        <w:trPr>
          <w:trHeight w:val="133"/>
        </w:trPr>
        <w:tc>
          <w:tcPr>
            <w:tcW w:w="62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1620" w:type="dxa"/>
            <w:vAlign w:val="bottom"/>
            <w:tcBorders>
              <w:bottom w:val="single" w:sz="8" w:color="auto"/>
            </w:tcBorders>
            <w:shd w:val="clear" w:color="auto" w:fill="CCCCCC"/>
          </w:tcPr>
          <w:p>
            <w:pPr>
              <w:jc w:val="center"/>
              <w:ind w:left="846"/>
              <w:spacing w:after="0"/>
              <w:rPr>
                <w:sz w:val="20"/>
                <w:szCs w:val="20"/>
                <w:color w:val="auto"/>
              </w:rPr>
            </w:pPr>
            <w:r>
              <w:rPr>
                <w:rFonts w:ascii="Arial" w:cs="Arial" w:eastAsia="Arial" w:hAnsi="Arial"/>
                <w:sz w:val="11"/>
                <w:szCs w:val="11"/>
                <w:color w:val="auto"/>
              </w:rPr>
              <w:t>$98.7</w:t>
            </w:r>
          </w:p>
        </w:tc>
        <w:tc>
          <w:tcPr>
            <w:tcW w:w="3400" w:type="dxa"/>
            <w:vAlign w:val="bottom"/>
            <w:tcBorders>
              <w:bottom w:val="single" w:sz="8" w:color="auto"/>
            </w:tcBorders>
            <w:shd w:val="clear" w:color="auto" w:fill="CCCCCC"/>
          </w:tcPr>
          <w:p>
            <w:pPr>
              <w:jc w:val="center"/>
              <w:ind w:left="826"/>
              <w:spacing w:after="0"/>
              <w:rPr>
                <w:sz w:val="20"/>
                <w:szCs w:val="20"/>
                <w:color w:val="auto"/>
              </w:rPr>
            </w:pPr>
            <w:r>
              <w:rPr>
                <w:rFonts w:ascii="Arial" w:cs="Arial" w:eastAsia="Arial" w:hAnsi="Arial"/>
                <w:sz w:val="11"/>
                <w:szCs w:val="11"/>
                <w:color w:val="auto"/>
              </w:rPr>
              <w:t>$91.2</w:t>
            </w:r>
          </w:p>
        </w:tc>
      </w:tr>
      <w:tr>
        <w:trPr>
          <w:trHeight w:val="135"/>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EBITDA</w:t>
            </w:r>
          </w:p>
        </w:tc>
        <w:tc>
          <w:tcPr>
            <w:tcW w:w="162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w w:val="94"/>
              </w:rPr>
              <w:t>$173.0</w:t>
            </w:r>
          </w:p>
        </w:tc>
        <w:tc>
          <w:tcPr>
            <w:tcW w:w="340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rPr>
              <w:t>$171.4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7183755" cy="1040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755" cy="104013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280" w:type="dxa"/>
            <w:vAlign w:val="bottom"/>
            <w:vMerge w:val="restart"/>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5020" w:type="dxa"/>
            <w:vAlign w:val="bottom"/>
            <w:shd w:val="clear" w:color="auto" w:fill="0F243E"/>
          </w:tcPr>
          <w:p>
            <w:pPr>
              <w:jc w:val="center"/>
              <w:spacing w:after="0"/>
              <w:rPr>
                <w:sz w:val="20"/>
                <w:szCs w:val="20"/>
                <w:color w:val="auto"/>
              </w:rPr>
            </w:pPr>
            <w:r>
              <w:rPr>
                <w:rFonts w:ascii="Arial" w:cs="Arial" w:eastAsia="Arial" w:hAnsi="Arial"/>
                <w:sz w:val="11"/>
                <w:szCs w:val="11"/>
                <w:b w:val="1"/>
                <w:bCs w:val="1"/>
                <w:color w:val="FFFFFF"/>
                <w:w w:val="98"/>
              </w:rPr>
              <w:t>Reaffirmed 2021 Full Year</w:t>
            </w:r>
          </w:p>
        </w:tc>
        <w:tc>
          <w:tcPr>
            <w:tcW w:w="0" w:type="dxa"/>
            <w:vAlign w:val="bottom"/>
          </w:tcPr>
          <w:p>
            <w:pPr>
              <w:spacing w:after="0"/>
              <w:rPr>
                <w:sz w:val="1"/>
                <w:szCs w:val="1"/>
                <w:color w:val="auto"/>
              </w:rPr>
            </w:pPr>
          </w:p>
        </w:tc>
      </w:tr>
      <w:tr>
        <w:trPr>
          <w:trHeight w:val="124"/>
        </w:trPr>
        <w:tc>
          <w:tcPr>
            <w:tcW w:w="6280" w:type="dxa"/>
            <w:vAlign w:val="bottom"/>
            <w:tcBorders>
              <w:bottom w:val="single" w:sz="8" w:color="0F243E"/>
            </w:tcBorders>
            <w:vMerge w:val="continue"/>
            <w:shd w:val="clear" w:color="auto" w:fill="0F243E"/>
          </w:tcPr>
          <w:p>
            <w:pPr>
              <w:spacing w:after="0"/>
              <w:rPr>
                <w:sz w:val="10"/>
                <w:szCs w:val="10"/>
                <w:color w:val="auto"/>
              </w:rPr>
            </w:pPr>
          </w:p>
        </w:tc>
        <w:tc>
          <w:tcPr>
            <w:tcW w:w="5020" w:type="dxa"/>
            <w:vAlign w:val="bottom"/>
            <w:tcBorders>
              <w:bottom w:val="single" w:sz="8" w:color="0F243E"/>
            </w:tcBorders>
            <w:shd w:val="clear" w:color="auto" w:fill="0F243E"/>
          </w:tcPr>
          <w:p>
            <w:pPr>
              <w:jc w:val="center"/>
              <w:spacing w:after="0" w:line="124" w:lineRule="exact"/>
              <w:rPr>
                <w:sz w:val="20"/>
                <w:szCs w:val="20"/>
                <w:color w:val="auto"/>
              </w:rPr>
            </w:pPr>
            <w:r>
              <w:rPr>
                <w:rFonts w:ascii="Arial" w:cs="Arial" w:eastAsia="Arial" w:hAnsi="Arial"/>
                <w:sz w:val="11"/>
                <w:szCs w:val="11"/>
                <w:b w:val="1"/>
                <w:bCs w:val="1"/>
                <w:color w:val="FFFFFF"/>
              </w:rPr>
              <w:t>Forecast</w:t>
            </w:r>
          </w:p>
        </w:tc>
        <w:tc>
          <w:tcPr>
            <w:tcW w:w="0" w:type="dxa"/>
            <w:vAlign w:val="bottom"/>
          </w:tcPr>
          <w:p>
            <w:pPr>
              <w:spacing w:after="0"/>
              <w:rPr>
                <w:sz w:val="1"/>
                <w:szCs w:val="1"/>
                <w:color w:val="auto"/>
              </w:rPr>
            </w:pPr>
          </w:p>
        </w:tc>
      </w:tr>
      <w:tr>
        <w:trPr>
          <w:trHeight w:val="149"/>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Net income</w:t>
            </w:r>
          </w:p>
        </w:tc>
        <w:tc>
          <w:tcPr>
            <w:tcW w:w="502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$340 - $415</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502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Depreciation &amp; amortization</w:t>
            </w:r>
          </w:p>
        </w:tc>
        <w:tc>
          <w:tcPr>
            <w:tcW w:w="502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7"/>
              </w:rPr>
              <w:t>129</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Provision for income taxes</w:t>
            </w:r>
          </w:p>
        </w:tc>
        <w:tc>
          <w:tcPr>
            <w:tcW w:w="502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114-139</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Total interest expense, net</w:t>
            </w:r>
          </w:p>
        </w:tc>
        <w:tc>
          <w:tcPr>
            <w:tcW w:w="502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7"/>
              </w:rPr>
              <w:t>32</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180"/>
              <w:spacing w:after="0"/>
              <w:rPr>
                <w:sz w:val="20"/>
                <w:szCs w:val="20"/>
                <w:color w:val="auto"/>
              </w:rPr>
            </w:pPr>
            <w:r>
              <w:rPr>
                <w:rFonts w:ascii="Arial" w:cs="Arial" w:eastAsia="Arial" w:hAnsi="Arial"/>
                <w:sz w:val="11"/>
                <w:szCs w:val="11"/>
                <w:color w:val="auto"/>
              </w:rPr>
              <w:t>+ Changes in fair value of contingent consideration</w:t>
            </w:r>
          </w:p>
        </w:tc>
        <w:tc>
          <w:tcPr>
            <w:tcW w:w="502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7"/>
              </w:rPr>
              <w:t>3</w:t>
            </w:r>
          </w:p>
        </w:tc>
        <w:tc>
          <w:tcPr>
            <w:tcW w:w="0" w:type="dxa"/>
            <w:vAlign w:val="bottom"/>
          </w:tcPr>
          <w:p>
            <w:pPr>
              <w:spacing w:after="0"/>
              <w:rPr>
                <w:sz w:val="1"/>
                <w:szCs w:val="1"/>
                <w:color w:val="auto"/>
              </w:rPr>
            </w:pPr>
          </w:p>
        </w:tc>
      </w:tr>
      <w:tr>
        <w:trPr>
          <w:trHeight w:val="155"/>
        </w:trPr>
        <w:tc>
          <w:tcPr>
            <w:tcW w:w="62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Acquisition-related costs (transaction &amp; integration)</w:t>
            </w:r>
          </w:p>
        </w:tc>
        <w:tc>
          <w:tcPr>
            <w:tcW w:w="50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w w:val="97"/>
              </w:rPr>
              <w:t>2</w:t>
            </w:r>
          </w:p>
        </w:tc>
        <w:tc>
          <w:tcPr>
            <w:tcW w:w="0" w:type="dxa"/>
            <w:vAlign w:val="bottom"/>
          </w:tcPr>
          <w:p>
            <w:pPr>
              <w:spacing w:after="0"/>
              <w:rPr>
                <w:sz w:val="1"/>
                <w:szCs w:val="1"/>
                <w:color w:val="auto"/>
              </w:rPr>
            </w:pPr>
          </w:p>
        </w:tc>
      </w:tr>
      <w:tr>
        <w:trPr>
          <w:trHeight w:val="133"/>
        </w:trPr>
        <w:tc>
          <w:tcPr>
            <w:tcW w:w="628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1"/>
                <w:szCs w:val="11"/>
                <w:color w:val="auto"/>
              </w:rPr>
              <w:t>Total adjustments</w:t>
            </w:r>
          </w:p>
        </w:tc>
        <w:tc>
          <w:tcPr>
            <w:tcW w:w="5020" w:type="dxa"/>
            <w:vAlign w:val="bottom"/>
            <w:tcBorders>
              <w:bottom w:val="single" w:sz="8" w:color="auto"/>
            </w:tcBorders>
            <w:shd w:val="clear" w:color="auto" w:fill="CCCCCC"/>
          </w:tcPr>
          <w:p>
            <w:pPr>
              <w:jc w:val="center"/>
              <w:spacing w:after="0"/>
              <w:rPr>
                <w:sz w:val="20"/>
                <w:szCs w:val="20"/>
                <w:color w:val="auto"/>
              </w:rPr>
            </w:pPr>
            <w:r>
              <w:rPr>
                <w:rFonts w:ascii="Arial" w:cs="Arial" w:eastAsia="Arial" w:hAnsi="Arial"/>
                <w:sz w:val="11"/>
                <w:szCs w:val="11"/>
                <w:color w:val="auto"/>
                <w:w w:val="98"/>
              </w:rPr>
              <w:t>$280 - $305</w:t>
            </w:r>
          </w:p>
        </w:tc>
        <w:tc>
          <w:tcPr>
            <w:tcW w:w="0" w:type="dxa"/>
            <w:vAlign w:val="bottom"/>
          </w:tcPr>
          <w:p>
            <w:pPr>
              <w:spacing w:after="0"/>
              <w:rPr>
                <w:sz w:val="1"/>
                <w:szCs w:val="1"/>
                <w:color w:val="auto"/>
              </w:rPr>
            </w:pPr>
          </w:p>
        </w:tc>
      </w:tr>
      <w:tr>
        <w:trPr>
          <w:trHeight w:val="135"/>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EBITDA</w:t>
            </w:r>
          </w:p>
        </w:tc>
        <w:tc>
          <w:tcPr>
            <w:tcW w:w="5020" w:type="dxa"/>
            <w:vAlign w:val="bottom"/>
            <w:shd w:val="clear" w:color="auto" w:fill="CCCCCC"/>
          </w:tcPr>
          <w:p>
            <w:pPr>
              <w:jc w:val="center"/>
              <w:spacing w:after="0"/>
              <w:rPr>
                <w:sz w:val="20"/>
                <w:szCs w:val="20"/>
                <w:color w:val="auto"/>
              </w:rPr>
            </w:pPr>
            <w:r>
              <w:rPr>
                <w:rFonts w:ascii="Arial" w:cs="Arial" w:eastAsia="Arial" w:hAnsi="Arial"/>
                <w:sz w:val="11"/>
                <w:szCs w:val="11"/>
                <w:color w:val="auto"/>
                <w:w w:val="98"/>
              </w:rPr>
              <w:t>$620 - $720</w:t>
            </w: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Reconciliation of Gross Margin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64770</wp:posOffset>
            </wp:positionV>
            <wp:extent cx="7183755" cy="4914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3755" cy="49149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800" w:type="dxa"/>
            <w:vAlign w:val="bottom"/>
            <w:shd w:val="clear" w:color="auto" w:fill="0F243E"/>
          </w:tcPr>
          <w:p>
            <w:pPr>
              <w:spacing w:after="0"/>
              <w:rPr>
                <w:sz w:val="13"/>
                <w:szCs w:val="13"/>
                <w:color w:val="auto"/>
              </w:rPr>
            </w:pPr>
          </w:p>
        </w:tc>
        <w:tc>
          <w:tcPr>
            <w:tcW w:w="1480" w:type="dxa"/>
            <w:vAlign w:val="bottom"/>
            <w:shd w:val="clear" w:color="auto" w:fill="0F243E"/>
          </w:tcPr>
          <w:p>
            <w:pPr>
              <w:spacing w:after="0"/>
              <w:rPr>
                <w:sz w:val="13"/>
                <w:szCs w:val="13"/>
                <w:color w:val="auto"/>
              </w:rPr>
            </w:pPr>
          </w:p>
        </w:tc>
        <w:tc>
          <w:tcPr>
            <w:tcW w:w="1580" w:type="dxa"/>
            <w:vAlign w:val="bottom"/>
            <w:shd w:val="clear" w:color="auto" w:fill="0F243E"/>
          </w:tcPr>
          <w:p>
            <w:pPr>
              <w:spacing w:after="0"/>
              <w:rPr>
                <w:sz w:val="13"/>
                <w:szCs w:val="13"/>
                <w:color w:val="auto"/>
              </w:rPr>
            </w:pPr>
          </w:p>
        </w:tc>
        <w:tc>
          <w:tcPr>
            <w:tcW w:w="3440" w:type="dxa"/>
            <w:vAlign w:val="bottom"/>
            <w:shd w:val="clear" w:color="auto" w:fill="0F243E"/>
          </w:tcPr>
          <w:p>
            <w:pPr>
              <w:ind w:left="160"/>
              <w:spacing w:after="0"/>
              <w:rPr>
                <w:sz w:val="20"/>
                <w:szCs w:val="20"/>
                <w:color w:val="auto"/>
              </w:rPr>
            </w:pPr>
            <w:r>
              <w:rPr>
                <w:rFonts w:ascii="Arial" w:cs="Arial" w:eastAsia="Arial" w:hAnsi="Arial"/>
                <w:sz w:val="11"/>
                <w:szCs w:val="11"/>
                <w:b w:val="1"/>
                <w:bCs w:val="1"/>
                <w:color w:val="FFFFFF"/>
              </w:rPr>
              <w:t>Three Months Ended June 30,</w:t>
            </w:r>
          </w:p>
        </w:tc>
      </w:tr>
      <w:tr>
        <w:trPr>
          <w:trHeight w:val="153"/>
        </w:trPr>
        <w:tc>
          <w:tcPr>
            <w:tcW w:w="480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1480" w:type="dxa"/>
            <w:vAlign w:val="bottom"/>
            <w:shd w:val="clear" w:color="auto" w:fill="0F243E"/>
          </w:tcPr>
          <w:p>
            <w:pPr>
              <w:spacing w:after="0"/>
              <w:rPr>
                <w:sz w:val="13"/>
                <w:szCs w:val="13"/>
                <w:color w:val="auto"/>
              </w:rPr>
            </w:pPr>
          </w:p>
        </w:tc>
        <w:tc>
          <w:tcPr>
            <w:tcW w:w="1580" w:type="dxa"/>
            <w:vAlign w:val="bottom"/>
            <w:shd w:val="clear" w:color="auto" w:fill="0F243E"/>
          </w:tcPr>
          <w:p>
            <w:pPr>
              <w:jc w:val="center"/>
              <w:ind w:left="886"/>
              <w:spacing w:after="0"/>
              <w:rPr>
                <w:sz w:val="20"/>
                <w:szCs w:val="20"/>
                <w:color w:val="auto"/>
              </w:rPr>
            </w:pPr>
            <w:r>
              <w:rPr>
                <w:rFonts w:ascii="Arial" w:cs="Arial" w:eastAsia="Arial" w:hAnsi="Arial"/>
                <w:sz w:val="11"/>
                <w:szCs w:val="11"/>
                <w:b w:val="1"/>
                <w:bCs w:val="1"/>
                <w:color w:val="FFFFFF"/>
                <w:w w:val="97"/>
              </w:rPr>
              <w:t>2021</w:t>
            </w:r>
          </w:p>
        </w:tc>
        <w:tc>
          <w:tcPr>
            <w:tcW w:w="3440" w:type="dxa"/>
            <w:vAlign w:val="bottom"/>
            <w:shd w:val="clear" w:color="auto" w:fill="0F243E"/>
          </w:tcPr>
          <w:p>
            <w:pPr>
              <w:jc w:val="center"/>
              <w:ind w:left="866"/>
              <w:spacing w:after="0"/>
              <w:rPr>
                <w:sz w:val="20"/>
                <w:szCs w:val="20"/>
                <w:color w:val="auto"/>
              </w:rPr>
            </w:pPr>
            <w:r>
              <w:rPr>
                <w:rFonts w:ascii="Arial" w:cs="Arial" w:eastAsia="Arial" w:hAnsi="Arial"/>
                <w:sz w:val="11"/>
                <w:szCs w:val="11"/>
                <w:b w:val="1"/>
                <w:bCs w:val="1"/>
                <w:color w:val="FFFFFF"/>
                <w:w w:val="97"/>
              </w:rPr>
              <w:t>2020</w:t>
            </w:r>
          </w:p>
        </w:tc>
      </w:tr>
      <w:tr>
        <w:trPr>
          <w:trHeight w:val="149"/>
        </w:trPr>
        <w:tc>
          <w:tcPr>
            <w:tcW w:w="4800" w:type="dxa"/>
            <w:vAlign w:val="bottom"/>
            <w:shd w:val="clear" w:color="auto" w:fill="CCCCCC"/>
          </w:tcPr>
          <w:p>
            <w:pPr>
              <w:spacing w:after="0"/>
              <w:rPr>
                <w:sz w:val="20"/>
                <w:szCs w:val="20"/>
                <w:color w:val="auto"/>
              </w:rPr>
            </w:pPr>
            <w:r>
              <w:rPr>
                <w:rFonts w:ascii="Arial" w:cs="Arial" w:eastAsia="Arial" w:hAnsi="Arial"/>
                <w:sz w:val="11"/>
                <w:szCs w:val="11"/>
                <w:color w:val="auto"/>
              </w:rPr>
              <w:t>Total revenues</w:t>
            </w:r>
          </w:p>
        </w:tc>
        <w:tc>
          <w:tcPr>
            <w:tcW w:w="1480" w:type="dxa"/>
            <w:vAlign w:val="bottom"/>
            <w:shd w:val="clear" w:color="auto" w:fill="CCCCCC"/>
          </w:tcPr>
          <w:p>
            <w:pPr>
              <w:spacing w:after="0"/>
              <w:rPr>
                <w:sz w:val="12"/>
                <w:szCs w:val="12"/>
                <w:color w:val="auto"/>
              </w:rPr>
            </w:pPr>
          </w:p>
        </w:tc>
        <w:tc>
          <w:tcPr>
            <w:tcW w:w="1580" w:type="dxa"/>
            <w:vAlign w:val="bottom"/>
            <w:shd w:val="clear" w:color="auto" w:fill="CCCCCC"/>
          </w:tcPr>
          <w:p>
            <w:pPr>
              <w:jc w:val="center"/>
              <w:ind w:left="886"/>
              <w:spacing w:after="0"/>
              <w:rPr>
                <w:sz w:val="20"/>
                <w:szCs w:val="20"/>
                <w:color w:val="auto"/>
              </w:rPr>
            </w:pPr>
            <w:r>
              <w:rPr>
                <w:rFonts w:ascii="Arial" w:cs="Arial" w:eastAsia="Arial" w:hAnsi="Arial"/>
                <w:sz w:val="11"/>
                <w:szCs w:val="11"/>
                <w:color w:val="auto"/>
                <w:w w:val="94"/>
              </w:rPr>
              <w:t>$397.5</w:t>
            </w:r>
          </w:p>
        </w:tc>
        <w:tc>
          <w:tcPr>
            <w:tcW w:w="3440" w:type="dxa"/>
            <w:vAlign w:val="bottom"/>
            <w:shd w:val="clear" w:color="auto" w:fill="CCCCCC"/>
          </w:tcPr>
          <w:p>
            <w:pPr>
              <w:jc w:val="center"/>
              <w:ind w:left="886"/>
              <w:spacing w:after="0"/>
              <w:rPr>
                <w:sz w:val="20"/>
                <w:szCs w:val="20"/>
                <w:color w:val="auto"/>
              </w:rPr>
            </w:pPr>
            <w:r>
              <w:rPr>
                <w:rFonts w:ascii="Arial" w:cs="Arial" w:eastAsia="Arial" w:hAnsi="Arial"/>
                <w:sz w:val="11"/>
                <w:szCs w:val="11"/>
                <w:color w:val="auto"/>
              </w:rPr>
              <w:t>$394.7</w:t>
            </w:r>
          </w:p>
        </w:tc>
      </w:tr>
      <w:tr>
        <w:trPr>
          <w:trHeight w:val="155"/>
        </w:trPr>
        <w:tc>
          <w:tcPr>
            <w:tcW w:w="480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Contract and grants revenues</w:t>
            </w:r>
          </w:p>
        </w:tc>
        <w:tc>
          <w:tcPr>
            <w:tcW w:w="1480" w:type="dxa"/>
            <w:vAlign w:val="bottom"/>
            <w:tcBorders>
              <w:bottom w:val="single" w:sz="8" w:color="CCCCCC"/>
            </w:tcBorders>
            <w:shd w:val="clear" w:color="auto" w:fill="CCCCCC"/>
          </w:tcPr>
          <w:p>
            <w:pPr>
              <w:spacing w:after="0"/>
              <w:rPr>
                <w:sz w:val="13"/>
                <w:szCs w:val="13"/>
                <w:color w:val="auto"/>
              </w:rPr>
            </w:pPr>
          </w:p>
        </w:tc>
        <w:tc>
          <w:tcPr>
            <w:tcW w:w="1580" w:type="dxa"/>
            <w:vAlign w:val="bottom"/>
            <w:tcBorders>
              <w:bottom w:val="single" w:sz="8" w:color="auto"/>
            </w:tcBorders>
            <w:shd w:val="clear" w:color="auto" w:fill="CCCCCC"/>
          </w:tcPr>
          <w:p>
            <w:pPr>
              <w:jc w:val="center"/>
              <w:ind w:left="886"/>
              <w:spacing w:after="0"/>
              <w:rPr>
                <w:sz w:val="20"/>
                <w:szCs w:val="20"/>
                <w:color w:val="auto"/>
              </w:rPr>
            </w:pPr>
            <w:r>
              <w:rPr>
                <w:rFonts w:ascii="Arial" w:cs="Arial" w:eastAsia="Arial" w:hAnsi="Arial"/>
                <w:sz w:val="11"/>
                <w:szCs w:val="11"/>
                <w:color w:val="auto"/>
                <w:w w:val="97"/>
              </w:rPr>
              <w:t>(25.4)</w:t>
            </w:r>
          </w:p>
        </w:tc>
        <w:tc>
          <w:tcPr>
            <w:tcW w:w="3440" w:type="dxa"/>
            <w:vAlign w:val="bottom"/>
            <w:tcBorders>
              <w:bottom w:val="single" w:sz="8" w:color="auto"/>
            </w:tcBorders>
            <w:shd w:val="clear" w:color="auto" w:fill="CCCCCC"/>
          </w:tcPr>
          <w:p>
            <w:pPr>
              <w:jc w:val="center"/>
              <w:ind w:left="866"/>
              <w:spacing w:after="0"/>
              <w:rPr>
                <w:sz w:val="20"/>
                <w:szCs w:val="20"/>
                <w:color w:val="auto"/>
              </w:rPr>
            </w:pPr>
            <w:r>
              <w:rPr>
                <w:rFonts w:ascii="Arial" w:cs="Arial" w:eastAsia="Arial" w:hAnsi="Arial"/>
                <w:sz w:val="11"/>
                <w:szCs w:val="11"/>
                <w:color w:val="auto"/>
                <w:w w:val="97"/>
              </w:rPr>
              <w:t>(23.6)</w:t>
            </w:r>
          </w:p>
        </w:tc>
      </w:tr>
      <w:tr>
        <w:trPr>
          <w:trHeight w:val="131"/>
        </w:trPr>
        <w:tc>
          <w:tcPr>
            <w:tcW w:w="480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revenues</w:t>
            </w:r>
          </w:p>
        </w:tc>
        <w:tc>
          <w:tcPr>
            <w:tcW w:w="1480" w:type="dxa"/>
            <w:vAlign w:val="bottom"/>
            <w:shd w:val="clear" w:color="auto" w:fill="CCCCCC"/>
          </w:tcPr>
          <w:p>
            <w:pPr>
              <w:spacing w:after="0"/>
              <w:rPr>
                <w:sz w:val="11"/>
                <w:szCs w:val="11"/>
                <w:color w:val="auto"/>
              </w:rPr>
            </w:pPr>
          </w:p>
        </w:tc>
        <w:tc>
          <w:tcPr>
            <w:tcW w:w="1580" w:type="dxa"/>
            <w:vAlign w:val="bottom"/>
            <w:shd w:val="clear" w:color="auto" w:fill="CCCCCC"/>
          </w:tcPr>
          <w:p>
            <w:pPr>
              <w:jc w:val="center"/>
              <w:ind w:left="886"/>
              <w:spacing w:after="0"/>
              <w:rPr>
                <w:sz w:val="20"/>
                <w:szCs w:val="20"/>
                <w:color w:val="auto"/>
              </w:rPr>
            </w:pPr>
            <w:r>
              <w:rPr>
                <w:rFonts w:ascii="Arial" w:cs="Arial" w:eastAsia="Arial" w:hAnsi="Arial"/>
                <w:sz w:val="11"/>
                <w:szCs w:val="11"/>
                <w:color w:val="auto"/>
                <w:w w:val="94"/>
              </w:rPr>
              <w:t>$372.1</w:t>
            </w:r>
          </w:p>
        </w:tc>
        <w:tc>
          <w:tcPr>
            <w:tcW w:w="3440" w:type="dxa"/>
            <w:vAlign w:val="bottom"/>
            <w:shd w:val="clear" w:color="auto" w:fill="CCCCCC"/>
          </w:tcPr>
          <w:p>
            <w:pPr>
              <w:jc w:val="center"/>
              <w:ind w:left="886"/>
              <w:spacing w:after="0"/>
              <w:rPr>
                <w:sz w:val="20"/>
                <w:szCs w:val="20"/>
                <w:color w:val="auto"/>
              </w:rPr>
            </w:pPr>
            <w:r>
              <w:rPr>
                <w:rFonts w:ascii="Arial" w:cs="Arial" w:eastAsia="Arial" w:hAnsi="Arial"/>
                <w:sz w:val="11"/>
                <w:szCs w:val="11"/>
                <w:color w:val="auto"/>
              </w:rPr>
              <w:t>$371.1</w:t>
            </w:r>
          </w:p>
        </w:tc>
      </w:tr>
      <w:tr>
        <w:trPr>
          <w:trHeight w:val="324"/>
        </w:trPr>
        <w:tc>
          <w:tcPr>
            <w:tcW w:w="4800" w:type="dxa"/>
            <w:vAlign w:val="bottom"/>
            <w:shd w:val="clear" w:color="auto" w:fill="CCCCCC"/>
          </w:tcPr>
          <w:p>
            <w:pPr>
              <w:ind w:left="20"/>
              <w:spacing w:after="0"/>
              <w:rPr>
                <w:sz w:val="20"/>
                <w:szCs w:val="20"/>
                <w:color w:val="auto"/>
              </w:rPr>
            </w:pPr>
            <w:r>
              <w:rPr>
                <w:rFonts w:ascii="Arial" w:cs="Arial" w:eastAsia="Arial" w:hAnsi="Arial"/>
                <w:sz w:val="11"/>
                <w:szCs w:val="11"/>
                <w:color w:val="auto"/>
              </w:rPr>
              <w:t>Cost of product sales and contract development and manufacturing services ("COGS")</w:t>
            </w:r>
          </w:p>
        </w:tc>
        <w:tc>
          <w:tcPr>
            <w:tcW w:w="1480" w:type="dxa"/>
            <w:vAlign w:val="bottom"/>
            <w:shd w:val="clear" w:color="auto" w:fill="CCCCCC"/>
          </w:tcPr>
          <w:p>
            <w:pPr>
              <w:spacing w:after="0"/>
              <w:rPr>
                <w:sz w:val="24"/>
                <w:szCs w:val="24"/>
                <w:color w:val="auto"/>
              </w:rPr>
            </w:pPr>
          </w:p>
        </w:tc>
        <w:tc>
          <w:tcPr>
            <w:tcW w:w="1580" w:type="dxa"/>
            <w:vAlign w:val="bottom"/>
            <w:shd w:val="clear" w:color="auto" w:fill="CCCCCC"/>
          </w:tcPr>
          <w:p>
            <w:pPr>
              <w:jc w:val="center"/>
              <w:ind w:left="886"/>
              <w:spacing w:after="0"/>
              <w:rPr>
                <w:sz w:val="20"/>
                <w:szCs w:val="20"/>
                <w:color w:val="auto"/>
              </w:rPr>
            </w:pPr>
            <w:r>
              <w:rPr>
                <w:rFonts w:ascii="Arial" w:cs="Arial" w:eastAsia="Arial" w:hAnsi="Arial"/>
                <w:sz w:val="11"/>
                <w:szCs w:val="11"/>
                <w:color w:val="auto"/>
                <w:w w:val="94"/>
              </w:rPr>
              <w:t>$227.8</w:t>
            </w:r>
          </w:p>
        </w:tc>
        <w:tc>
          <w:tcPr>
            <w:tcW w:w="3440" w:type="dxa"/>
            <w:vAlign w:val="bottom"/>
            <w:shd w:val="clear" w:color="auto" w:fill="CCCCCC"/>
          </w:tcPr>
          <w:p>
            <w:pPr>
              <w:jc w:val="center"/>
              <w:ind w:left="886"/>
              <w:spacing w:after="0"/>
              <w:rPr>
                <w:sz w:val="20"/>
                <w:szCs w:val="20"/>
                <w:color w:val="auto"/>
              </w:rPr>
            </w:pPr>
            <w:r>
              <w:rPr>
                <w:rFonts w:ascii="Arial" w:cs="Arial" w:eastAsia="Arial" w:hAnsi="Arial"/>
                <w:sz w:val="11"/>
                <w:szCs w:val="11"/>
                <w:color w:val="auto"/>
              </w:rPr>
              <w:t>$129.8</w:t>
            </w:r>
          </w:p>
        </w:tc>
      </w:tr>
      <w:tr>
        <w:trPr>
          <w:trHeight w:val="324"/>
        </w:trPr>
        <w:tc>
          <w:tcPr>
            <w:tcW w:w="4800" w:type="dxa"/>
            <w:vAlign w:val="bottom"/>
            <w:shd w:val="clear" w:color="auto" w:fill="CCCCCC"/>
          </w:tcPr>
          <w:p>
            <w:pPr>
              <w:ind w:left="20"/>
              <w:spacing w:after="0"/>
              <w:rPr>
                <w:sz w:val="20"/>
                <w:szCs w:val="20"/>
                <w:color w:val="auto"/>
              </w:rPr>
            </w:pPr>
            <w:r>
              <w:rPr>
                <w:rFonts w:ascii="Arial" w:cs="Arial" w:eastAsia="Arial" w:hAnsi="Arial"/>
                <w:sz w:val="11"/>
                <w:szCs w:val="11"/>
                <w:color w:val="auto"/>
              </w:rPr>
              <w:t>Gross margin (adjusted revenues minus COGS)</w:t>
            </w:r>
          </w:p>
        </w:tc>
        <w:tc>
          <w:tcPr>
            <w:tcW w:w="1480" w:type="dxa"/>
            <w:vAlign w:val="bottom"/>
            <w:shd w:val="clear" w:color="auto" w:fill="CCCCCC"/>
          </w:tcPr>
          <w:p>
            <w:pPr>
              <w:spacing w:after="0"/>
              <w:rPr>
                <w:sz w:val="24"/>
                <w:szCs w:val="24"/>
                <w:color w:val="auto"/>
              </w:rPr>
            </w:pPr>
          </w:p>
        </w:tc>
        <w:tc>
          <w:tcPr>
            <w:tcW w:w="1580" w:type="dxa"/>
            <w:vAlign w:val="bottom"/>
            <w:shd w:val="clear" w:color="auto" w:fill="CCCCCC"/>
          </w:tcPr>
          <w:p>
            <w:pPr>
              <w:jc w:val="center"/>
              <w:ind w:left="886"/>
              <w:spacing w:after="0"/>
              <w:rPr>
                <w:sz w:val="20"/>
                <w:szCs w:val="20"/>
                <w:color w:val="auto"/>
              </w:rPr>
            </w:pPr>
            <w:r>
              <w:rPr>
                <w:rFonts w:ascii="Arial" w:cs="Arial" w:eastAsia="Arial" w:hAnsi="Arial"/>
                <w:sz w:val="11"/>
                <w:szCs w:val="11"/>
                <w:color w:val="auto"/>
                <w:w w:val="94"/>
              </w:rPr>
              <w:t>$144.3</w:t>
            </w:r>
          </w:p>
        </w:tc>
        <w:tc>
          <w:tcPr>
            <w:tcW w:w="3440" w:type="dxa"/>
            <w:vAlign w:val="bottom"/>
            <w:shd w:val="clear" w:color="auto" w:fill="CCCCCC"/>
          </w:tcPr>
          <w:p>
            <w:pPr>
              <w:jc w:val="center"/>
              <w:ind w:left="886"/>
              <w:spacing w:after="0"/>
              <w:rPr>
                <w:sz w:val="20"/>
                <w:szCs w:val="20"/>
                <w:color w:val="auto"/>
              </w:rPr>
            </w:pPr>
            <w:r>
              <w:rPr>
                <w:rFonts w:ascii="Arial" w:cs="Arial" w:eastAsia="Arial" w:hAnsi="Arial"/>
                <w:sz w:val="11"/>
                <w:szCs w:val="11"/>
                <w:color w:val="auto"/>
              </w:rPr>
              <w:t>$241.3</w:t>
            </w:r>
          </w:p>
        </w:tc>
      </w:tr>
      <w:tr>
        <w:trPr>
          <w:trHeight w:val="157"/>
        </w:trPr>
        <w:tc>
          <w:tcPr>
            <w:tcW w:w="4800" w:type="dxa"/>
            <w:vAlign w:val="bottom"/>
            <w:shd w:val="clear" w:color="auto" w:fill="CCCCCC"/>
          </w:tcPr>
          <w:p>
            <w:pPr>
              <w:ind w:left="20"/>
              <w:spacing w:after="0"/>
              <w:rPr>
                <w:sz w:val="20"/>
                <w:szCs w:val="20"/>
                <w:color w:val="auto"/>
              </w:rPr>
            </w:pPr>
            <w:r>
              <w:rPr>
                <w:rFonts w:ascii="Arial" w:cs="Arial" w:eastAsia="Arial" w:hAnsi="Arial"/>
                <w:sz w:val="11"/>
                <w:szCs w:val="11"/>
                <w:color w:val="auto"/>
              </w:rPr>
              <w:t>Gross margin % (gross margin divided by adjusted revenues)</w:t>
            </w:r>
          </w:p>
        </w:tc>
        <w:tc>
          <w:tcPr>
            <w:tcW w:w="1480" w:type="dxa"/>
            <w:vAlign w:val="bottom"/>
            <w:shd w:val="clear" w:color="auto" w:fill="CCCCCC"/>
          </w:tcPr>
          <w:p>
            <w:pPr>
              <w:spacing w:after="0"/>
              <w:rPr>
                <w:sz w:val="13"/>
                <w:szCs w:val="13"/>
                <w:color w:val="auto"/>
              </w:rPr>
            </w:pPr>
          </w:p>
        </w:tc>
        <w:tc>
          <w:tcPr>
            <w:tcW w:w="1580" w:type="dxa"/>
            <w:vAlign w:val="bottom"/>
            <w:shd w:val="clear" w:color="auto" w:fill="CCCCCC"/>
          </w:tcPr>
          <w:p>
            <w:pPr>
              <w:jc w:val="center"/>
              <w:ind w:left="886"/>
              <w:spacing w:after="0"/>
              <w:rPr>
                <w:sz w:val="20"/>
                <w:szCs w:val="20"/>
                <w:color w:val="auto"/>
              </w:rPr>
            </w:pPr>
            <w:r>
              <w:rPr>
                <w:rFonts w:ascii="Arial" w:cs="Arial" w:eastAsia="Arial" w:hAnsi="Arial"/>
                <w:sz w:val="11"/>
                <w:szCs w:val="11"/>
                <w:color w:val="auto"/>
                <w:w w:val="90"/>
              </w:rPr>
              <w:t>39%</w:t>
            </w:r>
          </w:p>
        </w:tc>
        <w:tc>
          <w:tcPr>
            <w:tcW w:w="3440" w:type="dxa"/>
            <w:vAlign w:val="bottom"/>
            <w:shd w:val="clear" w:color="auto" w:fill="CCCCCC"/>
          </w:tcPr>
          <w:p>
            <w:pPr>
              <w:jc w:val="center"/>
              <w:ind w:left="886"/>
              <w:spacing w:after="0"/>
              <w:rPr>
                <w:sz w:val="20"/>
                <w:szCs w:val="20"/>
                <w:color w:val="auto"/>
              </w:rPr>
            </w:pPr>
            <w:r>
              <w:rPr>
                <w:rFonts w:ascii="Arial" w:cs="Arial" w:eastAsia="Arial" w:hAnsi="Arial"/>
                <w:sz w:val="11"/>
                <w:szCs w:val="11"/>
                <w:color w:val="auto"/>
                <w:w w:val="99"/>
              </w:rPr>
              <w:t>65%</w:t>
            </w:r>
          </w:p>
        </w:tc>
      </w:tr>
      <w:tr>
        <w:trPr>
          <w:trHeight w:val="572"/>
        </w:trPr>
        <w:tc>
          <w:tcPr>
            <w:tcW w:w="4800" w:type="dxa"/>
            <w:vAlign w:val="bottom"/>
          </w:tcPr>
          <w:p>
            <w:pPr>
              <w:spacing w:after="0"/>
              <w:rPr>
                <w:sz w:val="24"/>
                <w:szCs w:val="24"/>
                <w:color w:val="auto"/>
              </w:rPr>
            </w:pPr>
          </w:p>
        </w:tc>
        <w:tc>
          <w:tcPr>
            <w:tcW w:w="3060" w:type="dxa"/>
            <w:vAlign w:val="bottom"/>
            <w:gridSpan w:val="2"/>
          </w:tcPr>
          <w:p>
            <w:pPr>
              <w:ind w:left="660"/>
              <w:spacing w:after="0"/>
              <w:rPr>
                <w:sz w:val="20"/>
                <w:szCs w:val="20"/>
                <w:color w:val="auto"/>
              </w:rPr>
            </w:pPr>
            <w:r>
              <w:rPr>
                <w:rFonts w:ascii="Arial" w:cs="Arial" w:eastAsia="Arial" w:hAnsi="Arial"/>
                <w:sz w:val="11"/>
                <w:szCs w:val="11"/>
                <w:color w:val="auto"/>
              </w:rPr>
              <w:t>12 of 13</w:t>
            </w:r>
          </w:p>
        </w:tc>
        <w:tc>
          <w:tcPr>
            <w:tcW w:w="34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-762635</wp:posOffset>
            </wp:positionV>
            <wp:extent cx="7178040" cy="4057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405765"/>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53"/>
        </w:trPr>
        <w:tc>
          <w:tcPr>
            <w:tcW w:w="6280" w:type="dxa"/>
            <w:vAlign w:val="bottom"/>
            <w:shd w:val="clear" w:color="auto" w:fill="0F243E"/>
          </w:tcPr>
          <w:p>
            <w:pPr>
              <w:spacing w:after="0"/>
              <w:rPr>
                <w:sz w:val="13"/>
                <w:szCs w:val="13"/>
                <w:color w:val="auto"/>
              </w:rPr>
            </w:pPr>
          </w:p>
        </w:tc>
        <w:tc>
          <w:tcPr>
            <w:tcW w:w="1620" w:type="dxa"/>
            <w:vAlign w:val="bottom"/>
            <w:shd w:val="clear" w:color="auto" w:fill="0F243E"/>
          </w:tcPr>
          <w:p>
            <w:pPr>
              <w:spacing w:after="0"/>
              <w:rPr>
                <w:sz w:val="13"/>
                <w:szCs w:val="13"/>
                <w:color w:val="auto"/>
              </w:rPr>
            </w:pPr>
          </w:p>
        </w:tc>
        <w:tc>
          <w:tcPr>
            <w:tcW w:w="3400" w:type="dxa"/>
            <w:vAlign w:val="bottom"/>
            <w:shd w:val="clear" w:color="auto" w:fill="0F243E"/>
          </w:tcPr>
          <w:p>
            <w:pPr>
              <w:ind w:left="200"/>
              <w:spacing w:after="0"/>
              <w:rPr>
                <w:sz w:val="20"/>
                <w:szCs w:val="20"/>
                <w:color w:val="auto"/>
              </w:rPr>
            </w:pPr>
            <w:r>
              <w:rPr>
                <w:rFonts w:ascii="Arial" w:cs="Arial" w:eastAsia="Arial" w:hAnsi="Arial"/>
                <w:sz w:val="11"/>
                <w:szCs w:val="11"/>
                <w:b w:val="1"/>
                <w:bCs w:val="1"/>
                <w:color w:val="FFFFFF"/>
              </w:rPr>
              <w:t>Six Months Ended June 30,</w:t>
            </w:r>
          </w:p>
        </w:tc>
      </w:tr>
      <w:tr>
        <w:trPr>
          <w:trHeight w:val="153"/>
        </w:trPr>
        <w:tc>
          <w:tcPr>
            <w:tcW w:w="62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1620" w:type="dxa"/>
            <w:vAlign w:val="bottom"/>
            <w:shd w:val="clear" w:color="auto" w:fill="0F243E"/>
          </w:tcPr>
          <w:p>
            <w:pPr>
              <w:jc w:val="center"/>
              <w:ind w:left="846"/>
              <w:spacing w:after="0"/>
              <w:rPr>
                <w:sz w:val="20"/>
                <w:szCs w:val="20"/>
                <w:color w:val="auto"/>
              </w:rPr>
            </w:pPr>
            <w:r>
              <w:rPr>
                <w:rFonts w:ascii="Arial" w:cs="Arial" w:eastAsia="Arial" w:hAnsi="Arial"/>
                <w:sz w:val="11"/>
                <w:szCs w:val="11"/>
                <w:b w:val="1"/>
                <w:bCs w:val="1"/>
                <w:color w:val="FFFFFF"/>
                <w:w w:val="97"/>
              </w:rPr>
              <w:t>2021</w:t>
            </w:r>
          </w:p>
        </w:tc>
        <w:tc>
          <w:tcPr>
            <w:tcW w:w="3400" w:type="dxa"/>
            <w:vAlign w:val="bottom"/>
            <w:shd w:val="clear" w:color="auto" w:fill="0F243E"/>
          </w:tcPr>
          <w:p>
            <w:pPr>
              <w:jc w:val="center"/>
              <w:ind w:left="826"/>
              <w:spacing w:after="0"/>
              <w:rPr>
                <w:sz w:val="20"/>
                <w:szCs w:val="20"/>
                <w:color w:val="auto"/>
              </w:rPr>
            </w:pPr>
            <w:r>
              <w:rPr>
                <w:rFonts w:ascii="Arial" w:cs="Arial" w:eastAsia="Arial" w:hAnsi="Arial"/>
                <w:sz w:val="11"/>
                <w:szCs w:val="11"/>
                <w:b w:val="1"/>
                <w:bCs w:val="1"/>
                <w:color w:val="FFFFFF"/>
                <w:w w:val="97"/>
              </w:rPr>
              <w:t>2020</w:t>
            </w:r>
          </w:p>
        </w:tc>
      </w:tr>
      <w:tr>
        <w:trPr>
          <w:trHeight w:val="149"/>
        </w:trPr>
        <w:tc>
          <w:tcPr>
            <w:tcW w:w="6280" w:type="dxa"/>
            <w:vAlign w:val="bottom"/>
            <w:shd w:val="clear" w:color="auto" w:fill="CCCCCC"/>
          </w:tcPr>
          <w:p>
            <w:pPr>
              <w:spacing w:after="0"/>
              <w:rPr>
                <w:sz w:val="20"/>
                <w:szCs w:val="20"/>
                <w:color w:val="auto"/>
              </w:rPr>
            </w:pPr>
            <w:r>
              <w:rPr>
                <w:rFonts w:ascii="Arial" w:cs="Arial" w:eastAsia="Arial" w:hAnsi="Arial"/>
                <w:sz w:val="11"/>
                <w:szCs w:val="11"/>
                <w:color w:val="auto"/>
              </w:rPr>
              <w:t>Total revenues</w:t>
            </w:r>
          </w:p>
        </w:tc>
        <w:tc>
          <w:tcPr>
            <w:tcW w:w="162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w w:val="94"/>
              </w:rPr>
              <w:t>$740.5</w:t>
            </w:r>
          </w:p>
        </w:tc>
        <w:tc>
          <w:tcPr>
            <w:tcW w:w="340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rPr>
              <w:t>$587.2</w:t>
            </w:r>
          </w:p>
        </w:tc>
      </w:tr>
      <w:tr>
        <w:trPr>
          <w:trHeight w:val="155"/>
        </w:trPr>
        <w:tc>
          <w:tcPr>
            <w:tcW w:w="62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Contract and grants revenues</w:t>
            </w:r>
          </w:p>
        </w:tc>
        <w:tc>
          <w:tcPr>
            <w:tcW w:w="1620" w:type="dxa"/>
            <w:vAlign w:val="bottom"/>
            <w:tcBorders>
              <w:bottom w:val="single" w:sz="8" w:color="auto"/>
            </w:tcBorders>
            <w:shd w:val="clear" w:color="auto" w:fill="CCCCCC"/>
          </w:tcPr>
          <w:p>
            <w:pPr>
              <w:jc w:val="center"/>
              <w:ind w:left="846"/>
              <w:spacing w:after="0"/>
              <w:rPr>
                <w:sz w:val="20"/>
                <w:szCs w:val="20"/>
                <w:color w:val="auto"/>
              </w:rPr>
            </w:pPr>
            <w:r>
              <w:rPr>
                <w:rFonts w:ascii="Arial" w:cs="Arial" w:eastAsia="Arial" w:hAnsi="Arial"/>
                <w:sz w:val="11"/>
                <w:szCs w:val="11"/>
                <w:color w:val="auto"/>
                <w:w w:val="97"/>
              </w:rPr>
              <w:t>(46.7)</w:t>
            </w:r>
          </w:p>
        </w:tc>
        <w:tc>
          <w:tcPr>
            <w:tcW w:w="3400" w:type="dxa"/>
            <w:vAlign w:val="bottom"/>
            <w:tcBorders>
              <w:bottom w:val="single" w:sz="8" w:color="auto"/>
            </w:tcBorders>
            <w:shd w:val="clear" w:color="auto" w:fill="CCCCCC"/>
          </w:tcPr>
          <w:p>
            <w:pPr>
              <w:jc w:val="center"/>
              <w:ind w:left="826"/>
              <w:spacing w:after="0"/>
              <w:rPr>
                <w:sz w:val="20"/>
                <w:szCs w:val="20"/>
                <w:color w:val="auto"/>
              </w:rPr>
            </w:pPr>
            <w:r>
              <w:rPr>
                <w:rFonts w:ascii="Arial" w:cs="Arial" w:eastAsia="Arial" w:hAnsi="Arial"/>
                <w:sz w:val="11"/>
                <w:szCs w:val="11"/>
                <w:color w:val="auto"/>
                <w:w w:val="97"/>
              </w:rPr>
              <w:t>(46.2)</w:t>
            </w:r>
          </w:p>
        </w:tc>
      </w:tr>
      <w:tr>
        <w:trPr>
          <w:trHeight w:val="131"/>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Adjusted revenues</w:t>
            </w:r>
          </w:p>
        </w:tc>
        <w:tc>
          <w:tcPr>
            <w:tcW w:w="162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w w:val="94"/>
              </w:rPr>
              <w:t>$693.8</w:t>
            </w:r>
          </w:p>
        </w:tc>
        <w:tc>
          <w:tcPr>
            <w:tcW w:w="340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rPr>
              <w:t>$541.0</w:t>
            </w:r>
          </w:p>
        </w:tc>
      </w:tr>
      <w:tr>
        <w:trPr>
          <w:trHeight w:val="324"/>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Cost of product sales and contract development and manufacturing services ("COGS")</w:t>
            </w:r>
          </w:p>
        </w:tc>
        <w:tc>
          <w:tcPr>
            <w:tcW w:w="162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w w:val="94"/>
              </w:rPr>
              <w:t>$327.1</w:t>
            </w:r>
          </w:p>
        </w:tc>
        <w:tc>
          <w:tcPr>
            <w:tcW w:w="340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rPr>
              <w:t>$206.7</w:t>
            </w:r>
          </w:p>
        </w:tc>
      </w:tr>
      <w:tr>
        <w:trPr>
          <w:trHeight w:val="324"/>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Gross margin (adjusted revenues minus COGS)</w:t>
            </w:r>
          </w:p>
        </w:tc>
        <w:tc>
          <w:tcPr>
            <w:tcW w:w="162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w w:val="94"/>
              </w:rPr>
              <w:t>$366.7</w:t>
            </w:r>
          </w:p>
        </w:tc>
        <w:tc>
          <w:tcPr>
            <w:tcW w:w="340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rPr>
              <w:t>$334.3</w:t>
            </w:r>
          </w:p>
        </w:tc>
      </w:tr>
      <w:tr>
        <w:trPr>
          <w:trHeight w:val="157"/>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Gross margin % (gross margin divided by adjusted revenues)</w:t>
            </w:r>
          </w:p>
        </w:tc>
        <w:tc>
          <w:tcPr>
            <w:tcW w:w="162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w w:val="90"/>
              </w:rPr>
              <w:t>53%</w:t>
            </w:r>
          </w:p>
        </w:tc>
        <w:tc>
          <w:tcPr>
            <w:tcW w:w="340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w w:val="99"/>
              </w:rPr>
              <w:t>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466090</wp:posOffset>
            </wp:positionV>
            <wp:extent cx="7183755" cy="4914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3755" cy="4914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-399415</wp:posOffset>
            </wp:positionV>
            <wp:extent cx="7178040" cy="4057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40576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Reconciliation of Net Research and Development Expenses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83755" cy="851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3755" cy="851535"/>
                    </a:xfrm>
                    <a:prstGeom prst="rect">
                      <a:avLst/>
                    </a:prstGeom>
                    <a:noFill/>
                  </pic:spPr>
                </pic:pic>
              </a:graphicData>
            </a:graphic>
          </wp:anchor>
        </w:drawing>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280" w:type="dxa"/>
            <w:vAlign w:val="bottom"/>
            <w:shd w:val="clear" w:color="auto" w:fill="0F243E"/>
          </w:tcPr>
          <w:p>
            <w:pPr>
              <w:spacing w:after="0"/>
              <w:rPr>
                <w:sz w:val="13"/>
                <w:szCs w:val="13"/>
                <w:color w:val="auto"/>
              </w:rPr>
            </w:pPr>
          </w:p>
        </w:tc>
        <w:tc>
          <w:tcPr>
            <w:tcW w:w="1580" w:type="dxa"/>
            <w:vAlign w:val="bottom"/>
            <w:shd w:val="clear" w:color="auto" w:fill="0F243E"/>
          </w:tcPr>
          <w:p>
            <w:pPr>
              <w:spacing w:after="0"/>
              <w:rPr>
                <w:sz w:val="13"/>
                <w:szCs w:val="13"/>
                <w:color w:val="auto"/>
              </w:rPr>
            </w:pPr>
          </w:p>
        </w:tc>
        <w:tc>
          <w:tcPr>
            <w:tcW w:w="3440" w:type="dxa"/>
            <w:vAlign w:val="bottom"/>
            <w:gridSpan w:val="2"/>
            <w:shd w:val="clear" w:color="auto" w:fill="0F243E"/>
          </w:tcPr>
          <w:p>
            <w:pPr>
              <w:ind w:left="160"/>
              <w:spacing w:after="0"/>
              <w:rPr>
                <w:sz w:val="20"/>
                <w:szCs w:val="20"/>
                <w:color w:val="auto"/>
              </w:rPr>
            </w:pPr>
            <w:r>
              <w:rPr>
                <w:rFonts w:ascii="Arial" w:cs="Arial" w:eastAsia="Arial" w:hAnsi="Arial"/>
                <w:sz w:val="11"/>
                <w:szCs w:val="11"/>
                <w:b w:val="1"/>
                <w:bCs w:val="1"/>
                <w:color w:val="FFFFFF"/>
              </w:rPr>
              <w:t>Three Months Ended June 30,</w:t>
            </w:r>
          </w:p>
        </w:tc>
        <w:tc>
          <w:tcPr>
            <w:tcW w:w="0" w:type="dxa"/>
            <w:vAlign w:val="bottom"/>
          </w:tcPr>
          <w:p>
            <w:pPr>
              <w:spacing w:after="0"/>
              <w:rPr>
                <w:sz w:val="1"/>
                <w:szCs w:val="1"/>
                <w:color w:val="auto"/>
              </w:rPr>
            </w:pPr>
          </w:p>
        </w:tc>
      </w:tr>
      <w:tr>
        <w:trPr>
          <w:trHeight w:val="153"/>
        </w:trPr>
        <w:tc>
          <w:tcPr>
            <w:tcW w:w="628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1580" w:type="dxa"/>
            <w:vAlign w:val="bottom"/>
            <w:shd w:val="clear" w:color="auto" w:fill="0F243E"/>
          </w:tcPr>
          <w:p>
            <w:pPr>
              <w:jc w:val="center"/>
              <w:ind w:left="886"/>
              <w:spacing w:after="0"/>
              <w:rPr>
                <w:sz w:val="20"/>
                <w:szCs w:val="20"/>
                <w:color w:val="auto"/>
              </w:rPr>
            </w:pPr>
            <w:r>
              <w:rPr>
                <w:rFonts w:ascii="Arial" w:cs="Arial" w:eastAsia="Arial" w:hAnsi="Arial"/>
                <w:sz w:val="11"/>
                <w:szCs w:val="11"/>
                <w:b w:val="1"/>
                <w:bCs w:val="1"/>
                <w:color w:val="FFFFFF"/>
                <w:w w:val="97"/>
              </w:rPr>
              <w:t>2021</w:t>
            </w:r>
          </w:p>
        </w:tc>
        <w:tc>
          <w:tcPr>
            <w:tcW w:w="3440" w:type="dxa"/>
            <w:vAlign w:val="bottom"/>
            <w:gridSpan w:val="2"/>
            <w:shd w:val="clear" w:color="auto" w:fill="0F243E"/>
          </w:tcPr>
          <w:p>
            <w:pPr>
              <w:jc w:val="center"/>
              <w:ind w:left="866"/>
              <w:spacing w:after="0"/>
              <w:rPr>
                <w:sz w:val="20"/>
                <w:szCs w:val="20"/>
                <w:color w:val="auto"/>
              </w:rPr>
            </w:pPr>
            <w:r>
              <w:rPr>
                <w:rFonts w:ascii="Arial" w:cs="Arial" w:eastAsia="Arial" w:hAnsi="Arial"/>
                <w:sz w:val="11"/>
                <w:szCs w:val="11"/>
                <w:b w:val="1"/>
                <w:bCs w:val="1"/>
                <w:color w:val="FFFFFF"/>
                <w:w w:val="97"/>
              </w:rPr>
              <w:t>2020</w:t>
            </w:r>
          </w:p>
        </w:tc>
        <w:tc>
          <w:tcPr>
            <w:tcW w:w="0" w:type="dxa"/>
            <w:vAlign w:val="bottom"/>
          </w:tcPr>
          <w:p>
            <w:pPr>
              <w:spacing w:after="0"/>
              <w:rPr>
                <w:sz w:val="1"/>
                <w:szCs w:val="1"/>
                <w:color w:val="auto"/>
              </w:rPr>
            </w:pPr>
          </w:p>
        </w:tc>
      </w:tr>
      <w:tr>
        <w:trPr>
          <w:trHeight w:val="149"/>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Research and Development Expenses</w:t>
            </w:r>
          </w:p>
        </w:tc>
        <w:tc>
          <w:tcPr>
            <w:tcW w:w="1580" w:type="dxa"/>
            <w:vAlign w:val="bottom"/>
            <w:shd w:val="clear" w:color="auto" w:fill="CCCCCC"/>
          </w:tcPr>
          <w:p>
            <w:pPr>
              <w:jc w:val="center"/>
              <w:ind w:left="886"/>
              <w:spacing w:after="0"/>
              <w:rPr>
                <w:sz w:val="20"/>
                <w:szCs w:val="20"/>
                <w:color w:val="auto"/>
              </w:rPr>
            </w:pPr>
            <w:r>
              <w:rPr>
                <w:rFonts w:ascii="Arial" w:cs="Arial" w:eastAsia="Arial" w:hAnsi="Arial"/>
                <w:sz w:val="11"/>
                <w:szCs w:val="11"/>
                <w:color w:val="auto"/>
              </w:rPr>
              <w:t>$48.9</w:t>
            </w:r>
          </w:p>
        </w:tc>
        <w:tc>
          <w:tcPr>
            <w:tcW w:w="3440" w:type="dxa"/>
            <w:vAlign w:val="bottom"/>
            <w:gridSpan w:val="2"/>
            <w:shd w:val="clear" w:color="auto" w:fill="CCCCCC"/>
          </w:tcPr>
          <w:p>
            <w:pPr>
              <w:jc w:val="center"/>
              <w:ind w:left="866"/>
              <w:spacing w:after="0"/>
              <w:rPr>
                <w:sz w:val="20"/>
                <w:szCs w:val="20"/>
                <w:color w:val="auto"/>
              </w:rPr>
            </w:pPr>
            <w:r>
              <w:rPr>
                <w:rFonts w:ascii="Arial" w:cs="Arial" w:eastAsia="Arial" w:hAnsi="Arial"/>
                <w:sz w:val="11"/>
                <w:szCs w:val="11"/>
                <w:color w:val="auto"/>
              </w:rPr>
              <w:t>$47.9</w:t>
            </w:r>
          </w:p>
        </w:tc>
        <w:tc>
          <w:tcPr>
            <w:tcW w:w="0" w:type="dxa"/>
            <w:vAlign w:val="bottom"/>
          </w:tcPr>
          <w:p>
            <w:pPr>
              <w:spacing w:after="0"/>
              <w:rPr>
                <w:sz w:val="1"/>
                <w:szCs w:val="1"/>
                <w:color w:val="auto"/>
              </w:rPr>
            </w:pPr>
          </w:p>
        </w:tc>
      </w:tr>
      <w:tr>
        <w:trPr>
          <w:trHeight w:val="153"/>
        </w:trPr>
        <w:tc>
          <w:tcPr>
            <w:tcW w:w="628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1580" w:type="dxa"/>
            <w:vAlign w:val="bottom"/>
            <w:shd w:val="clear" w:color="auto" w:fill="CCCCCC"/>
          </w:tcPr>
          <w:p>
            <w:pPr>
              <w:spacing w:after="0"/>
              <w:rPr>
                <w:sz w:val="13"/>
                <w:szCs w:val="13"/>
                <w:color w:val="auto"/>
              </w:rPr>
            </w:pPr>
          </w:p>
        </w:tc>
        <w:tc>
          <w:tcPr>
            <w:tcW w:w="920" w:type="dxa"/>
            <w:vAlign w:val="bottom"/>
            <w:shd w:val="clear" w:color="auto" w:fill="CCCCCC"/>
          </w:tcPr>
          <w:p>
            <w:pPr>
              <w:spacing w:after="0"/>
              <w:rPr>
                <w:sz w:val="13"/>
                <w:szCs w:val="13"/>
                <w:color w:val="auto"/>
              </w:rPr>
            </w:pPr>
          </w:p>
        </w:tc>
        <w:tc>
          <w:tcPr>
            <w:tcW w:w="252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28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Contracts and Grants Revenue</w:t>
            </w:r>
          </w:p>
        </w:tc>
        <w:tc>
          <w:tcPr>
            <w:tcW w:w="1580" w:type="dxa"/>
            <w:vAlign w:val="bottom"/>
            <w:tcBorders>
              <w:bottom w:val="single" w:sz="8" w:color="auto"/>
            </w:tcBorders>
            <w:shd w:val="clear" w:color="auto" w:fill="CCCCCC"/>
          </w:tcPr>
          <w:p>
            <w:pPr>
              <w:jc w:val="center"/>
              <w:ind w:left="886"/>
              <w:spacing w:after="0"/>
              <w:rPr>
                <w:sz w:val="20"/>
                <w:szCs w:val="20"/>
                <w:color w:val="auto"/>
              </w:rPr>
            </w:pPr>
            <w:r>
              <w:rPr>
                <w:rFonts w:ascii="Arial" w:cs="Arial" w:eastAsia="Arial" w:hAnsi="Arial"/>
                <w:sz w:val="11"/>
                <w:szCs w:val="11"/>
                <w:color w:val="auto"/>
                <w:w w:val="97"/>
              </w:rPr>
              <w:t>(25.4)</w:t>
            </w:r>
          </w:p>
        </w:tc>
        <w:tc>
          <w:tcPr>
            <w:tcW w:w="3440" w:type="dxa"/>
            <w:vAlign w:val="bottom"/>
            <w:tcBorders>
              <w:bottom w:val="single" w:sz="8" w:color="auto"/>
            </w:tcBorders>
            <w:gridSpan w:val="2"/>
            <w:shd w:val="clear" w:color="auto" w:fill="CCCCCC"/>
          </w:tcPr>
          <w:p>
            <w:pPr>
              <w:jc w:val="center"/>
              <w:ind w:left="866"/>
              <w:spacing w:after="0"/>
              <w:rPr>
                <w:sz w:val="20"/>
                <w:szCs w:val="20"/>
                <w:color w:val="auto"/>
              </w:rPr>
            </w:pPr>
            <w:r>
              <w:rPr>
                <w:rFonts w:ascii="Arial" w:cs="Arial" w:eastAsia="Arial" w:hAnsi="Arial"/>
                <w:sz w:val="11"/>
                <w:szCs w:val="11"/>
                <w:color w:val="auto"/>
                <w:w w:val="97"/>
              </w:rPr>
              <w:t>(23.6)</w:t>
            </w:r>
          </w:p>
        </w:tc>
        <w:tc>
          <w:tcPr>
            <w:tcW w:w="0" w:type="dxa"/>
            <w:vAlign w:val="bottom"/>
          </w:tcPr>
          <w:p>
            <w:pPr>
              <w:spacing w:after="0"/>
              <w:rPr>
                <w:sz w:val="1"/>
                <w:szCs w:val="1"/>
                <w:color w:val="auto"/>
              </w:rPr>
            </w:pPr>
          </w:p>
        </w:tc>
      </w:tr>
      <w:tr>
        <w:trPr>
          <w:trHeight w:val="131"/>
        </w:trPr>
        <w:tc>
          <w:tcPr>
            <w:tcW w:w="6280" w:type="dxa"/>
            <w:vAlign w:val="bottom"/>
            <w:shd w:val="clear" w:color="auto" w:fill="CCCCCC"/>
          </w:tcPr>
          <w:p>
            <w:pPr>
              <w:spacing w:after="0"/>
              <w:rPr>
                <w:sz w:val="20"/>
                <w:szCs w:val="20"/>
                <w:color w:val="auto"/>
              </w:rPr>
            </w:pPr>
            <w:r>
              <w:rPr>
                <w:rFonts w:ascii="Arial" w:cs="Arial" w:eastAsia="Arial" w:hAnsi="Arial"/>
                <w:sz w:val="11"/>
                <w:szCs w:val="11"/>
                <w:color w:val="auto"/>
              </w:rPr>
              <w:t>Net Research and Development Expenses</w:t>
            </w:r>
          </w:p>
        </w:tc>
        <w:tc>
          <w:tcPr>
            <w:tcW w:w="1580" w:type="dxa"/>
            <w:vAlign w:val="bottom"/>
            <w:shd w:val="clear" w:color="auto" w:fill="CCCCCC"/>
          </w:tcPr>
          <w:p>
            <w:pPr>
              <w:jc w:val="center"/>
              <w:ind w:left="886"/>
              <w:spacing w:after="0"/>
              <w:rPr>
                <w:sz w:val="20"/>
                <w:szCs w:val="20"/>
                <w:color w:val="auto"/>
              </w:rPr>
            </w:pPr>
            <w:r>
              <w:rPr>
                <w:rFonts w:ascii="Arial" w:cs="Arial" w:eastAsia="Arial" w:hAnsi="Arial"/>
                <w:sz w:val="11"/>
                <w:szCs w:val="11"/>
                <w:color w:val="auto"/>
                <w:w w:val="93"/>
              </w:rPr>
              <w:t>23.5</w:t>
            </w:r>
          </w:p>
        </w:tc>
        <w:tc>
          <w:tcPr>
            <w:tcW w:w="920" w:type="dxa"/>
            <w:vAlign w:val="bottom"/>
            <w:shd w:val="clear" w:color="auto" w:fill="CCCCCC"/>
          </w:tcPr>
          <w:p>
            <w:pPr>
              <w:spacing w:after="0"/>
              <w:rPr>
                <w:sz w:val="11"/>
                <w:szCs w:val="11"/>
                <w:color w:val="auto"/>
              </w:rPr>
            </w:pPr>
          </w:p>
        </w:tc>
        <w:tc>
          <w:tcPr>
            <w:tcW w:w="252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$24.3</w:t>
            </w:r>
          </w:p>
        </w:tc>
        <w:tc>
          <w:tcPr>
            <w:tcW w:w="0" w:type="dxa"/>
            <w:vAlign w:val="bottom"/>
          </w:tcPr>
          <w:p>
            <w:pPr>
              <w:spacing w:after="0"/>
              <w:rPr>
                <w:sz w:val="1"/>
                <w:szCs w:val="1"/>
                <w:color w:val="auto"/>
              </w:rPr>
            </w:pPr>
          </w:p>
        </w:tc>
      </w:tr>
      <w:tr>
        <w:trPr>
          <w:trHeight w:val="131"/>
        </w:trPr>
        <w:tc>
          <w:tcPr>
            <w:tcW w:w="6280" w:type="dxa"/>
            <w:vAlign w:val="bottom"/>
            <w:shd w:val="clear" w:color="auto" w:fill="CCCCCC"/>
          </w:tcPr>
          <w:p>
            <w:pPr>
              <w:spacing w:after="0"/>
              <w:rPr>
                <w:sz w:val="20"/>
                <w:szCs w:val="20"/>
                <w:color w:val="auto"/>
              </w:rPr>
            </w:pPr>
            <w:r>
              <w:rPr>
                <w:rFonts w:ascii="Arial" w:cs="Arial" w:eastAsia="Arial" w:hAnsi="Arial"/>
                <w:sz w:val="11"/>
                <w:szCs w:val="11"/>
                <w:color w:val="auto"/>
              </w:rPr>
              <w:t>Adjusted Revenue</w:t>
            </w:r>
          </w:p>
        </w:tc>
        <w:tc>
          <w:tcPr>
            <w:tcW w:w="1580" w:type="dxa"/>
            <w:vAlign w:val="bottom"/>
            <w:vMerge w:val="restart"/>
            <w:shd w:val="clear" w:color="auto" w:fill="CCCCCC"/>
          </w:tcPr>
          <w:p>
            <w:pPr>
              <w:jc w:val="center"/>
              <w:ind w:left="886"/>
              <w:spacing w:after="0"/>
              <w:rPr>
                <w:sz w:val="20"/>
                <w:szCs w:val="20"/>
                <w:color w:val="auto"/>
              </w:rPr>
            </w:pPr>
            <w:r>
              <w:rPr>
                <w:rFonts w:ascii="Arial" w:cs="Arial" w:eastAsia="Arial" w:hAnsi="Arial"/>
                <w:sz w:val="11"/>
                <w:szCs w:val="11"/>
                <w:color w:val="auto"/>
              </w:rPr>
              <w:t>372.1</w:t>
            </w:r>
          </w:p>
        </w:tc>
        <w:tc>
          <w:tcPr>
            <w:tcW w:w="920" w:type="dxa"/>
            <w:vAlign w:val="bottom"/>
            <w:shd w:val="clear" w:color="auto" w:fill="CCCCCC"/>
          </w:tcPr>
          <w:p>
            <w:pPr>
              <w:spacing w:after="0"/>
              <w:rPr>
                <w:sz w:val="11"/>
                <w:szCs w:val="11"/>
                <w:color w:val="auto"/>
              </w:rPr>
            </w:pPr>
          </w:p>
        </w:tc>
        <w:tc>
          <w:tcPr>
            <w:tcW w:w="2520" w:type="dxa"/>
            <w:vAlign w:val="bottom"/>
            <w:vMerge w:val="restart"/>
            <w:shd w:val="clear" w:color="auto" w:fill="CCCCCC"/>
          </w:tcPr>
          <w:p>
            <w:pPr>
              <w:jc w:val="center"/>
              <w:spacing w:after="0"/>
              <w:rPr>
                <w:sz w:val="20"/>
                <w:szCs w:val="20"/>
                <w:color w:val="auto"/>
              </w:rPr>
            </w:pPr>
            <w:r>
              <w:rPr>
                <w:rFonts w:ascii="Arial" w:cs="Arial" w:eastAsia="Arial" w:hAnsi="Arial"/>
                <w:sz w:val="11"/>
                <w:szCs w:val="11"/>
                <w:color w:val="auto"/>
              </w:rPr>
              <w:t>$371.1</w:t>
            </w:r>
          </w:p>
        </w:tc>
        <w:tc>
          <w:tcPr>
            <w:tcW w:w="0" w:type="dxa"/>
            <w:vAlign w:val="bottom"/>
          </w:tcPr>
          <w:p>
            <w:pPr>
              <w:spacing w:after="0"/>
              <w:rPr>
                <w:sz w:val="1"/>
                <w:szCs w:val="1"/>
                <w:color w:val="auto"/>
              </w:rPr>
            </w:pPr>
          </w:p>
        </w:tc>
      </w:tr>
      <w:tr>
        <w:trPr>
          <w:trHeight w:val="76"/>
        </w:trPr>
        <w:tc>
          <w:tcPr>
            <w:tcW w:w="6280" w:type="dxa"/>
            <w:vAlign w:val="bottom"/>
            <w:vMerge w:val="restart"/>
            <w:shd w:val="clear" w:color="auto" w:fill="CCCCCC"/>
          </w:tcPr>
          <w:p>
            <w:pPr>
              <w:spacing w:after="0"/>
              <w:rPr>
                <w:sz w:val="20"/>
                <w:szCs w:val="20"/>
                <w:color w:val="auto"/>
              </w:rPr>
            </w:pPr>
            <w:r>
              <w:rPr>
                <w:rFonts w:ascii="Arial" w:cs="Arial" w:eastAsia="Arial" w:hAnsi="Arial"/>
                <w:sz w:val="11"/>
                <w:szCs w:val="11"/>
                <w:color w:val="auto"/>
              </w:rPr>
              <w:t>(Total Revenue less Contracts and Grants Revenue)</w:t>
            </w:r>
          </w:p>
        </w:tc>
        <w:tc>
          <w:tcPr>
            <w:tcW w:w="1580" w:type="dxa"/>
            <w:vAlign w:val="bottom"/>
            <w:vMerge w:val="continue"/>
            <w:shd w:val="clear" w:color="auto" w:fill="CCCCCC"/>
          </w:tcPr>
          <w:p>
            <w:pPr>
              <w:spacing w:after="0"/>
              <w:rPr>
                <w:sz w:val="6"/>
                <w:szCs w:val="6"/>
                <w:color w:val="auto"/>
              </w:rPr>
            </w:pPr>
          </w:p>
        </w:tc>
        <w:tc>
          <w:tcPr>
            <w:tcW w:w="920" w:type="dxa"/>
            <w:vAlign w:val="bottom"/>
            <w:shd w:val="clear" w:color="auto" w:fill="CCCCCC"/>
          </w:tcPr>
          <w:p>
            <w:pPr>
              <w:spacing w:after="0"/>
              <w:rPr>
                <w:sz w:val="6"/>
                <w:szCs w:val="6"/>
                <w:color w:val="auto"/>
              </w:rPr>
            </w:pPr>
          </w:p>
        </w:tc>
        <w:tc>
          <w:tcPr>
            <w:tcW w:w="2520" w:type="dxa"/>
            <w:vAlign w:val="bottom"/>
            <w:vMerge w:val="continue"/>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6280" w:type="dxa"/>
            <w:vAlign w:val="bottom"/>
            <w:vMerge w:val="continue"/>
            <w:shd w:val="clear" w:color="auto" w:fill="CCCCCC"/>
          </w:tcPr>
          <w:p>
            <w:pPr>
              <w:spacing w:after="0"/>
              <w:rPr>
                <w:sz w:val="4"/>
                <w:szCs w:val="4"/>
                <w:color w:val="auto"/>
              </w:rPr>
            </w:pPr>
          </w:p>
        </w:tc>
        <w:tc>
          <w:tcPr>
            <w:tcW w:w="1580" w:type="dxa"/>
            <w:vAlign w:val="bottom"/>
            <w:shd w:val="clear" w:color="auto" w:fill="CCCCCC"/>
          </w:tcPr>
          <w:p>
            <w:pPr>
              <w:spacing w:after="0"/>
              <w:rPr>
                <w:sz w:val="4"/>
                <w:szCs w:val="4"/>
                <w:color w:val="auto"/>
              </w:rPr>
            </w:pPr>
          </w:p>
        </w:tc>
        <w:tc>
          <w:tcPr>
            <w:tcW w:w="920" w:type="dxa"/>
            <w:vAlign w:val="bottom"/>
            <w:shd w:val="clear" w:color="auto" w:fill="CCCCCC"/>
          </w:tcPr>
          <w:p>
            <w:pPr>
              <w:spacing w:after="0"/>
              <w:rPr>
                <w:sz w:val="4"/>
                <w:szCs w:val="4"/>
                <w:color w:val="auto"/>
              </w:rPr>
            </w:pPr>
          </w:p>
        </w:tc>
        <w:tc>
          <w:tcPr>
            <w:tcW w:w="2520" w:type="dxa"/>
            <w:vAlign w:val="bottom"/>
            <w:shd w:val="clear" w:color="auto" w:fill="CCCCCC"/>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6280" w:type="dxa"/>
            <w:vAlign w:val="bottom"/>
            <w:shd w:val="clear" w:color="auto" w:fill="CCCCCC"/>
          </w:tcPr>
          <w:p>
            <w:pPr>
              <w:spacing w:after="0"/>
              <w:rPr>
                <w:sz w:val="20"/>
                <w:szCs w:val="20"/>
                <w:color w:val="auto"/>
              </w:rPr>
            </w:pPr>
            <w:r>
              <w:rPr>
                <w:rFonts w:ascii="Arial" w:cs="Arial" w:eastAsia="Arial" w:hAnsi="Arial"/>
                <w:sz w:val="11"/>
                <w:szCs w:val="11"/>
                <w:color w:val="auto"/>
              </w:rPr>
              <w:t>Net R&amp;D as % of Adjusted Revenue (Net R&amp;D Margin)</w:t>
            </w:r>
          </w:p>
        </w:tc>
        <w:tc>
          <w:tcPr>
            <w:tcW w:w="1580" w:type="dxa"/>
            <w:vAlign w:val="bottom"/>
            <w:shd w:val="clear" w:color="auto" w:fill="CCCCCC"/>
          </w:tcPr>
          <w:p>
            <w:pPr>
              <w:jc w:val="center"/>
              <w:ind w:left="886"/>
              <w:spacing w:after="0"/>
              <w:rPr>
                <w:sz w:val="20"/>
                <w:szCs w:val="20"/>
                <w:color w:val="auto"/>
              </w:rPr>
            </w:pPr>
            <w:r>
              <w:rPr>
                <w:rFonts w:ascii="Arial" w:cs="Arial" w:eastAsia="Arial" w:hAnsi="Arial"/>
                <w:sz w:val="11"/>
                <w:szCs w:val="11"/>
                <w:color w:val="auto"/>
              </w:rPr>
              <w:t>6%</w:t>
            </w:r>
          </w:p>
        </w:tc>
        <w:tc>
          <w:tcPr>
            <w:tcW w:w="920" w:type="dxa"/>
            <w:vAlign w:val="bottom"/>
            <w:shd w:val="clear" w:color="auto" w:fill="CCCCCC"/>
          </w:tcPr>
          <w:p>
            <w:pPr>
              <w:spacing w:after="0"/>
              <w:rPr>
                <w:sz w:val="13"/>
                <w:szCs w:val="13"/>
                <w:color w:val="auto"/>
              </w:rPr>
            </w:pPr>
          </w:p>
        </w:tc>
        <w:tc>
          <w:tcPr>
            <w:tcW w:w="252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83755" cy="8515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755" cy="85153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40" w:type="dxa"/>
            <w:vAlign w:val="bottom"/>
            <w:shd w:val="clear" w:color="auto" w:fill="0F243E"/>
          </w:tcPr>
          <w:p>
            <w:pPr>
              <w:spacing w:after="0"/>
              <w:rPr>
                <w:sz w:val="13"/>
                <w:szCs w:val="13"/>
                <w:color w:val="auto"/>
              </w:rPr>
            </w:pPr>
          </w:p>
        </w:tc>
        <w:tc>
          <w:tcPr>
            <w:tcW w:w="2240" w:type="dxa"/>
            <w:vAlign w:val="bottom"/>
            <w:shd w:val="clear" w:color="auto" w:fill="0F243E"/>
          </w:tcPr>
          <w:p>
            <w:pPr>
              <w:spacing w:after="0"/>
              <w:rPr>
                <w:sz w:val="13"/>
                <w:szCs w:val="13"/>
                <w:color w:val="auto"/>
              </w:rPr>
            </w:pPr>
          </w:p>
        </w:tc>
        <w:tc>
          <w:tcPr>
            <w:tcW w:w="1620" w:type="dxa"/>
            <w:vAlign w:val="bottom"/>
            <w:shd w:val="clear" w:color="auto" w:fill="0F243E"/>
          </w:tcPr>
          <w:p>
            <w:pPr>
              <w:spacing w:after="0"/>
              <w:rPr>
                <w:sz w:val="13"/>
                <w:szCs w:val="13"/>
                <w:color w:val="auto"/>
              </w:rPr>
            </w:pPr>
          </w:p>
        </w:tc>
        <w:tc>
          <w:tcPr>
            <w:tcW w:w="3400" w:type="dxa"/>
            <w:vAlign w:val="bottom"/>
            <w:gridSpan w:val="2"/>
            <w:shd w:val="clear" w:color="auto" w:fill="0F243E"/>
          </w:tcPr>
          <w:p>
            <w:pPr>
              <w:ind w:left="200"/>
              <w:spacing w:after="0"/>
              <w:rPr>
                <w:sz w:val="20"/>
                <w:szCs w:val="20"/>
                <w:color w:val="auto"/>
              </w:rPr>
            </w:pPr>
            <w:r>
              <w:rPr>
                <w:rFonts w:ascii="Arial" w:cs="Arial" w:eastAsia="Arial" w:hAnsi="Arial"/>
                <w:sz w:val="11"/>
                <w:szCs w:val="11"/>
                <w:b w:val="1"/>
                <w:bCs w:val="1"/>
                <w:color w:val="FFFFFF"/>
              </w:rPr>
              <w:t>Six Months Ended June 30,</w:t>
            </w:r>
          </w:p>
        </w:tc>
        <w:tc>
          <w:tcPr>
            <w:tcW w:w="0" w:type="dxa"/>
            <w:vAlign w:val="bottom"/>
          </w:tcPr>
          <w:p>
            <w:pPr>
              <w:spacing w:after="0"/>
              <w:rPr>
                <w:sz w:val="1"/>
                <w:szCs w:val="1"/>
                <w:color w:val="auto"/>
              </w:rPr>
            </w:pPr>
          </w:p>
        </w:tc>
      </w:tr>
      <w:tr>
        <w:trPr>
          <w:trHeight w:val="153"/>
        </w:trPr>
        <w:tc>
          <w:tcPr>
            <w:tcW w:w="4040" w:type="dxa"/>
            <w:vAlign w:val="bottom"/>
            <w:shd w:val="clear" w:color="auto" w:fill="0F243E"/>
          </w:tcPr>
          <w:p>
            <w:pPr>
              <w:ind w:left="20"/>
              <w:spacing w:after="0"/>
              <w:rPr>
                <w:sz w:val="20"/>
                <w:szCs w:val="20"/>
                <w:color w:val="auto"/>
              </w:rPr>
            </w:pPr>
            <w:r>
              <w:rPr>
                <w:rFonts w:ascii="Arial" w:cs="Arial" w:eastAsia="Arial" w:hAnsi="Arial"/>
                <w:sz w:val="11"/>
                <w:szCs w:val="11"/>
                <w:color w:val="FFFFFF"/>
              </w:rPr>
              <w:t>($ in millions)</w:t>
            </w:r>
          </w:p>
        </w:tc>
        <w:tc>
          <w:tcPr>
            <w:tcW w:w="2240" w:type="dxa"/>
            <w:vAlign w:val="bottom"/>
            <w:shd w:val="clear" w:color="auto" w:fill="0F243E"/>
          </w:tcPr>
          <w:p>
            <w:pPr>
              <w:spacing w:after="0"/>
              <w:rPr>
                <w:sz w:val="13"/>
                <w:szCs w:val="13"/>
                <w:color w:val="auto"/>
              </w:rPr>
            </w:pPr>
          </w:p>
        </w:tc>
        <w:tc>
          <w:tcPr>
            <w:tcW w:w="1620" w:type="dxa"/>
            <w:vAlign w:val="bottom"/>
            <w:shd w:val="clear" w:color="auto" w:fill="0F243E"/>
          </w:tcPr>
          <w:p>
            <w:pPr>
              <w:jc w:val="center"/>
              <w:ind w:left="846"/>
              <w:spacing w:after="0"/>
              <w:rPr>
                <w:sz w:val="20"/>
                <w:szCs w:val="20"/>
                <w:color w:val="auto"/>
              </w:rPr>
            </w:pPr>
            <w:r>
              <w:rPr>
                <w:rFonts w:ascii="Arial" w:cs="Arial" w:eastAsia="Arial" w:hAnsi="Arial"/>
                <w:sz w:val="11"/>
                <w:szCs w:val="11"/>
                <w:b w:val="1"/>
                <w:bCs w:val="1"/>
                <w:color w:val="FFFFFF"/>
                <w:w w:val="97"/>
              </w:rPr>
              <w:t>2021</w:t>
            </w:r>
          </w:p>
        </w:tc>
        <w:tc>
          <w:tcPr>
            <w:tcW w:w="3400" w:type="dxa"/>
            <w:vAlign w:val="bottom"/>
            <w:gridSpan w:val="2"/>
            <w:shd w:val="clear" w:color="auto" w:fill="0F243E"/>
          </w:tcPr>
          <w:p>
            <w:pPr>
              <w:jc w:val="center"/>
              <w:ind w:left="826"/>
              <w:spacing w:after="0"/>
              <w:rPr>
                <w:sz w:val="20"/>
                <w:szCs w:val="20"/>
                <w:color w:val="auto"/>
              </w:rPr>
            </w:pPr>
            <w:r>
              <w:rPr>
                <w:rFonts w:ascii="Arial" w:cs="Arial" w:eastAsia="Arial" w:hAnsi="Arial"/>
                <w:sz w:val="11"/>
                <w:szCs w:val="11"/>
                <w:b w:val="1"/>
                <w:bCs w:val="1"/>
                <w:color w:val="FFFFFF"/>
                <w:w w:val="97"/>
              </w:rPr>
              <w:t>2020</w:t>
            </w:r>
          </w:p>
        </w:tc>
        <w:tc>
          <w:tcPr>
            <w:tcW w:w="0" w:type="dxa"/>
            <w:vAlign w:val="bottom"/>
          </w:tcPr>
          <w:p>
            <w:pPr>
              <w:spacing w:after="0"/>
              <w:rPr>
                <w:sz w:val="1"/>
                <w:szCs w:val="1"/>
                <w:color w:val="auto"/>
              </w:rPr>
            </w:pPr>
          </w:p>
        </w:tc>
      </w:tr>
      <w:tr>
        <w:trPr>
          <w:trHeight w:val="149"/>
        </w:trPr>
        <w:tc>
          <w:tcPr>
            <w:tcW w:w="4040" w:type="dxa"/>
            <w:vAlign w:val="bottom"/>
            <w:shd w:val="clear" w:color="auto" w:fill="CCCCCC"/>
          </w:tcPr>
          <w:p>
            <w:pPr>
              <w:ind w:left="20"/>
              <w:spacing w:after="0"/>
              <w:rPr>
                <w:sz w:val="20"/>
                <w:szCs w:val="20"/>
                <w:color w:val="auto"/>
              </w:rPr>
            </w:pPr>
            <w:r>
              <w:rPr>
                <w:rFonts w:ascii="Arial" w:cs="Arial" w:eastAsia="Arial" w:hAnsi="Arial"/>
                <w:sz w:val="11"/>
                <w:szCs w:val="11"/>
                <w:color w:val="auto"/>
              </w:rPr>
              <w:t>Research and Development Expenses</w:t>
            </w:r>
          </w:p>
        </w:tc>
        <w:tc>
          <w:tcPr>
            <w:tcW w:w="3860" w:type="dxa"/>
            <w:vAlign w:val="bottom"/>
            <w:gridSpan w:val="2"/>
            <w:shd w:val="clear" w:color="auto" w:fill="CCCCCC"/>
          </w:tcPr>
          <w:p>
            <w:pPr>
              <w:jc w:val="center"/>
              <w:ind w:left="3086"/>
              <w:spacing w:after="0"/>
              <w:rPr>
                <w:sz w:val="20"/>
                <w:szCs w:val="20"/>
                <w:color w:val="auto"/>
              </w:rPr>
            </w:pPr>
            <w:r>
              <w:rPr>
                <w:rFonts w:ascii="Arial" w:cs="Arial" w:eastAsia="Arial" w:hAnsi="Arial"/>
                <w:sz w:val="11"/>
                <w:szCs w:val="11"/>
                <w:color w:val="auto"/>
                <w:w w:val="94"/>
              </w:rPr>
              <w:t>$101.4</w:t>
            </w:r>
          </w:p>
        </w:tc>
        <w:tc>
          <w:tcPr>
            <w:tcW w:w="3400" w:type="dxa"/>
            <w:vAlign w:val="bottom"/>
            <w:gridSpan w:val="2"/>
            <w:shd w:val="clear" w:color="auto" w:fill="CCCCCC"/>
          </w:tcPr>
          <w:p>
            <w:pPr>
              <w:jc w:val="center"/>
              <w:ind w:left="826"/>
              <w:spacing w:after="0"/>
              <w:rPr>
                <w:sz w:val="20"/>
                <w:szCs w:val="20"/>
                <w:color w:val="auto"/>
              </w:rPr>
            </w:pPr>
            <w:r>
              <w:rPr>
                <w:rFonts w:ascii="Arial" w:cs="Arial" w:eastAsia="Arial" w:hAnsi="Arial"/>
                <w:sz w:val="11"/>
                <w:szCs w:val="11"/>
                <w:color w:val="auto"/>
              </w:rPr>
              <w:t>$90.6</w:t>
            </w:r>
          </w:p>
        </w:tc>
        <w:tc>
          <w:tcPr>
            <w:tcW w:w="0" w:type="dxa"/>
            <w:vAlign w:val="bottom"/>
          </w:tcPr>
          <w:p>
            <w:pPr>
              <w:spacing w:after="0"/>
              <w:rPr>
                <w:sz w:val="1"/>
                <w:szCs w:val="1"/>
                <w:color w:val="auto"/>
              </w:rPr>
            </w:pPr>
          </w:p>
        </w:tc>
      </w:tr>
      <w:tr>
        <w:trPr>
          <w:trHeight w:val="153"/>
        </w:trPr>
        <w:tc>
          <w:tcPr>
            <w:tcW w:w="4040" w:type="dxa"/>
            <w:vAlign w:val="bottom"/>
            <w:shd w:val="clear" w:color="auto" w:fill="CCCCCC"/>
          </w:tcPr>
          <w:p>
            <w:pPr>
              <w:ind w:left="20"/>
              <w:spacing w:after="0"/>
              <w:rPr>
                <w:sz w:val="20"/>
                <w:szCs w:val="20"/>
                <w:color w:val="auto"/>
              </w:rPr>
            </w:pPr>
            <w:r>
              <w:rPr>
                <w:rFonts w:ascii="Arial" w:cs="Arial" w:eastAsia="Arial" w:hAnsi="Arial"/>
                <w:sz w:val="11"/>
                <w:szCs w:val="11"/>
                <w:color w:val="auto"/>
              </w:rPr>
              <w:t>Adjustments:</w:t>
            </w:r>
          </w:p>
        </w:tc>
        <w:tc>
          <w:tcPr>
            <w:tcW w:w="2240" w:type="dxa"/>
            <w:vAlign w:val="bottom"/>
            <w:shd w:val="clear" w:color="auto" w:fill="CCCCCC"/>
          </w:tcPr>
          <w:p>
            <w:pPr>
              <w:spacing w:after="0"/>
              <w:rPr>
                <w:sz w:val="13"/>
                <w:szCs w:val="13"/>
                <w:color w:val="auto"/>
              </w:rPr>
            </w:pPr>
          </w:p>
        </w:tc>
        <w:tc>
          <w:tcPr>
            <w:tcW w:w="1620" w:type="dxa"/>
            <w:vAlign w:val="bottom"/>
            <w:shd w:val="clear" w:color="auto" w:fill="CCCCCC"/>
          </w:tcPr>
          <w:p>
            <w:pPr>
              <w:spacing w:after="0"/>
              <w:rPr>
                <w:sz w:val="13"/>
                <w:szCs w:val="13"/>
                <w:color w:val="auto"/>
              </w:rPr>
            </w:pPr>
          </w:p>
        </w:tc>
        <w:tc>
          <w:tcPr>
            <w:tcW w:w="880" w:type="dxa"/>
            <w:vAlign w:val="bottom"/>
            <w:shd w:val="clear" w:color="auto" w:fill="CCCCCC"/>
          </w:tcPr>
          <w:p>
            <w:pPr>
              <w:spacing w:after="0"/>
              <w:rPr>
                <w:sz w:val="13"/>
                <w:szCs w:val="13"/>
                <w:color w:val="auto"/>
              </w:rPr>
            </w:pPr>
          </w:p>
        </w:tc>
        <w:tc>
          <w:tcPr>
            <w:tcW w:w="2520" w:type="dxa"/>
            <w:vAlign w:val="bottom"/>
            <w:shd w:val="clear" w:color="auto" w:fill="CCCCC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040" w:type="dxa"/>
            <w:vAlign w:val="bottom"/>
            <w:tcBorders>
              <w:bottom w:val="single" w:sz="8" w:color="CCCCCC"/>
            </w:tcBorders>
            <w:shd w:val="clear" w:color="auto" w:fill="CCCCCC"/>
          </w:tcPr>
          <w:p>
            <w:pPr>
              <w:ind w:left="180"/>
              <w:spacing w:after="0"/>
              <w:rPr>
                <w:sz w:val="20"/>
                <w:szCs w:val="20"/>
                <w:color w:val="auto"/>
              </w:rPr>
            </w:pPr>
            <w:r>
              <w:rPr>
                <w:rFonts w:ascii="Arial" w:cs="Arial" w:eastAsia="Arial" w:hAnsi="Arial"/>
                <w:sz w:val="11"/>
                <w:szCs w:val="11"/>
                <w:color w:val="auto"/>
              </w:rPr>
              <w:t>- Contracts and Grants Revenue</w:t>
            </w:r>
          </w:p>
        </w:tc>
        <w:tc>
          <w:tcPr>
            <w:tcW w:w="2240" w:type="dxa"/>
            <w:vAlign w:val="bottom"/>
            <w:tcBorders>
              <w:bottom w:val="single" w:sz="8" w:color="CCCCCC"/>
            </w:tcBorders>
            <w:shd w:val="clear" w:color="auto" w:fill="CCCCCC"/>
          </w:tcPr>
          <w:p>
            <w:pPr>
              <w:spacing w:after="0"/>
              <w:rPr>
                <w:sz w:val="13"/>
                <w:szCs w:val="13"/>
                <w:color w:val="auto"/>
              </w:rPr>
            </w:pPr>
          </w:p>
        </w:tc>
        <w:tc>
          <w:tcPr>
            <w:tcW w:w="1620" w:type="dxa"/>
            <w:vAlign w:val="bottom"/>
            <w:tcBorders>
              <w:bottom w:val="single" w:sz="8" w:color="auto"/>
            </w:tcBorders>
            <w:shd w:val="clear" w:color="auto" w:fill="CCCCCC"/>
          </w:tcPr>
          <w:p>
            <w:pPr>
              <w:jc w:val="center"/>
              <w:ind w:left="846"/>
              <w:spacing w:after="0"/>
              <w:rPr>
                <w:sz w:val="20"/>
                <w:szCs w:val="20"/>
                <w:color w:val="auto"/>
              </w:rPr>
            </w:pPr>
            <w:r>
              <w:rPr>
                <w:rFonts w:ascii="Arial" w:cs="Arial" w:eastAsia="Arial" w:hAnsi="Arial"/>
                <w:sz w:val="11"/>
                <w:szCs w:val="11"/>
                <w:color w:val="auto"/>
                <w:w w:val="97"/>
              </w:rPr>
              <w:t>(46.7)</w:t>
            </w:r>
          </w:p>
        </w:tc>
        <w:tc>
          <w:tcPr>
            <w:tcW w:w="3400" w:type="dxa"/>
            <w:vAlign w:val="bottom"/>
            <w:tcBorders>
              <w:bottom w:val="single" w:sz="8" w:color="auto"/>
            </w:tcBorders>
            <w:gridSpan w:val="2"/>
            <w:shd w:val="clear" w:color="auto" w:fill="CCCCCC"/>
          </w:tcPr>
          <w:p>
            <w:pPr>
              <w:jc w:val="center"/>
              <w:ind w:left="826"/>
              <w:spacing w:after="0"/>
              <w:rPr>
                <w:sz w:val="20"/>
                <w:szCs w:val="20"/>
                <w:color w:val="auto"/>
              </w:rPr>
            </w:pPr>
            <w:r>
              <w:rPr>
                <w:rFonts w:ascii="Arial" w:cs="Arial" w:eastAsia="Arial" w:hAnsi="Arial"/>
                <w:sz w:val="11"/>
                <w:szCs w:val="11"/>
                <w:color w:val="auto"/>
                <w:w w:val="97"/>
              </w:rPr>
              <w:t>(46.2)</w:t>
            </w:r>
          </w:p>
        </w:tc>
        <w:tc>
          <w:tcPr>
            <w:tcW w:w="0" w:type="dxa"/>
            <w:vAlign w:val="bottom"/>
          </w:tcPr>
          <w:p>
            <w:pPr>
              <w:spacing w:after="0"/>
              <w:rPr>
                <w:sz w:val="1"/>
                <w:szCs w:val="1"/>
                <w:color w:val="auto"/>
              </w:rPr>
            </w:pPr>
          </w:p>
        </w:tc>
      </w:tr>
      <w:tr>
        <w:trPr>
          <w:trHeight w:val="131"/>
        </w:trPr>
        <w:tc>
          <w:tcPr>
            <w:tcW w:w="4040" w:type="dxa"/>
            <w:vAlign w:val="bottom"/>
            <w:shd w:val="clear" w:color="auto" w:fill="CCCCCC"/>
          </w:tcPr>
          <w:p>
            <w:pPr>
              <w:spacing w:after="0"/>
              <w:rPr>
                <w:sz w:val="20"/>
                <w:szCs w:val="20"/>
                <w:color w:val="auto"/>
              </w:rPr>
            </w:pPr>
            <w:r>
              <w:rPr>
                <w:rFonts w:ascii="Arial" w:cs="Arial" w:eastAsia="Arial" w:hAnsi="Arial"/>
                <w:sz w:val="11"/>
                <w:szCs w:val="11"/>
                <w:color w:val="auto"/>
              </w:rPr>
              <w:t>Net Research and Development Expenses</w:t>
            </w:r>
          </w:p>
        </w:tc>
        <w:tc>
          <w:tcPr>
            <w:tcW w:w="2240" w:type="dxa"/>
            <w:vAlign w:val="bottom"/>
            <w:shd w:val="clear" w:color="auto" w:fill="CCCCCC"/>
          </w:tcPr>
          <w:p>
            <w:pPr>
              <w:spacing w:after="0"/>
              <w:rPr>
                <w:sz w:val="11"/>
                <w:szCs w:val="11"/>
                <w:color w:val="auto"/>
              </w:rPr>
            </w:pPr>
          </w:p>
        </w:tc>
        <w:tc>
          <w:tcPr>
            <w:tcW w:w="162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w w:val="93"/>
              </w:rPr>
              <w:t>54.7</w:t>
            </w:r>
          </w:p>
        </w:tc>
        <w:tc>
          <w:tcPr>
            <w:tcW w:w="880" w:type="dxa"/>
            <w:vAlign w:val="bottom"/>
            <w:shd w:val="clear" w:color="auto" w:fill="CCCCCC"/>
          </w:tcPr>
          <w:p>
            <w:pPr>
              <w:spacing w:after="0"/>
              <w:rPr>
                <w:sz w:val="11"/>
                <w:szCs w:val="11"/>
                <w:color w:val="auto"/>
              </w:rPr>
            </w:pPr>
          </w:p>
        </w:tc>
        <w:tc>
          <w:tcPr>
            <w:tcW w:w="252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$44.4</w:t>
            </w:r>
          </w:p>
        </w:tc>
        <w:tc>
          <w:tcPr>
            <w:tcW w:w="0" w:type="dxa"/>
            <w:vAlign w:val="bottom"/>
          </w:tcPr>
          <w:p>
            <w:pPr>
              <w:spacing w:after="0"/>
              <w:rPr>
                <w:sz w:val="1"/>
                <w:szCs w:val="1"/>
                <w:color w:val="auto"/>
              </w:rPr>
            </w:pPr>
          </w:p>
        </w:tc>
      </w:tr>
      <w:tr>
        <w:trPr>
          <w:trHeight w:val="131"/>
        </w:trPr>
        <w:tc>
          <w:tcPr>
            <w:tcW w:w="4040" w:type="dxa"/>
            <w:vAlign w:val="bottom"/>
            <w:shd w:val="clear" w:color="auto" w:fill="CCCCCC"/>
          </w:tcPr>
          <w:p>
            <w:pPr>
              <w:spacing w:after="0"/>
              <w:rPr>
                <w:sz w:val="20"/>
                <w:szCs w:val="20"/>
                <w:color w:val="auto"/>
              </w:rPr>
            </w:pPr>
            <w:r>
              <w:rPr>
                <w:rFonts w:ascii="Arial" w:cs="Arial" w:eastAsia="Arial" w:hAnsi="Arial"/>
                <w:sz w:val="11"/>
                <w:szCs w:val="11"/>
                <w:color w:val="auto"/>
              </w:rPr>
              <w:t>Adjusted Revenue</w:t>
            </w:r>
          </w:p>
        </w:tc>
        <w:tc>
          <w:tcPr>
            <w:tcW w:w="2240" w:type="dxa"/>
            <w:vAlign w:val="bottom"/>
            <w:shd w:val="clear" w:color="auto" w:fill="CCCCCC"/>
          </w:tcPr>
          <w:p>
            <w:pPr>
              <w:spacing w:after="0"/>
              <w:rPr>
                <w:sz w:val="11"/>
                <w:szCs w:val="11"/>
                <w:color w:val="auto"/>
              </w:rPr>
            </w:pPr>
          </w:p>
        </w:tc>
        <w:tc>
          <w:tcPr>
            <w:tcW w:w="1620" w:type="dxa"/>
            <w:vAlign w:val="bottom"/>
            <w:vMerge w:val="restart"/>
            <w:shd w:val="clear" w:color="auto" w:fill="CCCCCC"/>
          </w:tcPr>
          <w:p>
            <w:pPr>
              <w:jc w:val="center"/>
              <w:ind w:left="846"/>
              <w:spacing w:after="0"/>
              <w:rPr>
                <w:sz w:val="20"/>
                <w:szCs w:val="20"/>
                <w:color w:val="auto"/>
              </w:rPr>
            </w:pPr>
            <w:r>
              <w:rPr>
                <w:rFonts w:ascii="Arial" w:cs="Arial" w:eastAsia="Arial" w:hAnsi="Arial"/>
                <w:sz w:val="11"/>
                <w:szCs w:val="11"/>
                <w:color w:val="auto"/>
              </w:rPr>
              <w:t>693.8</w:t>
            </w:r>
          </w:p>
        </w:tc>
        <w:tc>
          <w:tcPr>
            <w:tcW w:w="880" w:type="dxa"/>
            <w:vAlign w:val="bottom"/>
            <w:shd w:val="clear" w:color="auto" w:fill="CCCCCC"/>
          </w:tcPr>
          <w:p>
            <w:pPr>
              <w:spacing w:after="0"/>
              <w:rPr>
                <w:sz w:val="11"/>
                <w:szCs w:val="11"/>
                <w:color w:val="auto"/>
              </w:rPr>
            </w:pPr>
          </w:p>
        </w:tc>
        <w:tc>
          <w:tcPr>
            <w:tcW w:w="2520" w:type="dxa"/>
            <w:vAlign w:val="bottom"/>
            <w:vMerge w:val="restart"/>
            <w:shd w:val="clear" w:color="auto" w:fill="CCCCCC"/>
          </w:tcPr>
          <w:p>
            <w:pPr>
              <w:jc w:val="center"/>
              <w:spacing w:after="0"/>
              <w:rPr>
                <w:sz w:val="20"/>
                <w:szCs w:val="20"/>
                <w:color w:val="auto"/>
              </w:rPr>
            </w:pPr>
            <w:r>
              <w:rPr>
                <w:rFonts w:ascii="Arial" w:cs="Arial" w:eastAsia="Arial" w:hAnsi="Arial"/>
                <w:sz w:val="11"/>
                <w:szCs w:val="11"/>
                <w:color w:val="auto"/>
              </w:rPr>
              <w:t>$541.0</w:t>
            </w:r>
          </w:p>
        </w:tc>
        <w:tc>
          <w:tcPr>
            <w:tcW w:w="0" w:type="dxa"/>
            <w:vAlign w:val="bottom"/>
          </w:tcPr>
          <w:p>
            <w:pPr>
              <w:spacing w:after="0"/>
              <w:rPr>
                <w:sz w:val="1"/>
                <w:szCs w:val="1"/>
                <w:color w:val="auto"/>
              </w:rPr>
            </w:pPr>
          </w:p>
        </w:tc>
      </w:tr>
      <w:tr>
        <w:trPr>
          <w:trHeight w:val="76"/>
        </w:trPr>
        <w:tc>
          <w:tcPr>
            <w:tcW w:w="4040" w:type="dxa"/>
            <w:vAlign w:val="bottom"/>
            <w:vMerge w:val="restart"/>
            <w:shd w:val="clear" w:color="auto" w:fill="CCCCCC"/>
          </w:tcPr>
          <w:p>
            <w:pPr>
              <w:spacing w:after="0"/>
              <w:rPr>
                <w:sz w:val="20"/>
                <w:szCs w:val="20"/>
                <w:color w:val="auto"/>
              </w:rPr>
            </w:pPr>
            <w:r>
              <w:rPr>
                <w:rFonts w:ascii="Arial" w:cs="Arial" w:eastAsia="Arial" w:hAnsi="Arial"/>
                <w:sz w:val="11"/>
                <w:szCs w:val="11"/>
                <w:color w:val="auto"/>
              </w:rPr>
              <w:t>(Total Revenue less Contracts and Grants Revenue)</w:t>
            </w:r>
          </w:p>
        </w:tc>
        <w:tc>
          <w:tcPr>
            <w:tcW w:w="2240" w:type="dxa"/>
            <w:vAlign w:val="bottom"/>
            <w:shd w:val="clear" w:color="auto" w:fill="CCCCCC"/>
          </w:tcPr>
          <w:p>
            <w:pPr>
              <w:spacing w:after="0"/>
              <w:rPr>
                <w:sz w:val="6"/>
                <w:szCs w:val="6"/>
                <w:color w:val="auto"/>
              </w:rPr>
            </w:pPr>
          </w:p>
        </w:tc>
        <w:tc>
          <w:tcPr>
            <w:tcW w:w="1620" w:type="dxa"/>
            <w:vAlign w:val="bottom"/>
            <w:vMerge w:val="continue"/>
            <w:shd w:val="clear" w:color="auto" w:fill="CCCCCC"/>
          </w:tcPr>
          <w:p>
            <w:pPr>
              <w:spacing w:after="0"/>
              <w:rPr>
                <w:sz w:val="6"/>
                <w:szCs w:val="6"/>
                <w:color w:val="auto"/>
              </w:rPr>
            </w:pPr>
          </w:p>
        </w:tc>
        <w:tc>
          <w:tcPr>
            <w:tcW w:w="880" w:type="dxa"/>
            <w:vAlign w:val="bottom"/>
            <w:shd w:val="clear" w:color="auto" w:fill="CCCCCC"/>
          </w:tcPr>
          <w:p>
            <w:pPr>
              <w:spacing w:after="0"/>
              <w:rPr>
                <w:sz w:val="6"/>
                <w:szCs w:val="6"/>
                <w:color w:val="auto"/>
              </w:rPr>
            </w:pPr>
          </w:p>
        </w:tc>
        <w:tc>
          <w:tcPr>
            <w:tcW w:w="2520" w:type="dxa"/>
            <w:vAlign w:val="bottom"/>
            <w:vMerge w:val="continue"/>
            <w:shd w:val="clear" w:color="auto" w:fill="CCCCCC"/>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4040" w:type="dxa"/>
            <w:vAlign w:val="bottom"/>
            <w:vMerge w:val="continue"/>
            <w:shd w:val="clear" w:color="auto" w:fill="CCCCCC"/>
          </w:tcPr>
          <w:p>
            <w:pPr>
              <w:spacing w:after="0"/>
              <w:rPr>
                <w:sz w:val="4"/>
                <w:szCs w:val="4"/>
                <w:color w:val="auto"/>
              </w:rPr>
            </w:pPr>
          </w:p>
        </w:tc>
        <w:tc>
          <w:tcPr>
            <w:tcW w:w="2240" w:type="dxa"/>
            <w:vAlign w:val="bottom"/>
            <w:shd w:val="clear" w:color="auto" w:fill="CCCCCC"/>
          </w:tcPr>
          <w:p>
            <w:pPr>
              <w:spacing w:after="0"/>
              <w:rPr>
                <w:sz w:val="4"/>
                <w:szCs w:val="4"/>
                <w:color w:val="auto"/>
              </w:rPr>
            </w:pPr>
          </w:p>
        </w:tc>
        <w:tc>
          <w:tcPr>
            <w:tcW w:w="1620" w:type="dxa"/>
            <w:vAlign w:val="bottom"/>
            <w:shd w:val="clear" w:color="auto" w:fill="CCCCCC"/>
          </w:tcPr>
          <w:p>
            <w:pPr>
              <w:spacing w:after="0"/>
              <w:rPr>
                <w:sz w:val="4"/>
                <w:szCs w:val="4"/>
                <w:color w:val="auto"/>
              </w:rPr>
            </w:pPr>
          </w:p>
        </w:tc>
        <w:tc>
          <w:tcPr>
            <w:tcW w:w="880" w:type="dxa"/>
            <w:vAlign w:val="bottom"/>
            <w:shd w:val="clear" w:color="auto" w:fill="CCCCCC"/>
          </w:tcPr>
          <w:p>
            <w:pPr>
              <w:spacing w:after="0"/>
              <w:rPr>
                <w:sz w:val="4"/>
                <w:szCs w:val="4"/>
                <w:color w:val="auto"/>
              </w:rPr>
            </w:pPr>
          </w:p>
        </w:tc>
        <w:tc>
          <w:tcPr>
            <w:tcW w:w="2520" w:type="dxa"/>
            <w:vAlign w:val="bottom"/>
            <w:shd w:val="clear" w:color="auto" w:fill="CCCCCC"/>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4040" w:type="dxa"/>
            <w:vAlign w:val="bottom"/>
            <w:shd w:val="clear" w:color="auto" w:fill="CCCCCC"/>
          </w:tcPr>
          <w:p>
            <w:pPr>
              <w:spacing w:after="0"/>
              <w:rPr>
                <w:sz w:val="20"/>
                <w:szCs w:val="20"/>
                <w:color w:val="auto"/>
              </w:rPr>
            </w:pPr>
            <w:r>
              <w:rPr>
                <w:rFonts w:ascii="Arial" w:cs="Arial" w:eastAsia="Arial" w:hAnsi="Arial"/>
                <w:sz w:val="11"/>
                <w:szCs w:val="11"/>
                <w:color w:val="auto"/>
              </w:rPr>
              <w:t>Net R&amp;D as % of Adjusted Revenue (Net R&amp;D Margin)</w:t>
            </w:r>
          </w:p>
        </w:tc>
        <w:tc>
          <w:tcPr>
            <w:tcW w:w="2240" w:type="dxa"/>
            <w:vAlign w:val="bottom"/>
            <w:shd w:val="clear" w:color="auto" w:fill="CCCCCC"/>
          </w:tcPr>
          <w:p>
            <w:pPr>
              <w:spacing w:after="0"/>
              <w:rPr>
                <w:sz w:val="13"/>
                <w:szCs w:val="13"/>
                <w:color w:val="auto"/>
              </w:rPr>
            </w:pPr>
          </w:p>
        </w:tc>
        <w:tc>
          <w:tcPr>
            <w:tcW w:w="1620" w:type="dxa"/>
            <w:vAlign w:val="bottom"/>
            <w:shd w:val="clear" w:color="auto" w:fill="CCCCCC"/>
          </w:tcPr>
          <w:p>
            <w:pPr>
              <w:jc w:val="center"/>
              <w:ind w:left="846"/>
              <w:spacing w:after="0"/>
              <w:rPr>
                <w:sz w:val="20"/>
                <w:szCs w:val="20"/>
                <w:color w:val="auto"/>
              </w:rPr>
            </w:pPr>
            <w:r>
              <w:rPr>
                <w:rFonts w:ascii="Arial" w:cs="Arial" w:eastAsia="Arial" w:hAnsi="Arial"/>
                <w:sz w:val="11"/>
                <w:szCs w:val="11"/>
                <w:color w:val="auto"/>
              </w:rPr>
              <w:t>8%</w:t>
            </w:r>
          </w:p>
        </w:tc>
        <w:tc>
          <w:tcPr>
            <w:tcW w:w="880" w:type="dxa"/>
            <w:vAlign w:val="bottom"/>
            <w:shd w:val="clear" w:color="auto" w:fill="CCCCCC"/>
          </w:tcPr>
          <w:p>
            <w:pPr>
              <w:spacing w:after="0"/>
              <w:rPr>
                <w:sz w:val="13"/>
                <w:szCs w:val="13"/>
                <w:color w:val="auto"/>
              </w:rPr>
            </w:pPr>
          </w:p>
        </w:tc>
        <w:tc>
          <w:tcPr>
            <w:tcW w:w="2520" w:type="dxa"/>
            <w:vAlign w:val="bottom"/>
            <w:shd w:val="clear" w:color="auto" w:fill="CCCCCC"/>
          </w:tcPr>
          <w:p>
            <w:pPr>
              <w:jc w:val="center"/>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752"/>
        </w:trPr>
        <w:tc>
          <w:tcPr>
            <w:tcW w:w="4040" w:type="dxa"/>
            <w:vAlign w:val="bottom"/>
          </w:tcPr>
          <w:p>
            <w:pPr>
              <w:spacing w:after="0"/>
              <w:rPr>
                <w:sz w:val="24"/>
                <w:szCs w:val="24"/>
                <w:color w:val="auto"/>
              </w:rPr>
            </w:pPr>
          </w:p>
        </w:tc>
        <w:tc>
          <w:tcPr>
            <w:tcW w:w="3860" w:type="dxa"/>
            <w:vAlign w:val="bottom"/>
            <w:gridSpan w:val="2"/>
          </w:tcPr>
          <w:p>
            <w:pPr>
              <w:ind w:left="1420"/>
              <w:spacing w:after="0"/>
              <w:rPr>
                <w:sz w:val="20"/>
                <w:szCs w:val="20"/>
                <w:color w:val="auto"/>
              </w:rPr>
            </w:pPr>
            <w:r>
              <w:rPr>
                <w:rFonts w:ascii="Arial" w:cs="Arial" w:eastAsia="Arial" w:hAnsi="Arial"/>
                <w:sz w:val="11"/>
                <w:szCs w:val="11"/>
                <w:color w:val="auto"/>
              </w:rPr>
              <w:t>13 of 13</w:t>
            </w:r>
          </w:p>
        </w:tc>
        <w:tc>
          <w:tcPr>
            <w:tcW w:w="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734" w:right="299" w:bottom="1440"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271780</wp:posOffset>
            </wp:positionV>
            <wp:extent cx="6036310" cy="79248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36310" cy="792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804545</wp:posOffset>
            </wp:positionH>
            <wp:positionV relativeFrom="page">
              <wp:posOffset>374650</wp:posOffset>
            </wp:positionV>
            <wp:extent cx="6036310" cy="7913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36310" cy="7913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upperLetter"/>
      <w:start w:val="9"/>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2021-07-29T16:49:40Z</dcterms:created>
  <dcterms:modified xsi:type="dcterms:W3CDTF">2021-07-29T16:49:40Z</dcterms:modified>
</cp:coreProperties>
</file>