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ind w:left="3360"/>
        <w:spacing w:after="0"/>
        <w:rPr>
          <w:sz w:val="20"/>
          <w:szCs w:val="20"/>
          <w:color w:val="auto"/>
        </w:rPr>
      </w:pPr>
      <w:r>
        <w:rPr>
          <w:rFonts w:ascii="Arial" w:cs="Arial" w:eastAsia="Arial" w:hAnsi="Arial"/>
          <w:sz w:val="32"/>
          <w:szCs w:val="32"/>
          <w:b w:val="1"/>
          <w:bCs w:val="1"/>
          <w:color w:val="auto"/>
        </w:rPr>
        <w:t>SECURITIES AND EXCHANGE</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5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29089Q 10 5</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March 8, 2007</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left="6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12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4"/>
          <w:szCs w:val="24"/>
          <w:color w:val="auto"/>
        </w:rPr>
      </w:pPr>
    </w:p>
    <w:p>
      <w:pPr>
        <w:ind w:left="1060"/>
        <w:spacing w:after="0"/>
        <w:rPr>
          <w:sz w:val="20"/>
          <w:szCs w:val="20"/>
          <w:color w:val="auto"/>
        </w:rPr>
      </w:pPr>
      <w:r>
        <w:rPr>
          <w:rFonts w:ascii="Arial" w:cs="Arial" w:eastAsia="Arial" w:hAnsi="Arial"/>
          <w:sz w:val="18"/>
          <w:szCs w:val="18"/>
          <w:color w:val="auto"/>
        </w:rPr>
        <w:t>Advent Private Equity Fund III “A”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41275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580" w:hanging="620"/>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84" w:lineRule="exact"/>
        <w:rPr>
          <w:sz w:val="24"/>
          <w:szCs w:val="24"/>
          <w:color w:val="auto"/>
        </w:rPr>
      </w:pPr>
    </w:p>
    <w:p>
      <w:pPr>
        <w:ind w:left="60"/>
        <w:spacing w:after="0"/>
        <w:tabs>
          <w:tab w:leader="none" w:pos="1640" w:val="left"/>
          <w:tab w:leader="none" w:pos="274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3" w:lineRule="exact"/>
        <w:rPr>
          <w:sz w:val="24"/>
          <w:szCs w:val="24"/>
          <w:color w:val="auto"/>
        </w:rPr>
      </w:pPr>
    </w:p>
    <w:p>
      <w:pPr>
        <w:ind w:left="60"/>
        <w:spacing w:after="0"/>
        <w:rPr>
          <w:sz w:val="20"/>
          <w:szCs w:val="20"/>
          <w:color w:val="auto"/>
        </w:rPr>
      </w:pPr>
      <w:r>
        <w:rPr>
          <w:rFonts w:ascii="Arial" w:cs="Arial" w:eastAsia="Arial" w:hAnsi="Arial"/>
          <w:sz w:val="18"/>
          <w:szCs w:val="18"/>
          <w:color w:val="auto"/>
        </w:rPr>
        <w:t>Shares</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Beneficially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-96520</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Owned by</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Each</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Reporting</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Person With</w:t>
      </w:r>
    </w:p>
    <w:p>
      <w:pPr>
        <w:sectPr>
          <w:pgSz w:w="11900" w:h="16838" w:orient="portrait"/>
          <w:cols w:equalWidth="0" w:num="1">
            <w:col w:w="11260"/>
          </w:cols>
          <w:pgMar w:left="240" w:top="206" w:right="399" w:bottom="180" w:gutter="0" w:footer="0" w:header="0"/>
        </w:sectPr>
      </w:pPr>
    </w:p>
    <w:bookmarkStart w:id="1" w:name="page2"/>
    <w:bookmarkEnd w:id="1"/>
    <w:p>
      <w:pPr>
        <w:ind w:left="2700" w:hanging="1091"/>
        <w:spacing w:after="0"/>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 w:lineRule="exact"/>
        <w:rPr>
          <w:rFonts w:ascii="Arial" w:cs="Arial" w:eastAsia="Arial" w:hAnsi="Arial"/>
          <w:sz w:val="18"/>
          <w:szCs w:val="18"/>
          <w:color w:val="auto"/>
        </w:rPr>
      </w:pPr>
    </w:p>
    <w:p>
      <w:pPr>
        <w:ind w:left="2700" w:right="200"/>
        <w:spacing w:after="0" w:line="291" w:lineRule="auto"/>
        <w:rPr>
          <w:rFonts w:ascii="Arial" w:cs="Arial" w:eastAsia="Arial" w:hAnsi="Arial"/>
          <w:sz w:val="18"/>
          <w:szCs w:val="18"/>
          <w:color w:val="auto"/>
        </w:rPr>
      </w:pPr>
      <w:r>
        <w:rPr>
          <w:rFonts w:ascii="Arial" w:cs="Arial" w:eastAsia="Arial" w:hAnsi="Arial"/>
          <w:sz w:val="16"/>
          <w:szCs w:val="16"/>
          <w:color w:val="auto"/>
        </w:rPr>
        <w:t>3,636,801 (includes both 468,355 shares of common stock owned individually by Advent Private Equity Fund III “A” Limited Partnership and 3,168,446 shares of common stock issued to other investment funds affiliated with Advent Venture Partners LLP, Apax WW Nominees LTD, J.P. Morgan Partners, LLC and The Merlin Biosciences Funds, all of which are party to a voting agreement with BioPharm, L.L.C., whereby the parties have agreed to vote all shares of such common stock owned by the parties in the same manner and to the same extent as BioPharm, L.L.C.)</w:t>
      </w:r>
    </w:p>
    <w:p>
      <w:pPr>
        <w:spacing w:after="0" w:line="382" w:lineRule="exact"/>
        <w:rPr>
          <w:rFonts w:ascii="Arial" w:cs="Arial" w:eastAsia="Arial" w:hAnsi="Arial"/>
          <w:sz w:val="18"/>
          <w:szCs w:val="18"/>
          <w:color w:val="auto"/>
        </w:rPr>
      </w:pPr>
    </w:p>
    <w:p>
      <w:pPr>
        <w:ind w:left="2700" w:right="6960" w:hanging="1091"/>
        <w:spacing w:after="0" w:line="275"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468,355</w:t>
      </w:r>
    </w:p>
    <w:p>
      <w:pPr>
        <w:spacing w:after="0" w:line="389" w:lineRule="exact"/>
        <w:rPr>
          <w:rFonts w:ascii="Arial" w:cs="Arial" w:eastAsia="Arial" w:hAnsi="Arial"/>
          <w:sz w:val="18"/>
          <w:szCs w:val="18"/>
          <w:color w:val="auto"/>
        </w:rPr>
      </w:pPr>
    </w:p>
    <w:p>
      <w:pPr>
        <w:ind w:left="2700" w:hanging="1091"/>
        <w:spacing w:after="0"/>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-3252470</wp:posOffset>
            </wp:positionV>
            <wp:extent cx="5531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Advent Private Equity Fund III “B”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3,636,801 (includes both 229,497 shares of common stock owned individually by Advent Private Equity Fund III “B”</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Limited Partnership and 3,407,304 shares of common stock issued to other investment funds affiliated with Advent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Venture Partners LLP, Apax WW Nominees LTD, J.P. Morgan Partners, LLC and The Merlin Biosciences Funds, all of</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which are party to a voting agreement with BioPharm, L.L.C., whereby the parties have agreed to vote all shares of such</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common stock owned by the parties in the same manner and to the same extent as BioPharm, L.L.C.)</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6"/>
        </w:trPr>
        <w:tc>
          <w:tcPr>
            <w:tcW w:w="12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229,497</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79" w:right="239" w:bottom="0" w:gutter="0" w:footer="0" w:header="0"/>
        </w:sectPr>
      </w:pPr>
    </w:p>
    <w:bookmarkStart w:id="2" w:name="page3"/>
    <w:bookmarkEnd w:id="2"/>
    <w:p>
      <w:pPr>
        <w:ind w:left="2700" w:hanging="1091"/>
        <w:spacing w:after="0"/>
        <w:tabs>
          <w:tab w:leader="none" w:pos="2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sz w:val="20"/>
          <w:szCs w:val="20"/>
          <w:color w:val="auto"/>
        </w:rPr>
      </w:pPr>
    </w:p>
    <w:p>
      <w:pPr>
        <w:ind w:left="1000" w:right="5980"/>
        <w:spacing w:after="0" w:line="323" w:lineRule="auto"/>
        <w:rPr>
          <w:sz w:val="20"/>
          <w:szCs w:val="20"/>
          <w:color w:val="auto"/>
        </w:rPr>
      </w:pPr>
      <w:r>
        <w:rPr>
          <w:rFonts w:ascii="Arial" w:cs="Arial" w:eastAsia="Arial" w:hAnsi="Arial"/>
          <w:sz w:val="16"/>
          <w:szCs w:val="16"/>
          <w:color w:val="auto"/>
        </w:rPr>
        <w:t>S.S OR I.R.S. IDENTIFICATION NO. OF ABOVE PERSON Advent Private Equity Fund III “C” Limited Partnership</w:t>
      </w:r>
    </w:p>
    <w:p>
      <w:pPr>
        <w:spacing w:after="0" w:line="354" w:lineRule="exact"/>
        <w:rPr>
          <w:sz w:val="20"/>
          <w:szCs w:val="20"/>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5"/>
              </w:rPr>
              <w:t>3,636,801 (includes both 64,018 shares of common stock owned individually by Advent Private Equity Fund III “C”</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Limited Partnership and 3,572,783 shares of common stock issued to other investment funds affiliated with Advent</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Venture Partners LLP, Apax WW Nominees LTD, J.P. Morgan Partners, LLC and The Merlin Biosciences Funds, all of</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0"/>
              </w:rPr>
              <w:t>which are party to a voting agreement with BioPharm, L.L.C., whereby the parties have agreed to vote all shares of such</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common stock 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64,018</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186690</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-910590</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79" w:right="239" w:bottom="289" w:gutter="0" w:footer="0" w:header="0"/>
        </w:sectPr>
      </w:pPr>
    </w:p>
    <w:bookmarkStart w:id="3" w:name="page4"/>
    <w:bookmarkEnd w:id="3"/>
    <w:p>
      <w:pPr>
        <w:ind w:left="1000" w:right="6560" w:hanging="620"/>
        <w:spacing w:after="0" w:line="27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Advent Private Equity Fund III “D”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3,636,801 (includes both 125,921 shares of common stock owned individually by Advent Private Equity Fund III “D”</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Limited Partnership and 3,510,880 shares of common stock issued to other investment funds affiliated with Advent</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Venture Partners LLP, Apax WW Nominees LTD, J.P. Morgan Partners, LLC and The Merlin Biosciences Funds, all of</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0"/>
              </w:rPr>
              <w:t>which are party to a voting agreement with BioPharm, L.L.C., whereby the parties have agreed to vote all shares of such</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common stock 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125,921</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25" w:right="239" w:bottom="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243205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125" w:right="239" w:bottom="71"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sz w:val="20"/>
          <w:szCs w:val="20"/>
          <w:color w:val="auto"/>
        </w:rPr>
      </w:pPr>
    </w:p>
    <w:p>
      <w:pPr>
        <w:ind w:left="1000" w:right="5980"/>
        <w:spacing w:after="0" w:line="290" w:lineRule="auto"/>
        <w:rPr>
          <w:sz w:val="20"/>
          <w:szCs w:val="20"/>
          <w:color w:val="auto"/>
        </w:rPr>
      </w:pPr>
      <w:r>
        <w:rPr>
          <w:rFonts w:ascii="Arial" w:cs="Arial" w:eastAsia="Arial" w:hAnsi="Arial"/>
          <w:sz w:val="17"/>
          <w:szCs w:val="17"/>
          <w:color w:val="auto"/>
        </w:rPr>
        <w:t>S.S OR I.R.S. IDENTIFICATION NO. OF ABOVE PERSON Advent Private Equity Fund III GmbH &amp; CO KG</w:t>
      </w:r>
    </w:p>
    <w:p>
      <w:pPr>
        <w:spacing w:after="0" w:line="377" w:lineRule="exact"/>
        <w:rPr>
          <w:sz w:val="20"/>
          <w:szCs w:val="20"/>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2160" w:hanging="1159"/>
        <w:spacing w:after="0"/>
        <w:tabs>
          <w:tab w:leader="none" w:pos="2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Germany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3,636,801 (includes both 18,118 shares of common stock owned individually by Advent Private Equity Fund III GmbH &amp;</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0"/>
              </w:rPr>
              <w:t>CO KG and 3,618,683 shares of common stock issued to other investment funds affiliated with Advent Venture Partners</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9"/>
              </w:rPr>
              <w:t>LLP, Apax WW Nominees LTD, J.P. Morgan Partners, LLC and The Merlin Biosciences Funds, all of which are party to a</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voting agreement with BioPharm, L.L.C., whereby the parties have agreed to vote all shares of such common stock</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Advent Private Equity Fund III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ectPr>
          <w:pgSz w:w="11900" w:h="16838" w:orient="portrait"/>
          <w:cols w:equalWidth="0" w:num="1">
            <w:col w:w="11360"/>
          </w:cols>
          <w:pgMar w:left="300" w:top="638" w:right="239" w:bottom="0" w:gutter="0" w:footer="0" w:header="0"/>
        </w:sectPr>
      </w:pPr>
    </w:p>
    <w:bookmarkStart w:id="5" w:name="page6"/>
    <w:bookmarkEnd w:id="5"/>
    <w:p>
      <w:pPr>
        <w:ind w:left="2160" w:hanging="1159"/>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3,636,801 (includes both 15,098 shares of common stock owned individually by Advent Private Equity Fund III Affiliates</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2"/>
              </w:rPr>
              <w:t>and 3,621,703 shares of common stock issued to other investment funds affiliated with Advent Venture Partners LLP,</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3"/>
              </w:rPr>
              <w:t>Apax WW Nominees LTD, J.P. Morgan Partners, LLC and The Merlin Biosciences Funds, all of which are party to a</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voting agreement with BioPharm, L.L.C., whereby the parties have agreed to vote all shares of such common stock</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sz w:val="20"/>
          <w:szCs w:val="20"/>
          <w:color w:val="auto"/>
        </w:rPr>
      </w:pPr>
    </w:p>
    <w:p>
      <w:pPr>
        <w:ind w:left="1000" w:right="5980"/>
        <w:spacing w:after="0" w:line="261" w:lineRule="auto"/>
        <w:rPr>
          <w:sz w:val="20"/>
          <w:szCs w:val="20"/>
          <w:color w:val="auto"/>
        </w:rPr>
      </w:pPr>
      <w:r>
        <w:rPr>
          <w:rFonts w:ascii="Arial" w:cs="Arial" w:eastAsia="Arial" w:hAnsi="Arial"/>
          <w:sz w:val="18"/>
          <w:szCs w:val="18"/>
          <w:color w:val="auto"/>
        </w:rPr>
        <w:t>S.S OR I.R.S. IDENTIFICATION NO. OF ABOVE PERSON Advent Management III Limited Partnership</w:t>
      </w:r>
    </w:p>
    <w:p>
      <w:pPr>
        <w:spacing w:after="0" w:line="399" w:lineRule="exact"/>
        <w:rPr>
          <w:sz w:val="20"/>
          <w:szCs w:val="20"/>
          <w:color w:val="auto"/>
        </w:rPr>
      </w:pPr>
    </w:p>
    <w:p>
      <w:pPr>
        <w:ind w:left="1000" w:hanging="620"/>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2160" w:hanging="1159"/>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38" w:orient="portrait"/>
          <w:cols w:equalWidth="0" w:num="1">
            <w:col w:w="11360"/>
          </w:cols>
          <w:pgMar w:left="300" w:top="125" w:right="239" w:bottom="17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2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8"/>
              </w:rPr>
              <w:t>3,636,801 (includes both 4,530 shares of common stock owned individually by Advent Management III Limited</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Partnership and 3,632,271 shares of common stock issued to other investment funds affiliated with Advent Venture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0"/>
              </w:rPr>
              <w:t>Partners LLP, Apax WW Nominees LTD, J.P. Morgan Partners, LLC and The Merlin Biosciences Funds, all of which are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party to a voting agreement with BioPharm, L.L.C., whereby the parties have agreed to vote all shares of such common</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stock 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Merlin Biosciences Fund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5"/>
              </w:rPr>
              <w:t>3,636,801 (includes both 498,722 shares of common stock owned individually by Merlin Biosciences Fund Limited</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Partnership and 3,138,079 shares of common stock issued to other investment funds affiliated with Advent Venture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Partners LLP, Apax WW Nominees LTD, J.P. Morgan Partners, LLC and The Merlin Biosciences Funds, all of which are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party to a voting agreement with BioPharm, L.L.C., whereby the parties have agreed to vote all shares of such common</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stock owned by the parties in the same manner and to the same extent as BioPharm, L.L.C.)</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79" w:right="239" w:bottom="0" w:gutter="0" w:footer="0" w:header="0"/>
        </w:sectPr>
      </w:pPr>
    </w:p>
    <w:bookmarkStart w:id="7" w:name="page8"/>
    <w:bookmarkEnd w:id="7"/>
    <w:p>
      <w:pPr>
        <w:ind w:left="2700" w:right="6960" w:hanging="1091"/>
        <w:spacing w:after="0" w:line="275" w:lineRule="auto"/>
        <w:tabs>
          <w:tab w:leader="none" w:pos="2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498,722</w:t>
      </w:r>
    </w:p>
    <w:p>
      <w:pPr>
        <w:spacing w:after="0" w:line="389" w:lineRule="exact"/>
        <w:rPr>
          <w:rFonts w:ascii="Arial" w:cs="Arial" w:eastAsia="Arial" w:hAnsi="Arial"/>
          <w:sz w:val="18"/>
          <w:szCs w:val="18"/>
          <w:color w:val="auto"/>
        </w:rPr>
      </w:pPr>
    </w:p>
    <w:p>
      <w:pPr>
        <w:ind w:left="2700" w:hanging="1091"/>
        <w:spacing w:after="0"/>
        <w:tabs>
          <w:tab w:leader="none" w:pos="2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sz w:val="20"/>
          <w:szCs w:val="20"/>
          <w:color w:val="auto"/>
        </w:rPr>
      </w:pPr>
    </w:p>
    <w:p>
      <w:pPr>
        <w:ind w:left="1000" w:right="5980"/>
        <w:spacing w:after="0" w:line="261" w:lineRule="auto"/>
        <w:rPr>
          <w:sz w:val="20"/>
          <w:szCs w:val="20"/>
          <w:color w:val="auto"/>
        </w:rPr>
      </w:pPr>
      <w:r>
        <w:rPr>
          <w:rFonts w:ascii="Arial" w:cs="Arial" w:eastAsia="Arial" w:hAnsi="Arial"/>
          <w:sz w:val="18"/>
          <w:szCs w:val="18"/>
          <w:color w:val="auto"/>
        </w:rPr>
        <w:t>S.S OR I.R.S. IDENTIFICATION NO. OF ABOVE PERSON Merlin Biosciences Fund GbR</w:t>
      </w:r>
    </w:p>
    <w:p>
      <w:pPr>
        <w:spacing w:after="0" w:line="399" w:lineRule="exact"/>
        <w:rPr>
          <w:sz w:val="20"/>
          <w:szCs w:val="20"/>
          <w:color w:val="auto"/>
        </w:rPr>
      </w:pPr>
    </w:p>
    <w:p>
      <w:pPr>
        <w:ind w:left="1000" w:hanging="620"/>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2160" w:hanging="1159"/>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Germany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3,636,801 (includes both 29,972 shares of common stock owned individually by Merlin Biosciences Fund GbR and</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3,606,829 shares of common stock issued to other investment funds affiliated with Advent Venture Partners LLP, Apax</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3"/>
              </w:rPr>
              <w:t>WW Nominees LTD, J.P. Morgan Partners, LLC and The Merlin Biosciences Funds, all of which are party to a voting</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8"/>
              </w:rPr>
              <w:t>agreement with BioPharm, L.L.C., whereby the parties have agreed to vote all shares of such common stock owned by the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29,972</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-531495</wp:posOffset>
            </wp:positionV>
            <wp:extent cx="55314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79" w:right="239" w:bottom="21" w:gutter="0" w:footer="0" w:header="0"/>
        </w:sectPr>
      </w:pPr>
    </w:p>
    <w:bookmarkStart w:id="8" w:name="page9"/>
    <w:bookmarkEnd w:id="8"/>
    <w:p>
      <w:pPr>
        <w:ind w:left="1000" w:hanging="620"/>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J.P. Morgan Partners (BHCA),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89"/>
              </w:rPr>
              <w:t>3,636,801 (includes both 415,381 shares of common stock owned individually by J.P. Morgan Partners (BHCA), L.P. and</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3,221,420 shares of common stock issued to other investment funds affiliated with Advent Venture Partners LLP, Apax</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3"/>
              </w:rPr>
              <w:t>WW Nominees LTD, J.P. Morgan Partners, LLC and The Merlin Biosciences Funds, all of which are party to a voting</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8"/>
              </w:rPr>
              <w:t>agreement with BioPharm, L.L.C., whereby the parties have agreed to vote all shares of such common stock owned by the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415,381</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25" w:right="239" w:bottom="112" w:gutter="0" w:footer="0" w:header="0"/>
        </w:sectPr>
      </w:pPr>
    </w:p>
    <w:bookmarkStart w:id="9" w:name="page10"/>
    <w:bookmarkEnd w:id="9"/>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sz w:val="20"/>
          <w:szCs w:val="20"/>
          <w:color w:val="auto"/>
        </w:rPr>
      </w:pPr>
    </w:p>
    <w:p>
      <w:pPr>
        <w:ind w:left="1000" w:right="5980"/>
        <w:spacing w:after="0" w:line="261" w:lineRule="auto"/>
        <w:rPr>
          <w:sz w:val="20"/>
          <w:szCs w:val="20"/>
          <w:color w:val="auto"/>
        </w:rPr>
      </w:pPr>
      <w:r>
        <w:rPr>
          <w:rFonts w:ascii="Arial" w:cs="Arial" w:eastAsia="Arial" w:hAnsi="Arial"/>
          <w:sz w:val="18"/>
          <w:szCs w:val="18"/>
          <w:color w:val="auto"/>
        </w:rPr>
        <w:t>S.S OR I.R.S. IDENTIFICATION NO. OF ABOVE PERSON J.P. Morgan Partners Global Investors, L.P.</w:t>
      </w:r>
    </w:p>
    <w:p>
      <w:pPr>
        <w:spacing w:after="0" w:line="399" w:lineRule="exact"/>
        <w:rPr>
          <w:sz w:val="20"/>
          <w:szCs w:val="20"/>
          <w:color w:val="auto"/>
        </w:rPr>
      </w:pPr>
    </w:p>
    <w:p>
      <w:pPr>
        <w:ind w:left="1000" w:hanging="62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2160" w:hanging="1159"/>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3,636,801 (includes both 94,399 shares of common stock owned individually by J.P. Morgan Partners Global Investors,</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9"/>
              </w:rPr>
              <w:t>L.P. and 3,542,402 shares of common stock issued to other investment funds affiliated with Advent Venture Partners LLP,</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3"/>
              </w:rPr>
              <w:t>Apax WW Nominees LTD, J.P. Morgan Partners, LLC and The Merlin Biosciences Funds, all of which are party to a</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voting agreement with BioPharm, L.L.C., whereby the parties have agreed to vote all shares of such common stock</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94,399</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sz w:val="20"/>
          <w:szCs w:val="20"/>
          <w:color w:val="auto"/>
        </w:rPr>
      </w:pPr>
    </w:p>
    <w:p>
      <w:pPr>
        <w:ind w:left="1000" w:right="5980" w:firstLine="1"/>
        <w:spacing w:after="0" w:line="323" w:lineRule="auto"/>
        <w:tabs>
          <w:tab w:leader="none" w:pos="12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OR I.R.S. IDENTIFICATION NO. OF ABOVE PERSON J.P. Morgan Partners Global Investors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-5080</wp:posOffset>
            </wp:positionV>
            <wp:extent cx="6612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sectPr>
      </w:pPr>
    </w:p>
    <w:bookmarkStart w:id="10" w:name="page11"/>
    <w:bookmarkEnd w:id="10"/>
    <w:p>
      <w:pPr>
        <w:ind w:left="1000" w:hanging="620"/>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6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6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3,636,801 (includes both 47,652 shares of common stock owned individually by J.P. Morgan Partners Global Investors</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(Cayman), L.P. and 3,589,149 shares of common stock issued to other investment funds affiliated with Advent Venture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0"/>
              </w:rPr>
              <w:t>Partners LLP, Apax WW Nominees LTD, J.P. Morgan Partners, LLC and The Merlin Biosciences Funds, all of which are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party to a voting agreement with BioPharm, L.L.C., whereby the parties have agreed to vote all shares of such common</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stock 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47,652</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J.P. Morgan Partners Global Investors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-773430</wp:posOffset>
            </wp:positionV>
            <wp:extent cx="58743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-988060</wp:posOffset>
            </wp:positionV>
            <wp:extent cx="58743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38" w:orient="portrait"/>
          <w:cols w:equalWidth="0" w:num="1">
            <w:col w:w="11360"/>
          </w:cols>
          <w:pgMar w:left="300" w:top="449" w:right="239" w:bottom="0" w:gutter="0" w:footer="0" w:header="0"/>
        </w:sectPr>
      </w:pPr>
    </w:p>
    <w:bookmarkStart w:id="11" w:name="page12"/>
    <w:bookmarkEnd w:id="11"/>
    <w:p>
      <w:pPr>
        <w:ind w:left="100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45085</wp:posOffset>
            </wp:positionV>
            <wp:extent cx="6612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2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89"/>
              </w:rPr>
              <w:t>3,636,801 (includes both 13,689 shares of common stock owned individually by J.P. Morgan Partners Global Investors A,</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9"/>
              </w:rPr>
              <w:t>L.P. and 3,623,112 shares of common stock issued to other investment funds affiliated with Advent Venture Partners LLP,</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3"/>
              </w:rPr>
              <w:t>Apax WW Nominees LTD, J.P. Morgan Partners, LLC and The Merlin Biosciences Funds, all of which are party to a</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voting agreement with BioPharm, L.L.C., whereby the parties have agreed to vote all shares of such common stock</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13,689</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J.P. Morgan Partners Global Investors (Cayman)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84" w:lineRule="exact"/>
        <w:rPr>
          <w:sz w:val="20"/>
          <w:szCs w:val="20"/>
          <w:color w:val="auto"/>
        </w:rPr>
      </w:pPr>
    </w:p>
    <w:p>
      <w:pPr>
        <w:spacing w:after="0"/>
        <w:tabs>
          <w:tab w:leader="none" w:pos="1580" w:val="left"/>
          <w:tab w:leader="none" w:pos="268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-96520</wp:posOffset>
            </wp:positionV>
            <wp:extent cx="55314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ectPr>
          <w:pgSz w:w="11900" w:h="16838" w:orient="portrait"/>
          <w:cols w:equalWidth="0" w:num="1">
            <w:col w:w="11360"/>
          </w:cols>
          <w:pgMar w:left="300" w:top="131" w:right="239" w:bottom="99" w:gutter="0" w:footer="0" w:header="0"/>
        </w:sectPr>
      </w:pPr>
    </w:p>
    <w:bookmarkStart w:id="12" w:name="page13"/>
    <w:bookmarkEnd w:id="12"/>
    <w:p>
      <w:pPr>
        <w:ind w:left="2700" w:hanging="1091"/>
        <w:spacing w:after="0"/>
        <w:tabs>
          <w:tab w:leader="none" w:pos="27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 w:lineRule="exact"/>
        <w:rPr>
          <w:rFonts w:ascii="Arial" w:cs="Arial" w:eastAsia="Arial" w:hAnsi="Arial"/>
          <w:sz w:val="18"/>
          <w:szCs w:val="18"/>
          <w:color w:val="auto"/>
        </w:rPr>
      </w:pPr>
    </w:p>
    <w:p>
      <w:pPr>
        <w:ind w:left="2700" w:right="140"/>
        <w:spacing w:after="0" w:line="291" w:lineRule="auto"/>
        <w:rPr>
          <w:rFonts w:ascii="Arial" w:cs="Arial" w:eastAsia="Arial" w:hAnsi="Arial"/>
          <w:sz w:val="18"/>
          <w:szCs w:val="18"/>
          <w:color w:val="auto"/>
        </w:rPr>
      </w:pPr>
      <w:r>
        <w:rPr>
          <w:rFonts w:ascii="Arial" w:cs="Arial" w:eastAsia="Arial" w:hAnsi="Arial"/>
          <w:sz w:val="16"/>
          <w:szCs w:val="16"/>
          <w:color w:val="auto"/>
        </w:rPr>
        <w:t>3,636,801 (includes both 5,320 shares of common stock owned individually by J.P. Morgan Partners Global Investors (Cayman) II, L.P. and 3,631,481 shares of common stock issued to other investment funds affiliated with Advent Venture Partners LLP, Apax WW Nominees LTD, J.P. Morgan Partners, LLC and The Merlin Biosciences Funds, all of which are party to a voting agreement with BioPharm, L.L.C., whereby the parties have agreed to vote all shares of such common stock owned by the parties in the same manner and to the same extent as BioPharm, L.L.C.)</w:t>
      </w:r>
    </w:p>
    <w:p>
      <w:pPr>
        <w:spacing w:after="0" w:line="382" w:lineRule="exact"/>
        <w:rPr>
          <w:rFonts w:ascii="Arial" w:cs="Arial" w:eastAsia="Arial" w:hAnsi="Arial"/>
          <w:sz w:val="18"/>
          <w:szCs w:val="18"/>
          <w:color w:val="auto"/>
        </w:rPr>
      </w:pPr>
    </w:p>
    <w:p>
      <w:pPr>
        <w:ind w:left="2700" w:right="6960" w:hanging="1091"/>
        <w:spacing w:after="0" w:line="275" w:lineRule="auto"/>
        <w:tabs>
          <w:tab w:leader="none" w:pos="27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5,320</w:t>
      </w:r>
    </w:p>
    <w:p>
      <w:pPr>
        <w:spacing w:after="0" w:line="389" w:lineRule="exact"/>
        <w:rPr>
          <w:rFonts w:ascii="Arial" w:cs="Arial" w:eastAsia="Arial" w:hAnsi="Arial"/>
          <w:sz w:val="18"/>
          <w:szCs w:val="18"/>
          <w:color w:val="auto"/>
        </w:rPr>
      </w:pPr>
    </w:p>
    <w:p>
      <w:pPr>
        <w:ind w:left="2700" w:hanging="1091"/>
        <w:spacing w:after="0"/>
        <w:tabs>
          <w:tab w:leader="none" w:pos="27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-3252470</wp:posOffset>
            </wp:positionV>
            <wp:extent cx="55314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sz w:val="20"/>
          <w:szCs w:val="20"/>
          <w:color w:val="auto"/>
        </w:rPr>
      </w:pPr>
    </w:p>
    <w:p>
      <w:pPr>
        <w:ind w:left="1000" w:right="5980"/>
        <w:spacing w:after="0" w:line="323" w:lineRule="auto"/>
        <w:rPr>
          <w:sz w:val="20"/>
          <w:szCs w:val="20"/>
          <w:color w:val="auto"/>
        </w:rPr>
      </w:pPr>
      <w:r>
        <w:rPr>
          <w:rFonts w:ascii="Arial" w:cs="Arial" w:eastAsia="Arial" w:hAnsi="Arial"/>
          <w:sz w:val="16"/>
          <w:szCs w:val="16"/>
          <w:color w:val="auto"/>
        </w:rPr>
        <w:t>S.S OR I.R.S. IDENTIFICATION NO. OF ABOVE PERSON J.P. Morgan Partners Global Investors (Selldown), L.P.</w:t>
      </w:r>
    </w:p>
    <w:p>
      <w:pPr>
        <w:spacing w:after="0" w:line="354" w:lineRule="exact"/>
        <w:rPr>
          <w:sz w:val="20"/>
          <w:szCs w:val="20"/>
          <w:color w:val="auto"/>
        </w:rPr>
      </w:pPr>
    </w:p>
    <w:p>
      <w:pPr>
        <w:ind w:left="1000" w:hanging="620"/>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2160" w:hanging="1159"/>
        <w:spacing w:after="0"/>
        <w:tabs>
          <w:tab w:leader="none" w:pos="2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3,636,801 (includes both 33,714 shares of common stock owned individually by J.P. Morgan Partners Global Investors</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(Selldown), L.P. and 3,603,087 shares of common stock issued to other investment funds affiliated with Advent Venture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Partners LLP, Apax WW Nominees LTD, J.P. Morgan Partners, LLC and The Merlin Biosciences Funds, all of which are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party to a voting agreement with BioPharm, L.L.C., whereby the parties have agreed to vote all shares of such common</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stock owned by the parties in the same manner and to the same extent as BioPharm, L.L.C.)</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6"/>
        </w:trPr>
        <w:tc>
          <w:tcPr>
            <w:tcW w:w="12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79" w:right="239" w:bottom="0" w:gutter="0" w:footer="0" w:header="0"/>
        </w:sectPr>
      </w:pPr>
    </w:p>
    <w:bookmarkStart w:id="13" w:name="page14"/>
    <w:bookmarkEnd w:id="13"/>
    <w:p>
      <w:pPr>
        <w:ind w:left="2700" w:hanging="1091"/>
        <w:spacing w:after="0"/>
        <w:tabs>
          <w:tab w:leader="none" w:pos="2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J.P. Morgan Partners Global Investors (Selldown)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6612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0" w:hanging="620"/>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hanging="1091"/>
        <w:spacing w:after="0"/>
        <w:tabs>
          <w:tab w:leader="none" w:pos="27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-361950</wp:posOffset>
            </wp:positionV>
            <wp:extent cx="55314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612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-1879600</wp:posOffset>
            </wp:positionV>
            <wp:extent cx="58743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-2094230</wp:posOffset>
            </wp:positionV>
            <wp:extent cx="58743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3,636,801 (includes both 117,054 shares of common stock owned individually by J.P. Morgan Partners Global Investors</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9"/>
              </w:rPr>
              <w:t>(Selldown) II, L.P. and 3,519,747 shares of common stock issued to other investment funds affiliated with Advent Venture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0"/>
              </w:rPr>
              <w:t>Partners LLP, Apax WW Nominees LTD, J.P. Morgan Partners, LLC and The Merlin Biosciences Funds, all of which are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party to a voting agreement with BioPharm, L.L.C., whereby the parties have agreed to vote all shares of such common</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stock owned by the parties in the same manner and to the same extent as BioPharm,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Each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117,054</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3,636,801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186690</wp:posOffset>
            </wp:positionV>
            <wp:extent cx="6612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-910590</wp:posOffset>
            </wp:positionV>
            <wp:extent cx="55314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79" w:right="239" w:bottom="289" w:gutter="0" w:footer="0" w:header="0"/>
        </w:sectPr>
      </w:pPr>
    </w:p>
    <w:bookmarkStart w:id="14" w:name="page15"/>
    <w:bookmarkEnd w:id="14"/>
    <w:p>
      <w:pPr>
        <w:ind w:left="1060" w:right="6260" w:hanging="620"/>
        <w:spacing w:after="0" w:line="275"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14.25%</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520" w:hanging="49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Emergent BioSolutions Inc.</w:t>
      </w:r>
    </w:p>
    <w:p>
      <w:pPr>
        <w:spacing w:after="0" w:line="116" w:lineRule="exact"/>
        <w:rPr>
          <w:rFonts w:ascii="Arial" w:cs="Arial" w:eastAsia="Arial" w:hAnsi="Arial"/>
          <w:sz w:val="18"/>
          <w:szCs w:val="18"/>
          <w:color w:val="auto"/>
        </w:rPr>
      </w:pPr>
    </w:p>
    <w:p>
      <w:pPr>
        <w:ind w:left="1520" w:right="6180" w:hanging="499"/>
        <w:spacing w:after="0" w:line="258" w:lineRule="auto"/>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Address of Issuer’s Principal Executive Offices 300 Professional Drive</w:t>
      </w:r>
    </w:p>
    <w:p>
      <w:pPr>
        <w:spacing w:after="0" w:line="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Suite 250</w:t>
      </w:r>
    </w:p>
    <w:p>
      <w:pPr>
        <w:spacing w:after="0" w:line="9"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Gaithersburg, Maryland 20879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40005</wp:posOffset>
            </wp:positionV>
            <wp:extent cx="63201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-585470</wp:posOffset>
            </wp:positionV>
            <wp:extent cx="63201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520" w:hanging="499"/>
        <w:spacing w:after="0"/>
        <w:tabs>
          <w:tab w:leader="none" w:pos="15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20" w:right="5480"/>
        <w:spacing w:after="0" w:line="265" w:lineRule="auto"/>
        <w:rPr>
          <w:rFonts w:ascii="Arial" w:cs="Arial" w:eastAsia="Arial" w:hAnsi="Arial"/>
          <w:sz w:val="18"/>
          <w:szCs w:val="18"/>
          <w:color w:val="auto"/>
        </w:rPr>
      </w:pPr>
      <w:r>
        <w:rPr>
          <w:rFonts w:ascii="Arial" w:cs="Arial" w:eastAsia="Arial" w:hAnsi="Arial"/>
          <w:sz w:val="17"/>
          <w:szCs w:val="17"/>
          <w:color w:val="auto"/>
        </w:rPr>
        <w:t>Advent Private Equity Fund III “A” Limited Partnership; Advent Private Equity Fund III “B” Limited Partnership; Advent Private Equity Fund III “C” Limited Partnership; Advent Private Equity Fund III “D” Limited Partnership; Advent Private Equity Fund III GMBH &amp; CO KG.; Advent Private Equity Fund III Affiliates;</w:t>
      </w:r>
    </w:p>
    <w:p>
      <w:pPr>
        <w:spacing w:after="0" w:line="1" w:lineRule="exact"/>
        <w:rPr>
          <w:rFonts w:ascii="Arial" w:cs="Arial" w:eastAsia="Arial" w:hAnsi="Arial"/>
          <w:sz w:val="18"/>
          <w:szCs w:val="18"/>
          <w:color w:val="auto"/>
        </w:rPr>
      </w:pPr>
    </w:p>
    <w:p>
      <w:pPr>
        <w:ind w:left="1520" w:right="6260"/>
        <w:spacing w:after="0" w:line="265" w:lineRule="auto"/>
        <w:rPr>
          <w:rFonts w:ascii="Arial" w:cs="Arial" w:eastAsia="Arial" w:hAnsi="Arial"/>
          <w:sz w:val="18"/>
          <w:szCs w:val="18"/>
          <w:color w:val="auto"/>
        </w:rPr>
      </w:pPr>
      <w:r>
        <w:rPr>
          <w:rFonts w:ascii="Arial" w:cs="Arial" w:eastAsia="Arial" w:hAnsi="Arial"/>
          <w:sz w:val="17"/>
          <w:szCs w:val="17"/>
          <w:color w:val="auto"/>
        </w:rPr>
        <w:t>Advent Management III Limited Partnership; Merlin Biosciences Fund Limited Partnership; Merlin Biosciences Fund GbR;</w:t>
      </w:r>
    </w:p>
    <w:p>
      <w:pPr>
        <w:ind w:left="1520"/>
        <w:spacing w:after="0"/>
        <w:rPr>
          <w:rFonts w:ascii="Arial" w:cs="Arial" w:eastAsia="Arial" w:hAnsi="Arial"/>
          <w:sz w:val="18"/>
          <w:szCs w:val="18"/>
          <w:color w:val="auto"/>
        </w:rPr>
      </w:pPr>
      <w:r>
        <w:rPr>
          <w:rFonts w:ascii="Arial" w:cs="Arial" w:eastAsia="Arial" w:hAnsi="Arial"/>
          <w:sz w:val="18"/>
          <w:szCs w:val="18"/>
          <w:color w:val="auto"/>
        </w:rPr>
        <w:t>J.P. Morgan Partners (BHCA), L.P.*;</w:t>
      </w:r>
    </w:p>
    <w:p>
      <w:pPr>
        <w:spacing w:after="0" w:line="9"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J.P. Morgan Partners Global Investors, L.P.*;</w:t>
      </w:r>
    </w:p>
    <w:p>
      <w:pPr>
        <w:spacing w:after="0" w:line="9" w:lineRule="exact"/>
        <w:rPr>
          <w:rFonts w:ascii="Arial" w:cs="Arial" w:eastAsia="Arial" w:hAnsi="Arial"/>
          <w:sz w:val="18"/>
          <w:szCs w:val="18"/>
          <w:color w:val="auto"/>
        </w:rPr>
      </w:pPr>
    </w:p>
    <w:p>
      <w:pPr>
        <w:ind w:left="1520" w:right="5600"/>
        <w:spacing w:after="0" w:line="281" w:lineRule="auto"/>
        <w:rPr>
          <w:rFonts w:ascii="Arial" w:cs="Arial" w:eastAsia="Arial" w:hAnsi="Arial"/>
          <w:sz w:val="18"/>
          <w:szCs w:val="18"/>
          <w:color w:val="auto"/>
        </w:rPr>
      </w:pPr>
      <w:r>
        <w:rPr>
          <w:rFonts w:ascii="Arial" w:cs="Arial" w:eastAsia="Arial" w:hAnsi="Arial"/>
          <w:sz w:val="16"/>
          <w:szCs w:val="16"/>
          <w:color w:val="auto"/>
        </w:rPr>
        <w:t>J.P. Morgan Partners Global Investors (Cayman), L.P.*; J.P. Morgan Partners Global Investors A, L.P.*;</w:t>
      </w:r>
    </w:p>
    <w:p>
      <w:pPr>
        <w:spacing w:after="0" w:line="1" w:lineRule="exact"/>
        <w:rPr>
          <w:rFonts w:ascii="Arial" w:cs="Arial" w:eastAsia="Arial" w:hAnsi="Arial"/>
          <w:sz w:val="18"/>
          <w:szCs w:val="18"/>
          <w:color w:val="auto"/>
        </w:rPr>
      </w:pPr>
    </w:p>
    <w:p>
      <w:pPr>
        <w:ind w:left="1520" w:right="5220"/>
        <w:spacing w:after="0" w:line="302" w:lineRule="auto"/>
        <w:rPr>
          <w:rFonts w:ascii="Arial" w:cs="Arial" w:eastAsia="Arial" w:hAnsi="Arial"/>
          <w:sz w:val="18"/>
          <w:szCs w:val="18"/>
          <w:color w:val="auto"/>
        </w:rPr>
      </w:pPr>
      <w:r>
        <w:rPr>
          <w:rFonts w:ascii="Arial" w:cs="Arial" w:eastAsia="Arial" w:hAnsi="Arial"/>
          <w:sz w:val="16"/>
          <w:szCs w:val="16"/>
          <w:color w:val="auto"/>
        </w:rPr>
        <w:t>J.P. Morgan Partners Global Investors (Cayman) II, L.P.*; J.P. Morgan Partners Global Investors (Selldown), L.P.*; and J.P. Morgan Partners Global Investors (Selldown) II, L.P.</w:t>
      </w:r>
    </w:p>
    <w:p>
      <w:pPr>
        <w:spacing w:after="0" w:line="60" w:lineRule="exact"/>
        <w:rPr>
          <w:rFonts w:ascii="Arial" w:cs="Arial" w:eastAsia="Arial" w:hAnsi="Arial"/>
          <w:sz w:val="18"/>
          <w:szCs w:val="18"/>
          <w:color w:val="auto"/>
        </w:rPr>
      </w:pPr>
    </w:p>
    <w:p>
      <w:pPr>
        <w:ind w:left="1520" w:right="5320" w:hanging="499"/>
        <w:spacing w:after="0" w:line="256" w:lineRule="auto"/>
        <w:tabs>
          <w:tab w:leader="none" w:pos="15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Advent Private Equity Fund III “A” Limited Partnership 25 Buckingham Gate</w:t>
      </w:r>
    </w:p>
    <w:p>
      <w:pPr>
        <w:ind w:left="1520" w:right="8140"/>
        <w:spacing w:after="0" w:line="290" w:lineRule="auto"/>
        <w:rPr>
          <w:rFonts w:ascii="Arial" w:cs="Arial" w:eastAsia="Arial" w:hAnsi="Arial"/>
          <w:sz w:val="18"/>
          <w:szCs w:val="18"/>
          <w:color w:val="auto"/>
        </w:rPr>
      </w:pPr>
      <w:r>
        <w:rPr>
          <w:rFonts w:ascii="Arial" w:cs="Arial" w:eastAsia="Arial" w:hAnsi="Arial"/>
          <w:sz w:val="17"/>
          <w:szCs w:val="17"/>
          <w:color w:val="auto"/>
        </w:rPr>
        <w:t>London SW1E 6LD United Kingdom</w:t>
      </w:r>
    </w:p>
    <w:p>
      <w:pPr>
        <w:spacing w:after="0" w:line="161" w:lineRule="exact"/>
        <w:rPr>
          <w:rFonts w:ascii="Arial" w:cs="Arial" w:eastAsia="Arial" w:hAnsi="Arial"/>
          <w:sz w:val="18"/>
          <w:szCs w:val="18"/>
          <w:color w:val="auto"/>
        </w:rPr>
      </w:pPr>
    </w:p>
    <w:p>
      <w:pPr>
        <w:ind w:left="1520" w:right="5540"/>
        <w:spacing w:after="0" w:line="258" w:lineRule="auto"/>
        <w:rPr>
          <w:rFonts w:ascii="Arial" w:cs="Arial" w:eastAsia="Arial" w:hAnsi="Arial"/>
          <w:sz w:val="18"/>
          <w:szCs w:val="18"/>
          <w:color w:val="auto"/>
        </w:rPr>
      </w:pPr>
      <w:r>
        <w:rPr>
          <w:rFonts w:ascii="Arial" w:cs="Arial" w:eastAsia="Arial" w:hAnsi="Arial"/>
          <w:sz w:val="18"/>
          <w:szCs w:val="18"/>
          <w:color w:val="auto"/>
        </w:rPr>
        <w:t>Advent Private Equity Fund III “B” Limited Partnership 25 Buckingham Gate</w:t>
      </w:r>
    </w:p>
    <w:p>
      <w:pPr>
        <w:spacing w:after="0" w:line="1" w:lineRule="exact"/>
        <w:rPr>
          <w:rFonts w:ascii="Arial" w:cs="Arial" w:eastAsia="Arial" w:hAnsi="Arial"/>
          <w:sz w:val="18"/>
          <w:szCs w:val="18"/>
          <w:color w:val="auto"/>
        </w:rPr>
      </w:pPr>
    </w:p>
    <w:p>
      <w:pPr>
        <w:ind w:left="1520" w:right="8140"/>
        <w:spacing w:after="0" w:line="290" w:lineRule="auto"/>
        <w:rPr>
          <w:rFonts w:ascii="Arial" w:cs="Arial" w:eastAsia="Arial" w:hAnsi="Arial"/>
          <w:sz w:val="18"/>
          <w:szCs w:val="18"/>
          <w:color w:val="auto"/>
        </w:rPr>
      </w:pPr>
      <w:r>
        <w:rPr>
          <w:rFonts w:ascii="Arial" w:cs="Arial" w:eastAsia="Arial" w:hAnsi="Arial"/>
          <w:sz w:val="17"/>
          <w:szCs w:val="17"/>
          <w:color w:val="auto"/>
        </w:rPr>
        <w:t>London SW1E 6LD United Kingdom</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Supplemental information relating to the ownership and control of the J.P. Morgan Partners entities filing this statement is included in Exhibit 2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-2026285</wp:posOffset>
            </wp:positionV>
            <wp:extent cx="63201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13893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Advent Private Equity Fund III “C” Limited Partnership</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25 Buckingham Gate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Advent Private Equity Fund III “D” Limited Partnership 25 Buckingham Gate</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Advent Private Equity Fund III GMBH &amp; CO KG</w:t>
      </w:r>
    </w:p>
    <w:p>
      <w:pPr>
        <w:sectPr>
          <w:pgSz w:w="11900" w:h="16838" w:orient="portrait"/>
          <w:cols w:equalWidth="0" w:num="1">
            <w:col w:w="11120"/>
          </w:cols>
          <w:pgMar w:left="240" w:top="125" w:right="539" w:bottom="0" w:gutter="0" w:footer="0" w:header="0"/>
        </w:sectPr>
      </w:pPr>
    </w:p>
    <w:bookmarkStart w:id="15" w:name="page16"/>
    <w:bookmarkEnd w:id="15"/>
    <w:p>
      <w:pPr>
        <w:ind w:left="1512"/>
        <w:spacing w:after="0"/>
        <w:rPr>
          <w:sz w:val="20"/>
          <w:szCs w:val="20"/>
          <w:color w:val="auto"/>
        </w:rPr>
      </w:pPr>
      <w:r>
        <w:rPr>
          <w:rFonts w:ascii="Arial" w:cs="Arial" w:eastAsia="Arial" w:hAnsi="Arial"/>
          <w:sz w:val="18"/>
          <w:szCs w:val="18"/>
          <w:color w:val="auto"/>
        </w:rPr>
        <w:t>Theresienstrasse 6</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Munich 80333</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Germany</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Private Equity Fund III Affiliates</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25 Buckingham Gate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Management III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50 Lothian Road, Festival Square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Edinburgh EH3 9WJ</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Merlin Biosciences Fund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Chambers</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Street</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Jersey JE1 1BJ</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Merlin Biosciences Fund GbR</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Chambers</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Street</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Jersey JE1 1BJ</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(BHCA), L.P.**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270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13893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12" w:right="1899" w:hanging="5612"/>
        <w:spacing w:after="0" w:line="778" w:lineRule="auto"/>
        <w:tabs>
          <w:tab w:leader="none" w:pos="221"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See also supplemental information relating to the principal business office included in Exhibit 2 attached hereto.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New York, New York 10017</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Global Investors, L.P.**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Global Investors (Cayman), L.P.**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Global Investors A, L.P.**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Global Investors (Cayman) II, L.P.**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Global Investors (Selldown), L.P.**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Global Investors (Selldown) II, L.P.**</w:t>
      </w:r>
    </w:p>
    <w:p>
      <w:pPr>
        <w:sectPr>
          <w:pgSz w:w="11900" w:h="16838" w:orient="portrait"/>
          <w:cols w:equalWidth="0" w:num="1">
            <w:col w:w="10211"/>
          </w:cols>
          <w:pgMar w:left="248" w:top="125" w:right="1440" w:bottom="0" w:gutter="0" w:footer="0" w:header="0"/>
        </w:sectPr>
      </w:pPr>
    </w:p>
    <w:bookmarkStart w:id="16" w:name="page17"/>
    <w:bookmarkEnd w:id="16"/>
    <w:p>
      <w:pPr>
        <w:ind w:left="1460"/>
        <w:spacing w:after="0"/>
        <w:rPr>
          <w:sz w:val="20"/>
          <w:szCs w:val="20"/>
          <w:color w:val="auto"/>
        </w:rPr>
      </w:pPr>
      <w:r>
        <w:rPr>
          <w:rFonts w:ascii="Arial" w:cs="Arial" w:eastAsia="Arial" w:hAnsi="Arial"/>
          <w:sz w:val="18"/>
          <w:szCs w:val="18"/>
          <w:color w:val="auto"/>
        </w:rPr>
        <w:t>c/o J.P. Morgan Partners, L.L.C.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40005</wp:posOffset>
            </wp:positionV>
            <wp:extent cx="63201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1460" w:hanging="499"/>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The citizenship of each of the funds is as follows:</w:t>
      </w:r>
    </w:p>
    <w:p>
      <w:pPr>
        <w:spacing w:after="0" w:line="210" w:lineRule="exact"/>
        <w:rPr>
          <w:rFonts w:ascii="Arial" w:cs="Arial" w:eastAsia="Arial" w:hAnsi="Arial"/>
          <w:sz w:val="18"/>
          <w:szCs w:val="18"/>
          <w:color w:val="auto"/>
        </w:rPr>
      </w:pPr>
    </w:p>
    <w:p>
      <w:pPr>
        <w:jc w:val="both"/>
        <w:ind w:left="1460" w:right="4860"/>
        <w:spacing w:after="0" w:line="308" w:lineRule="auto"/>
        <w:rPr>
          <w:rFonts w:ascii="Arial" w:cs="Arial" w:eastAsia="Arial" w:hAnsi="Arial"/>
          <w:sz w:val="18"/>
          <w:szCs w:val="18"/>
          <w:color w:val="auto"/>
        </w:rPr>
      </w:pPr>
      <w:r>
        <w:rPr>
          <w:rFonts w:ascii="Arial" w:cs="Arial" w:eastAsia="Arial" w:hAnsi="Arial"/>
          <w:sz w:val="17"/>
          <w:szCs w:val="17"/>
          <w:color w:val="auto"/>
        </w:rPr>
        <w:t>Advent Private Equity Fund III “A” Limited Partnership (England); Advent Private Equity Fund III “B” Limited Partnership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0</wp:posOffset>
            </wp:positionV>
            <wp:extent cx="63201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Advent Private Equity Fund III “C” Limited Partnership (England);</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Advent Private Equity Fund III “D” Limited Partnership (England);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Advent Private Equity Fund III GMBH &amp; CO KG. (Germany);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Advent Private Equity Fund III Affiliates (England);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Advent Management III Limited Partnership (Scotland);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Merlin Biosciences Fund Limited Partnership (Jersey);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Merlin Biosciences Fund GbR (Germany);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Partners (BHCA), L.P. (Delaware);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Partners Global Investors, L.P. (Delaware);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Partners Global Investors (Cayman), L.P. (Cayman Islands);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Partners Global Investors A, L.P. (Delaware);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Partners Global Investors (Cayman) II, L.P. (Cayman Islands);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Partners Global Investors (Selldown), L.P. (Delaware); and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Partners Global Investors (Selldown) II, L.P.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1440" w:right="7340" w:hanging="493"/>
        <w:spacing w:after="0" w:line="342" w:lineRule="auto"/>
        <w:tabs>
          <w:tab w:leader="none" w:pos="14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Title of Class of Securities Common Stock, $0.001 par value</w:t>
      </w:r>
    </w:p>
    <w:p>
      <w:pPr>
        <w:spacing w:after="0" w:line="29" w:lineRule="exact"/>
        <w:rPr>
          <w:rFonts w:ascii="Arial" w:cs="Arial" w:eastAsia="Arial" w:hAnsi="Arial"/>
          <w:sz w:val="16"/>
          <w:szCs w:val="16"/>
          <w:color w:val="auto"/>
        </w:rPr>
      </w:pPr>
    </w:p>
    <w:p>
      <w:pPr>
        <w:ind w:left="1440" w:right="8600" w:hanging="493"/>
        <w:spacing w:after="0" w:line="342" w:lineRule="auto"/>
        <w:tabs>
          <w:tab w:leader="none" w:pos="14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CUSIP Number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200"/>
          </w:cols>
          <w:pgMar w:left="300" w:top="125" w:right="399" w:bottom="0" w:gutter="0" w:footer="0" w:header="0"/>
        </w:sectPr>
      </w:pPr>
    </w:p>
    <w:bookmarkStart w:id="17" w:name="page18"/>
    <w:bookmarkEnd w:id="17"/>
    <w:p>
      <w:pPr>
        <w:ind w:left="1652" w:hanging="394"/>
        <w:spacing w:after="0"/>
        <w:tabs>
          <w:tab w:leader="none" w:pos="1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3,636,801 shares</w:t>
      </w:r>
    </w:p>
    <w:p>
      <w:pPr>
        <w:spacing w:after="0" w:line="238" w:lineRule="exact"/>
        <w:rPr>
          <w:rFonts w:ascii="Arial" w:cs="Arial" w:eastAsia="Arial" w:hAnsi="Arial"/>
          <w:sz w:val="18"/>
          <w:szCs w:val="18"/>
          <w:color w:val="auto"/>
        </w:rPr>
      </w:pPr>
    </w:p>
    <w:p>
      <w:pPr>
        <w:ind w:left="1652" w:hanging="400"/>
        <w:spacing w:after="0"/>
        <w:tabs>
          <w:tab w:leader="none" w:pos="1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14.25%</w:t>
      </w:r>
    </w:p>
    <w:p>
      <w:pPr>
        <w:spacing w:after="0" w:line="238" w:lineRule="exact"/>
        <w:rPr>
          <w:rFonts w:ascii="Arial" w:cs="Arial" w:eastAsia="Arial" w:hAnsi="Arial"/>
          <w:sz w:val="18"/>
          <w:szCs w:val="18"/>
          <w:color w:val="auto"/>
        </w:rPr>
      </w:pPr>
    </w:p>
    <w:p>
      <w:pPr>
        <w:ind w:left="1652" w:hanging="394"/>
        <w:spacing w:after="0"/>
        <w:tabs>
          <w:tab w:leader="none" w:pos="1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255270</wp:posOffset>
            </wp:positionV>
            <wp:extent cx="62344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-198755</wp:posOffset>
            </wp:positionV>
            <wp:extent cx="62344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-653415</wp:posOffset>
            </wp:positionV>
            <wp:extent cx="62344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72" w:right="6260" w:hanging="453"/>
        <w:spacing w:after="0" w:line="340" w:lineRule="auto"/>
        <w:tabs>
          <w:tab w:leader="none" w:pos="22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Sole power to vote or to direct the vote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8400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72" w:right="6080" w:hanging="478"/>
        <w:spacing w:after="0" w:line="340" w:lineRule="auto"/>
        <w:tabs>
          <w:tab w:leader="none" w:pos="22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Shared power to vote or to direct the vote 3,636,801shares***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8400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72" w:hanging="503"/>
        <w:spacing w:after="0"/>
        <w:tabs>
          <w:tab w:leader="none" w:pos="2272" w:val="left"/>
        </w:tabs>
        <w:numPr>
          <w:ilvl w:val="1"/>
          <w:numId w:val="9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72" w:right="3400"/>
        <w:spacing w:after="0" w:line="352" w:lineRule="auto"/>
        <w:rPr>
          <w:rFonts w:ascii="Arial" w:cs="Arial" w:eastAsia="Arial" w:hAnsi="Arial"/>
          <w:sz w:val="18"/>
          <w:szCs w:val="18"/>
          <w:color w:val="auto"/>
        </w:rPr>
      </w:pPr>
      <w:r>
        <w:rPr>
          <w:rFonts w:ascii="Arial" w:cs="Arial" w:eastAsia="Arial" w:hAnsi="Arial"/>
          <w:sz w:val="16"/>
          <w:szCs w:val="16"/>
          <w:color w:val="auto"/>
        </w:rPr>
        <w:t>Advent Private Equity Fund III “A” Limited Partnership owns 468,355 shares; Advent Private Equity Fund III “B” Limited Partnership owns 229,497 shares; Advent Private Equity Fund III “C” Limited Partnership owns 64,018 shares; Advent Private Equity Fund III “D” Limited Partnership owns 125,921 shares; Advent Private Equity Fund III GMBH &amp; CO KG. owns 18,118 shares; Advent Private Equity Fund III Affiliates owns 15,098 shares;</w:t>
      </w:r>
    </w:p>
    <w:p>
      <w:pPr>
        <w:spacing w:after="0" w:line="1" w:lineRule="exact"/>
        <w:rPr>
          <w:rFonts w:ascii="Arial" w:cs="Arial" w:eastAsia="Arial" w:hAnsi="Arial"/>
          <w:sz w:val="18"/>
          <w:szCs w:val="18"/>
          <w:color w:val="auto"/>
        </w:rPr>
      </w:pPr>
    </w:p>
    <w:p>
      <w:pPr>
        <w:ind w:left="2272" w:right="4180"/>
        <w:spacing w:after="0" w:line="331" w:lineRule="auto"/>
        <w:rPr>
          <w:rFonts w:ascii="Arial" w:cs="Arial" w:eastAsia="Arial" w:hAnsi="Arial"/>
          <w:sz w:val="18"/>
          <w:szCs w:val="18"/>
          <w:color w:val="auto"/>
        </w:rPr>
      </w:pPr>
      <w:r>
        <w:rPr>
          <w:rFonts w:ascii="Arial" w:cs="Arial" w:eastAsia="Arial" w:hAnsi="Arial"/>
          <w:sz w:val="17"/>
          <w:szCs w:val="17"/>
          <w:color w:val="auto"/>
        </w:rPr>
        <w:t>Advent Management III Limited Partnership owns 4,530 shares; Merlin Biosciences Fund Limited Partnership owns 498,722 shares; Merlin Biosciences Fund GbR owns 29,972 shares;</w:t>
      </w:r>
    </w:p>
    <w:p>
      <w:pPr>
        <w:spacing w:after="0" w:line="1" w:lineRule="exact"/>
        <w:rPr>
          <w:rFonts w:ascii="Arial" w:cs="Arial" w:eastAsia="Arial" w:hAnsi="Arial"/>
          <w:sz w:val="18"/>
          <w:szCs w:val="18"/>
          <w:color w:val="auto"/>
        </w:rPr>
      </w:pPr>
    </w:p>
    <w:p>
      <w:pPr>
        <w:ind w:left="2272"/>
        <w:spacing w:after="0"/>
        <w:rPr>
          <w:rFonts w:ascii="Arial" w:cs="Arial" w:eastAsia="Arial" w:hAnsi="Arial"/>
          <w:sz w:val="18"/>
          <w:szCs w:val="18"/>
          <w:color w:val="auto"/>
        </w:rPr>
      </w:pPr>
      <w:r>
        <w:rPr>
          <w:rFonts w:ascii="Arial" w:cs="Arial" w:eastAsia="Arial" w:hAnsi="Arial"/>
          <w:sz w:val="18"/>
          <w:szCs w:val="18"/>
          <w:color w:val="auto"/>
        </w:rPr>
        <w:t>J.P. Morgan Partners (BHCA), L.P. owns 415,381 shares;</w:t>
      </w:r>
    </w:p>
    <w:p>
      <w:pPr>
        <w:spacing w:after="0" w:line="63" w:lineRule="exact"/>
        <w:rPr>
          <w:rFonts w:ascii="Arial" w:cs="Arial" w:eastAsia="Arial" w:hAnsi="Arial"/>
          <w:sz w:val="18"/>
          <w:szCs w:val="18"/>
          <w:color w:val="auto"/>
        </w:rPr>
      </w:pPr>
    </w:p>
    <w:p>
      <w:pPr>
        <w:ind w:left="2272"/>
        <w:spacing w:after="0"/>
        <w:rPr>
          <w:rFonts w:ascii="Arial" w:cs="Arial" w:eastAsia="Arial" w:hAnsi="Arial"/>
          <w:sz w:val="18"/>
          <w:szCs w:val="18"/>
          <w:color w:val="auto"/>
        </w:rPr>
      </w:pPr>
      <w:r>
        <w:rPr>
          <w:rFonts w:ascii="Arial" w:cs="Arial" w:eastAsia="Arial" w:hAnsi="Arial"/>
          <w:sz w:val="18"/>
          <w:szCs w:val="18"/>
          <w:color w:val="auto"/>
        </w:rPr>
        <w:t>J.P. Morgan Partners Global Investors, L.P. owns 94,399 shares;</w:t>
      </w:r>
    </w:p>
    <w:p>
      <w:pPr>
        <w:spacing w:after="0" w:line="63" w:lineRule="exact"/>
        <w:rPr>
          <w:rFonts w:ascii="Arial" w:cs="Arial" w:eastAsia="Arial" w:hAnsi="Arial"/>
          <w:sz w:val="18"/>
          <w:szCs w:val="18"/>
          <w:color w:val="auto"/>
        </w:rPr>
      </w:pPr>
    </w:p>
    <w:p>
      <w:pPr>
        <w:ind w:left="2272" w:right="3700"/>
        <w:spacing w:after="0" w:line="352" w:lineRule="auto"/>
        <w:rPr>
          <w:rFonts w:ascii="Arial" w:cs="Arial" w:eastAsia="Arial" w:hAnsi="Arial"/>
          <w:sz w:val="18"/>
          <w:szCs w:val="18"/>
          <w:color w:val="auto"/>
        </w:rPr>
      </w:pPr>
      <w:r>
        <w:rPr>
          <w:rFonts w:ascii="Arial" w:cs="Arial" w:eastAsia="Arial" w:hAnsi="Arial"/>
          <w:sz w:val="16"/>
          <w:szCs w:val="16"/>
          <w:color w:val="auto"/>
        </w:rPr>
        <w:t>J.P. Morgan Partners Global Investors (Cayman), L.P. owns 47,652 shares; J.P. Morgan Partners Global Investors A, L.P. owns 13,689 shares;</w:t>
      </w:r>
    </w:p>
    <w:p>
      <w:pPr>
        <w:ind w:left="2272" w:right="3300"/>
        <w:spacing w:after="0" w:line="382" w:lineRule="auto"/>
        <w:rPr>
          <w:rFonts w:ascii="Arial" w:cs="Arial" w:eastAsia="Arial" w:hAnsi="Arial"/>
          <w:sz w:val="18"/>
          <w:szCs w:val="18"/>
          <w:color w:val="auto"/>
        </w:rPr>
      </w:pPr>
      <w:r>
        <w:rPr>
          <w:rFonts w:ascii="Arial" w:cs="Arial" w:eastAsia="Arial" w:hAnsi="Arial"/>
          <w:sz w:val="16"/>
          <w:szCs w:val="16"/>
          <w:color w:val="auto"/>
        </w:rPr>
        <w:t>J.P. Morgan Partners Global Investors (Cayman) II, L.P. owns 5,320 shares; J.P. Morgan Partners Global Investors (Selldown), L.P. owns 33,714 shares; and J.P. Morgan Partners Global Investors (Selldown) II, L.P. owns 117,054 shares;</w:t>
      </w:r>
    </w:p>
    <w:p>
      <w:pPr>
        <w:spacing w:after="0" w:line="107" w:lineRule="exact"/>
        <w:rPr>
          <w:rFonts w:ascii="Arial" w:cs="Arial" w:eastAsia="Arial" w:hAnsi="Arial"/>
          <w:sz w:val="18"/>
          <w:szCs w:val="18"/>
          <w:color w:val="auto"/>
        </w:rPr>
      </w:pPr>
    </w:p>
    <w:p>
      <w:pPr>
        <w:ind w:left="2272" w:right="5160" w:hanging="498"/>
        <w:spacing w:after="0" w:line="340" w:lineRule="auto"/>
        <w:tabs>
          <w:tab w:leader="none" w:pos="2272" w:val="left"/>
        </w:tabs>
        <w:numPr>
          <w:ilvl w:val="1"/>
          <w:numId w:val="9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8" w:firstLine="8"/>
        <w:spacing w:after="0" w:line="277" w:lineRule="auto"/>
        <w:tabs>
          <w:tab w:leader="none" w:pos="3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the Reporting Persons and APAX WW Nominees LTD are party to a voting agreement with BioPharm, L.L.C., whereby the parties have agreed to vote all shares of such common stock owned by the parties in the same manner and to the same extent as BioPharm,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-585470</wp:posOffset>
            </wp:positionV>
            <wp:extent cx="58400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-1039495</wp:posOffset>
            </wp:positionV>
            <wp:extent cx="58400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3893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6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52"/>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1172" w:right="420" w:hanging="1120"/>
        <w:spacing w:after="0" w:line="277" w:lineRule="auto"/>
        <w:tabs>
          <w:tab w:leader="none" w:pos="1152"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32"/>
          </w:cols>
          <w:pgMar w:left="248" w:top="125" w:right="31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ectPr>
          <w:pgSz w:w="11900" w:h="16838" w:orient="portrait"/>
          <w:cols w:equalWidth="0" w:num="1">
            <w:col w:w="11332"/>
          </w:cols>
          <w:pgMar w:left="248" w:top="125" w:right="319" w:bottom="0" w:gutter="0" w:footer="0" w:header="0"/>
          <w:type w:val="continuous"/>
        </w:sectPr>
      </w:pPr>
    </w:p>
    <w:bookmarkStart w:id="18" w:name="page19"/>
    <w:bookmarkEnd w:id="18"/>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“A” LIMITED PARTNERSHIP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“B”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“C”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“D”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GMBH &amp; CO. KG</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AFFILIATES</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ADVENT MANAGEMENT III LIMITED PARTNERSHIP</w:t>
      </w:r>
    </w:p>
    <w:p>
      <w:pPr>
        <w:sectPr>
          <w:pgSz w:w="11900" w:h="16838" w:orient="portrait"/>
          <w:cols w:equalWidth="0" w:num="1">
            <w:col w:w="11340"/>
          </w:cols>
          <w:pgMar w:left="240" w:top="125" w:right="319" w:bottom="0" w:gutter="0" w:footer="0" w:header="0"/>
        </w:sectPr>
      </w:pPr>
    </w:p>
    <w:bookmarkStart w:id="19" w:name="page20"/>
    <w:bookmarkEnd w:id="19"/>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MERLIN BIOSCIENCES FUND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MERLIN BIOSCIENCES FUND GBR</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(BHCA), L.P.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L.P.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(CAYMAN), L.P.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A, L.P.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(CAYMAN) II, L.P.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(SELLDOWN), L.P.</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341" w:right="1440" w:bottom="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 MORGAN PARTNERS GLOBAL INVESTORS (SELLDOWN) II, L.P.</w:t>
      </w:r>
    </w:p>
    <w:p>
      <w:pPr>
        <w:spacing w:after="0" w:line="200" w:lineRule="exact"/>
        <w:rPr>
          <w:sz w:val="20"/>
          <w:szCs w:val="20"/>
          <w:color w:val="auto"/>
        </w:rPr>
      </w:pPr>
    </w:p>
    <w:p>
      <w:pPr>
        <w:spacing w:after="0" w:line="25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Shahzad Malik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-130810</wp:posOffset>
            </wp:positionV>
            <wp:extent cx="55829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3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Filer Agreement and Power of Attorney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“1934 Act”), the undersigned hereby agree to the joint filing on behalf of each of them of a Statement on Schedule 13G (including any amendments thereto) with respect to the common stock, par value $0.001 per share, of Emergent BioSolutions Inc., a Delaware corporation. The undersigned further consent and agree to the inclusion of this Agreement as an Exhibit to such Schedule 13G. This Agreement may be executed in any number of counterparts, all of which taken together shall constitute one and the same instrument.</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Each of the undersigned hereby irrevocably constitute and appoint Shahzad Malik (the “Attorney-in-Fact”) as agent and attorney-in-fact, with full power of substitution, with respect to the power and authority on behalf of each of the undersigned to execute and file or cause to be executed or filed any documents required to be filed by Section 13 of the 1934 Act or to execute any documents required in connection with such required documents as a result of or in connection with each of the undersigned’s acquisition of the securities to which the Statement on Schedule 13G relates.</w:t>
      </w:r>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[Signatures to Follow on Next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WITNESS WHEREOF, the undersigned have executed this agreement as of the 8 day of March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ADVENT VENTURE PARTNERS LLP, as manager of Advent Private Equity Fund III ‘A’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Shahzad Malik</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Shahzad Malik</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ADVENT VENTURE PARTNERS LLP, as manager of Advent Private Equity Fund III ‘B’</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Shahzad Malik</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Shahzad Malik</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ADVENT VENTURE PARTNERS LLP, as manager of Advent Private Equity Fund III ‘C’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Shahzad Malik</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Shahzad Malik</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ADVENT VENTURE PARTNERS LLP, as manager of Advent Private Equity Fund III ‘D’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Shahzad Malik</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Shahzad Malik</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By: ADVENT VENTURE PARTNERS LLP, as manager of Advent Private Equity Fund III GmbH &amp; Co. KG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Shahzad Malik</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Shahzad Malik</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ectPr>
          <w:pgSz w:w="11900" w:h="16838" w:orient="portrait"/>
          <w:cols w:equalWidth="0" w:num="1">
            <w:col w:w="11420"/>
          </w:cols>
          <w:pgMar w:left="240" w:top="121" w:right="239" w:bottom="138"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By: ADVENT VENTURE PARTNERS LLP, as manager of Advent Private Equity Fund III Affiliates</w:t>
      </w:r>
    </w:p>
    <w:p>
      <w:pPr>
        <w:sectPr>
          <w:pgSz w:w="11900" w:h="16838" w:orient="portrait"/>
          <w:cols w:equalWidth="0" w:num="1">
            <w:col w:w="11420"/>
          </w:cols>
          <w:pgMar w:left="240" w:top="121" w:right="239" w:bottom="138"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Shahzad Malik</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Shahzad Malik</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ADVENT VENTURE PARTNERS LLP, as manager of Advent Management III Limited Partnership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Shahzad Malik</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Shahzad Malik</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MERLIN BIOSCIENCES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MERLIN GENERAL PARTNER II LIMITED, as general partner of the Merlin Biosciences Fund LP</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Denzil Boschat</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Denzil Boschat</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MERLIN BIOSCIENCES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MERLIN GENERAL PARTNER II LIMITED, as managing partner of the Merlin BioSciences Fund Gbr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0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Denzil Boschat</w:t>
            </w:r>
          </w:p>
        </w:tc>
      </w:tr>
      <w:tr>
        <w:trPr>
          <w:trHeight w:val="195"/>
        </w:trPr>
        <w:tc>
          <w:tcPr>
            <w:tcW w:w="9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60" w:type="dxa"/>
            <w:vAlign w:val="bottom"/>
          </w:tcPr>
          <w:p>
            <w:pPr>
              <w:ind w:left="140"/>
              <w:spacing w:after="0" w:line="195" w:lineRule="exact"/>
              <w:rPr>
                <w:sz w:val="20"/>
                <w:szCs w:val="20"/>
                <w:color w:val="auto"/>
              </w:rPr>
            </w:pPr>
            <w:r>
              <w:rPr>
                <w:rFonts w:ascii="Arial" w:cs="Arial" w:eastAsia="Arial" w:hAnsi="Arial"/>
                <w:sz w:val="18"/>
                <w:szCs w:val="18"/>
                <w:color w:val="auto"/>
              </w:rPr>
              <w:t>Denzil Boschat</w:t>
            </w: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986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(BHCA),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JPMP MASTER FUND MANAGER,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JPMP CAPITAL CORP,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Panorama Capital, LLC, as Attorney in Fact</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Srinivas Akkaraju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27444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JPMP GLOBAL INVESTORS, L.P.,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JPMP CAPITAL CORP,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Panorama Capital, LLC, as Attorney in Fact</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Srinivas Akkaraju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959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JPMP GLOBAL INVESTORS, L.P.,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JPMP CAPITAL CORP,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Panorama Capital, LLC, as Attorney in Fact</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Srinivas Akkaraju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959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JPMP GLOBAL INVESTORS, L.P.,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JPMP CAPITAL CORP,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Panorama Capital, LLC, as Attorney in Fact</w:t>
      </w:r>
    </w:p>
    <w:p>
      <w:pPr>
        <w:sectPr>
          <w:pgSz w:w="11900" w:h="16838" w:orient="portrait"/>
          <w:cols w:equalWidth="0" w:num="1">
            <w:col w:w="11420"/>
          </w:cols>
          <w:pgMar w:left="240" w:top="125" w:right="239" w:bottom="0" w:gutter="0" w:footer="0" w:header="0"/>
        </w:sectPr>
      </w:pPr>
    </w:p>
    <w:bookmarkStart w:id="23" w:name="page24"/>
    <w:bookmarkEnd w:id="23"/>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Srinivas Akkaraju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9590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(CAYMAN)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JPMP GLOBAL INVESTORS, L.P.,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JPMP CAPITAL CORP,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Panorama Capital, LLC, as Attorney in Fact</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Srinivas Akkaraju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752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(SELLDOWN),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JPMP GLOBAL INVESTORS, L.P.,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JPMP CAPITAL CORP,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Panorama Capital, LLC, as Attorney in Fact</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Srinivas Akkaraju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752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J.P. MORGAN PARTNERS GLOBAL INVESTORS (SELLDOWN) II,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By: JPMP GLOBAL INVESTORS, L.P.,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JPMP CAPITAL CORP, its general partner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Panorama Capital, LLC, as Attorney in Fact</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Srinivas Akkaraju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752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4" w:name="page25"/>
    <w:bookmarkEnd w:id="24"/>
    <w:p>
      <w:pPr>
        <w:ind w:left="10720"/>
        <w:spacing w:after="0"/>
        <w:rPr>
          <w:sz w:val="20"/>
          <w:szCs w:val="20"/>
          <w:color w:val="auto"/>
        </w:rPr>
      </w:pPr>
      <w:r>
        <w:rPr>
          <w:rFonts w:ascii="Arial" w:cs="Arial" w:eastAsia="Arial" w:hAnsi="Arial"/>
          <w:sz w:val="16"/>
          <w:szCs w:val="16"/>
          <w:b w:val="1"/>
          <w:bCs w:val="1"/>
          <w:color w:val="auto"/>
        </w:rPr>
        <w:t>Exhibit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Identity and Background.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statement is being filed by J.P. Morgan Partners (BHCA), L.P., a Delaware limited partnership (hereinafter referred to as “JPMP (BHCA)”), whose principal business office is located 270 Park Avenue, New York, New York 10017. JPMP (BHCA) is engaged in the venture capital, private equity and leveraged buyout business. The general partner of JPMP (BHCA) is JPMP Master Fund Manager, L.P., a Delaware limited partnership (hereinafter referred to as “JPMP Master Fund”), whose principal business office is located at the same address as JPMP (BHCA), and is also engaged directly and indirectly (through affiliates) in the venture capital, private equity and leveraged buyout business. As general partner of JPMP (BHCA), JPMP Master Fund may be deemed to beneficially own the shares held by JPMP (BHCA).</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statement is also being filed by J.P. Morgan Partners Global Investors, L.P., a Delaware limited partnership (“JPMP Global”), whose principal place of business is located at the same address as JPMP (BHCA); J.P. Morgan Partners Global Investors “A”, L.P., a Delaware limited partnership (“JPMP Global A”), whose principal place of business is located at the same address as JPMP (BHCA); J.P. Morgan Partners Global Investors (Cayman), L.P., a limited partnership organized under the laws of the Cayman Islands (“JPMP Cayman”), whose principal place of business is located at the same address as JPMP (BHCA); J.P. Morgan Partners Global Investors (Cayman) II, L.P., a limited partnership organized under the laws of the Cayman Islands (“JPMP Cayman II”), whose principal place of business is located at the same address as JPMP (BHCA), J.P. Morgan Partners Global Investors (Selldown), L.P., a Delaware limited partnership, whose principal place of business is located at the same address as JPMP (BHCA) and J.P. Morgan Partners Global Investors (Selldown) II, L.P., a Delaware limited partnership (“JPMP Selldown II” and collectively with JPMP Global, JPMP Global A, JPMP Cayman, JPMP Cayman II, JPMP Selldown and JPMP Selldown II, the “Global Fund Entities”), whose principal place of business is located at the same address as JPMP (BHCA). Each of the Global Fund Entities is also engaged in the venture capital, private equity and leveraged buyout business. The general partner of each of the Global Fund Entities is J.P. Morgan Partners Global Investors, L.P., a Delaware limited partnership (“JPMP Investors”), whose principal place of business is located at the same address as JPMP (BHCA). JPMP Investors is engaged indirectly in the venture capital, private equity and leveraged buyout business as general partner of each of the Global Fund Entities. As general partner of each of the Global Fund Entities, JPMP Investors may be deemed to beneficially own the shares held by the Global Fund Entities.</w:t>
      </w:r>
    </w:p>
    <w:p>
      <w:pPr>
        <w:spacing w:after="0" w:line="18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general partner of each of JPMP Master Fund and JPMP Investors is JPMP Capital Corp., a New York corporation (hereinafter referred to as “JPMP Capital Corp.”), whose principal business office is located at the same address as JPMP (BHCA), and is also engaged directly and indirectly (through affiliates) in the venture capital, private equity and leveraged buyout business. Set forth in Schedule A hereto and incorporated herein by reference are the names, business addresses, principal occupations and employments of each executive officer and director of JPMP Capital Corp. As the general partner of each of JPMP Master Fund and JPMP Investors, JPMP Capital Corp. may be deemed to beneficially own the shares held by JPMP (BHCA) and the Global Fund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JPMP Capital Corp. is a wholly owned subsidiary of JPMorgan Chase &amp; Co., a Delaware corporation (hereinafter referred to as “JPMorgan Chase”) which is engaged (primarily through subsidiaries) in the commercial banking business with its principal office located at 270 Park Avenue, New York, New York 10017. Set forth in Schedule B hereto and incorporated herein by reference are the names, business addresses, principal occupations and employments of each executive officer and director of JPMorgan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JPMP CAPITAL CORP.</w:t>
            </w:r>
          </w:p>
        </w:tc>
        <w:tc>
          <w:tcPr>
            <w:tcW w:w="2060" w:type="dxa"/>
            <w:vAlign w:val="bottom"/>
          </w:tcPr>
          <w:p>
            <w:pPr>
              <w:spacing w:after="0"/>
              <w:rPr>
                <w:sz w:val="18"/>
                <w:szCs w:val="18"/>
                <w:color w:val="auto"/>
              </w:rPr>
            </w:pPr>
          </w:p>
        </w:tc>
      </w:tr>
      <w:tr>
        <w:trPr>
          <w:trHeight w:val="438"/>
        </w:trPr>
        <w:tc>
          <w:tcPr>
            <w:tcW w:w="4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gridSpan w:val="2"/>
          </w:tcPr>
          <w:p>
            <w:pPr>
              <w:jc w:val="center"/>
              <w:ind w:right="2060"/>
              <w:spacing w:after="0"/>
              <w:rPr>
                <w:sz w:val="20"/>
                <w:szCs w:val="20"/>
                <w:color w:val="auto"/>
              </w:rPr>
            </w:pPr>
            <w:r>
              <w:rPr>
                <w:rFonts w:ascii="Arial" w:cs="Arial" w:eastAsia="Arial" w:hAnsi="Arial"/>
                <w:sz w:val="18"/>
                <w:szCs w:val="18"/>
                <w:color w:val="auto"/>
                <w:w w:val="94"/>
              </w:rPr>
              <w:t>Executive Officers (1)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Chief Investment Officer</w:t>
            </w:r>
          </w:p>
        </w:tc>
        <w:tc>
          <w:tcPr>
            <w:tcW w:w="720" w:type="dxa"/>
            <w:vAlign w:val="bottom"/>
          </w:tcPr>
          <w:p>
            <w:pPr>
              <w:spacing w:after="0"/>
              <w:rPr>
                <w:sz w:val="18"/>
                <w:szCs w:val="18"/>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rPr>
              <w:t>Ina R. Drew*</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Managing Director</w:t>
            </w:r>
          </w:p>
        </w:tc>
        <w:tc>
          <w:tcPr>
            <w:tcW w:w="720" w:type="dxa"/>
            <w:vAlign w:val="bottom"/>
          </w:tcPr>
          <w:p>
            <w:pPr>
              <w:spacing w:after="0"/>
              <w:rPr>
                <w:sz w:val="18"/>
                <w:szCs w:val="18"/>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rPr>
              <w:t>Joseph S. Bonocore*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Managing Director</w:t>
            </w:r>
          </w:p>
        </w:tc>
        <w:tc>
          <w:tcPr>
            <w:tcW w:w="720" w:type="dxa"/>
            <w:vAlign w:val="bottom"/>
          </w:tcPr>
          <w:p>
            <w:pPr>
              <w:spacing w:after="0"/>
              <w:rPr>
                <w:sz w:val="18"/>
                <w:szCs w:val="18"/>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w w:val="91"/>
              </w:rPr>
              <w:t>Ana Capella Gomez-Acebo*</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Managing Director</w:t>
            </w:r>
          </w:p>
        </w:tc>
        <w:tc>
          <w:tcPr>
            <w:tcW w:w="720" w:type="dxa"/>
            <w:vAlign w:val="bottom"/>
          </w:tcPr>
          <w:p>
            <w:pPr>
              <w:spacing w:after="0"/>
              <w:rPr>
                <w:sz w:val="18"/>
                <w:szCs w:val="18"/>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rPr>
              <w:t>John C. Wilmot*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Managing Director and Assistant Secretary</w:t>
            </w:r>
          </w:p>
        </w:tc>
        <w:tc>
          <w:tcPr>
            <w:tcW w:w="720" w:type="dxa"/>
            <w:vAlign w:val="bottom"/>
          </w:tcPr>
          <w:p>
            <w:pPr>
              <w:spacing w:after="0"/>
              <w:rPr>
                <w:sz w:val="18"/>
                <w:szCs w:val="18"/>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rPr>
              <w:t>Richard Madsen*</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Vice President</w:t>
            </w:r>
          </w:p>
        </w:tc>
        <w:tc>
          <w:tcPr>
            <w:tcW w:w="720" w:type="dxa"/>
            <w:vAlign w:val="bottom"/>
          </w:tcPr>
          <w:p>
            <w:pPr>
              <w:spacing w:after="0"/>
              <w:rPr>
                <w:sz w:val="18"/>
                <w:szCs w:val="18"/>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rPr>
              <w:t>William T. Williams Jr*</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Vice President and Assistant General Counsel</w:t>
            </w:r>
          </w:p>
        </w:tc>
        <w:tc>
          <w:tcPr>
            <w:tcW w:w="720" w:type="dxa"/>
            <w:vAlign w:val="bottom"/>
          </w:tcPr>
          <w:p>
            <w:pPr>
              <w:spacing w:after="0"/>
              <w:rPr>
                <w:sz w:val="18"/>
                <w:szCs w:val="18"/>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rPr>
              <w:t>Judah Shechter*</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Vice President and Assistant General Counsel</w:t>
            </w:r>
          </w:p>
        </w:tc>
        <w:tc>
          <w:tcPr>
            <w:tcW w:w="720" w:type="dxa"/>
            <w:vAlign w:val="bottom"/>
          </w:tcPr>
          <w:p>
            <w:pPr>
              <w:spacing w:after="0"/>
              <w:rPr>
                <w:sz w:val="20"/>
                <w:szCs w:val="20"/>
                <w:color w:val="auto"/>
              </w:rPr>
            </w:pPr>
          </w:p>
        </w:tc>
        <w:tc>
          <w:tcPr>
            <w:tcW w:w="3960" w:type="dxa"/>
            <w:vAlign w:val="bottom"/>
            <w:gridSpan w:val="2"/>
          </w:tcPr>
          <w:p>
            <w:pPr>
              <w:ind w:left="1880"/>
              <w:spacing w:after="0"/>
              <w:rPr>
                <w:sz w:val="20"/>
                <w:szCs w:val="20"/>
                <w:color w:val="auto"/>
              </w:rPr>
            </w:pPr>
            <w:r>
              <w:rPr>
                <w:rFonts w:ascii="Arial" w:cs="Arial" w:eastAsia="Arial" w:hAnsi="Arial"/>
                <w:sz w:val="18"/>
                <w:szCs w:val="18"/>
                <w:color w:val="auto"/>
              </w:rPr>
              <w:t>Elizabeth De Guzman*</w:t>
            </w:r>
          </w:p>
        </w:tc>
      </w:tr>
      <w:tr>
        <w:trPr>
          <w:trHeight w:val="472"/>
        </w:trPr>
        <w:tc>
          <w:tcPr>
            <w:tcW w:w="4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gridSpan w:val="2"/>
          </w:tcPr>
          <w:p>
            <w:pPr>
              <w:jc w:val="center"/>
              <w:ind w:right="2040"/>
              <w:spacing w:after="0"/>
              <w:rPr>
                <w:sz w:val="20"/>
                <w:szCs w:val="20"/>
                <w:color w:val="auto"/>
              </w:rPr>
            </w:pPr>
            <w:r>
              <w:rPr>
                <w:rFonts w:ascii="Arial" w:cs="Arial" w:eastAsia="Arial" w:hAnsi="Arial"/>
                <w:sz w:val="18"/>
                <w:szCs w:val="18"/>
                <w:color w:val="auto"/>
                <w:w w:val="92"/>
              </w:rPr>
              <w:t>Directors (1)</w:t>
            </w:r>
          </w:p>
        </w:tc>
      </w:tr>
      <w:tr>
        <w:trPr>
          <w:trHeight w:val="216"/>
        </w:trPr>
        <w:tc>
          <w:tcPr>
            <w:tcW w:w="4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60" w:type="dxa"/>
            <w:vAlign w:val="bottom"/>
            <w:gridSpan w:val="2"/>
          </w:tcPr>
          <w:p>
            <w:pPr>
              <w:jc w:val="center"/>
              <w:ind w:right="2060"/>
              <w:spacing w:after="0"/>
              <w:rPr>
                <w:sz w:val="20"/>
                <w:szCs w:val="20"/>
                <w:color w:val="auto"/>
              </w:rPr>
            </w:pPr>
            <w:r>
              <w:rPr>
                <w:rFonts w:ascii="Arial" w:cs="Arial" w:eastAsia="Arial" w:hAnsi="Arial"/>
                <w:sz w:val="18"/>
                <w:szCs w:val="18"/>
                <w:color w:val="auto"/>
                <w:w w:val="96"/>
              </w:rPr>
              <w:t>Ina R. Drew*</w:t>
            </w:r>
          </w:p>
        </w:tc>
      </w:tr>
      <w:tr>
        <w:trPr>
          <w:trHeight w:val="230"/>
        </w:trPr>
        <w:tc>
          <w:tcPr>
            <w:tcW w:w="4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960" w:type="dxa"/>
            <w:vAlign w:val="bottom"/>
            <w:gridSpan w:val="2"/>
          </w:tcPr>
          <w:p>
            <w:pPr>
              <w:jc w:val="center"/>
              <w:ind w:right="2060"/>
              <w:spacing w:after="0"/>
              <w:rPr>
                <w:sz w:val="20"/>
                <w:szCs w:val="20"/>
                <w:color w:val="auto"/>
              </w:rPr>
            </w:pPr>
            <w:r>
              <w:rPr>
                <w:rFonts w:ascii="Arial" w:cs="Arial" w:eastAsia="Arial" w:hAnsi="Arial"/>
                <w:sz w:val="18"/>
                <w:szCs w:val="18"/>
                <w:color w:val="auto"/>
                <w:w w:val="94"/>
              </w:rPr>
              <w:t>John C. Wilmot*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893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Each of whom is a United States citizen</w:t>
      </w:r>
    </w:p>
    <w:p>
      <w:pPr>
        <w:spacing w:after="0" w:line="23" w:lineRule="exact"/>
        <w:rPr>
          <w:sz w:val="20"/>
          <w:szCs w:val="20"/>
          <w:color w:val="auto"/>
        </w:rPr>
      </w:pPr>
    </w:p>
    <w:p>
      <w:pPr>
        <w:ind w:right="60" w:firstLine="656"/>
        <w:spacing w:after="0" w:line="261" w:lineRule="auto"/>
        <w:tabs>
          <w:tab w:leader="none" w:pos="7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Principal occupation is employee and/or officer of JPMorgan Chase &amp; Co. Business address is c/o JPMorgan Chase &amp; Co., 270 Park Avenue, 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Officers (1)</w:t>
      </w:r>
    </w:p>
    <w:p>
      <w:pPr>
        <w:sectPr>
          <w:pgSz w:w="11900" w:h="16838" w:orient="portrait"/>
          <w:cols w:equalWidth="0" w:num="1">
            <w:col w:w="11420"/>
          </w:cols>
          <w:pgMar w:left="240" w:top="121"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Co-Chief Executive Officer, Investment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Investment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Commercial Banking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Head, Strategy and Business Development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James Dimon*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Bisignano*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D. Black*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Michael J. Cavanagh*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John F. Bradley*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Ina R. Drew*</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Todd Maclin*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 Mandelbaum*</w:t>
      </w:r>
    </w:p>
    <w:p>
      <w:pPr>
        <w:spacing w:after="0" w:line="9" w:lineRule="exact"/>
        <w:rPr>
          <w:sz w:val="20"/>
          <w:szCs w:val="20"/>
          <w:color w:val="auto"/>
        </w:rPr>
      </w:pPr>
    </w:p>
    <w:p>
      <w:pPr>
        <w:sectPr>
          <w:pgSz w:w="11900" w:h="16838" w:orient="portrait"/>
          <w:cols w:equalWidth="0" w:num="2">
            <w:col w:w="7780" w:space="720"/>
            <w:col w:w="2920"/>
          </w:cols>
          <w:pgMar w:left="240" w:top="125" w:right="239" w:bottom="225" w:gutter="0" w:footer="0" w:header="0"/>
        </w:sectPr>
      </w:pPr>
    </w:p>
    <w:p>
      <w:pPr>
        <w:spacing w:after="0"/>
        <w:rPr>
          <w:sz w:val="20"/>
          <w:szCs w:val="20"/>
          <w:color w:val="auto"/>
        </w:rPr>
      </w:pPr>
      <w:r>
        <w:rPr>
          <w:rFonts w:ascii="Arial" w:cs="Arial" w:eastAsia="Arial" w:hAnsi="Arial"/>
          <w:sz w:val="16"/>
          <w:szCs w:val="16"/>
          <w:color w:val="auto"/>
        </w:rPr>
        <w:t>Chief Executive Officer, Treasury &amp;</w:t>
      </w:r>
    </w:p>
    <w:p>
      <w:pPr>
        <w:sectPr>
          <w:pgSz w:w="11900" w:h="16838" w:orient="portrait"/>
          <w:cols w:equalWidth="0" w:num="1">
            <w:col w:w="11420"/>
          </w:cols>
          <w:pgMar w:left="240" w:top="125" w:right="239" w:bottom="225"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Retail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Card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Global Head, Asset &amp; Wealth Management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Co-Chief Executive Officer, Investment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893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Heidi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W. Scharf*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Richard J. Srednicki*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James E. Staley*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T. Winters*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M. Cutler*</w:t>
      </w:r>
    </w:p>
    <w:p>
      <w:pPr>
        <w:spacing w:after="0" w:line="200" w:lineRule="exact"/>
        <w:rPr>
          <w:sz w:val="20"/>
          <w:szCs w:val="20"/>
          <w:color w:val="auto"/>
        </w:rPr>
      </w:pPr>
    </w:p>
    <w:p>
      <w:pPr>
        <w:sectPr>
          <w:pgSz w:w="11900" w:h="16838" w:orient="portrait"/>
          <w:cols w:equalWidth="0" w:num="2">
            <w:col w:w="7780" w:space="720"/>
            <w:col w:w="2920"/>
          </w:cols>
          <w:pgMar w:left="240" w:top="125" w:right="239" w:bottom="225" w:gutter="0" w:footer="0" w:header="0"/>
          <w:type w:val="continuous"/>
        </w:sectPr>
      </w:pP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Each of whom is a United States citizen.</w:t>
      </w:r>
    </w:p>
    <w:p>
      <w:pPr>
        <w:spacing w:after="0" w:line="23" w:lineRule="exact"/>
        <w:rPr>
          <w:sz w:val="20"/>
          <w:szCs w:val="20"/>
          <w:color w:val="auto"/>
        </w:rPr>
      </w:pPr>
    </w:p>
    <w:p>
      <w:pPr>
        <w:ind w:left="660" w:right="360" w:hanging="4"/>
        <w:spacing w:after="0" w:line="261" w:lineRule="auto"/>
        <w:tabs>
          <w:tab w:leader="none" w:pos="7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Principal occupation is employee or officer of JPMorgan Chase &amp; Co. Business address is c/o JPMorgan Chase &amp; Co., 270 Park Avenue, New York, New York 10017.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8100" w:type="dxa"/>
            <w:vAlign w:val="bottom"/>
            <w:gridSpan w:val="5"/>
          </w:tcPr>
          <w:p>
            <w:pPr>
              <w:ind w:left="1900"/>
              <w:spacing w:after="0"/>
              <w:rPr>
                <w:sz w:val="20"/>
                <w:szCs w:val="20"/>
                <w:color w:val="auto"/>
              </w:rPr>
            </w:pPr>
            <w:r>
              <w:rPr>
                <w:rFonts w:ascii="Arial" w:cs="Arial" w:eastAsia="Arial" w:hAnsi="Arial"/>
                <w:sz w:val="18"/>
                <w:szCs w:val="18"/>
                <w:b w:val="1"/>
                <w:bCs w:val="1"/>
                <w:color w:val="auto"/>
              </w:rPr>
              <w:t>Directors (1)</w:t>
            </w:r>
          </w:p>
        </w:tc>
        <w:tc>
          <w:tcPr>
            <w:tcW w:w="0" w:type="dxa"/>
            <w:vAlign w:val="bottom"/>
          </w:tcPr>
          <w:p>
            <w:pPr>
              <w:spacing w:after="0"/>
              <w:rPr>
                <w:sz w:val="1"/>
                <w:szCs w:val="1"/>
                <w:color w:val="auto"/>
              </w:rPr>
            </w:pPr>
          </w:p>
        </w:tc>
      </w:tr>
      <w:tr>
        <w:trPr>
          <w:trHeight w:val="345"/>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20" w:type="dxa"/>
            <w:vAlign w:val="bottom"/>
          </w:tcPr>
          <w:p>
            <w:pPr>
              <w:jc w:val="center"/>
              <w:ind w:right="308"/>
              <w:spacing w:after="0"/>
              <w:rPr>
                <w:sz w:val="20"/>
                <w:szCs w:val="20"/>
                <w:color w:val="auto"/>
              </w:rPr>
            </w:pPr>
            <w:r>
              <w:rPr>
                <w:rFonts w:ascii="Arial" w:cs="Arial" w:eastAsia="Arial" w:hAnsi="Arial"/>
                <w:sz w:val="14"/>
                <w:szCs w:val="14"/>
                <w:b w:val="1"/>
                <w:bCs w:val="1"/>
                <w:color w:val="auto"/>
                <w:w w:val="94"/>
              </w:rPr>
              <w:t>Principal Occupation or Employment;</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auto"/>
            </w:tcBorders>
            <w:vMerge w:val="continue"/>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7"/>
              </w:rPr>
              <w:t>Business or Residence Address</w:t>
            </w: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John H. Biggs</w:t>
            </w:r>
          </w:p>
        </w:tc>
        <w:tc>
          <w:tcPr>
            <w:tcW w:w="1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5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Former Chairman and CEO</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TIAA - CREF</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 JPMorgan Chase &amp; Co.</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270 Park Avenue</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New York, New York 10017</w:t>
            </w:r>
          </w:p>
        </w:tc>
        <w:tc>
          <w:tcPr>
            <w:tcW w:w="0" w:type="dxa"/>
            <w:vAlign w:val="bottom"/>
          </w:tcPr>
          <w:p>
            <w:pPr>
              <w:spacing w:after="0"/>
              <w:rPr>
                <w:sz w:val="1"/>
                <w:szCs w:val="1"/>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Crandall C. Bowles</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Spring Global US, Inc.</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c/o JPMorgan Chase &amp; Co.</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270 Park Avenue</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New York, New York 10017</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Stephen B. Burke</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Comcast Cable Communications, Inc.</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 JPMorgan Chase &amp; Co.</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270 Park Avenue</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New York, New York 10017</w:t>
            </w:r>
          </w:p>
        </w:tc>
        <w:tc>
          <w:tcPr>
            <w:tcW w:w="0" w:type="dxa"/>
            <w:vAlign w:val="bottom"/>
          </w:tcPr>
          <w:p>
            <w:pPr>
              <w:spacing w:after="0"/>
              <w:rPr>
                <w:sz w:val="1"/>
                <w:szCs w:val="1"/>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James S. Crown</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Henry Crown and Company</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c/o JP Morgan Chase &amp; Co.</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270 Park Avenue</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New York, New York 10017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James Dimon</w:t>
            </w: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Chief Executive Officer</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JPMorgan Chase &amp; Co.</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270 Park Avenue</w:t>
            </w:r>
          </w:p>
        </w:tc>
      </w:tr>
      <w:tr>
        <w:trPr>
          <w:trHeight w:val="230"/>
        </w:trPr>
        <w:tc>
          <w:tcPr>
            <w:tcW w:w="3680" w:type="dxa"/>
            <w:vAlign w:val="bottom"/>
            <w:shd w:val="clear" w:color="auto" w:fill="CCEEFF"/>
          </w:tcPr>
          <w:p>
            <w:pPr>
              <w:spacing w:after="0"/>
              <w:rPr>
                <w:sz w:val="20"/>
                <w:szCs w:val="20"/>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New York, New York 10017</w:t>
            </w: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Ellen V. Futter</w:t>
            </w:r>
          </w:p>
        </w:tc>
        <w:tc>
          <w:tcPr>
            <w:tcW w:w="7740" w:type="dxa"/>
            <w:vAlign w:val="bottom"/>
          </w:tcPr>
          <w:p>
            <w:pPr>
              <w:ind w:left="2160"/>
              <w:spacing w:after="0" w:line="201" w:lineRule="exact"/>
              <w:rPr>
                <w:sz w:val="20"/>
                <w:szCs w:val="20"/>
                <w:color w:val="auto"/>
              </w:rPr>
            </w:pPr>
            <w:r>
              <w:rPr>
                <w:rFonts w:ascii="Arial" w:cs="Arial" w:eastAsia="Arial" w:hAnsi="Arial"/>
                <w:sz w:val="18"/>
                <w:szCs w:val="18"/>
                <w:color w:val="auto"/>
              </w:rPr>
              <w:t>President and Trustee</w:t>
            </w:r>
          </w:p>
        </w:tc>
      </w:tr>
      <w:tr>
        <w:trPr>
          <w:trHeight w:val="216"/>
        </w:trPr>
        <w:tc>
          <w:tcPr>
            <w:tcW w:w="3680" w:type="dxa"/>
            <w:vAlign w:val="bottom"/>
          </w:tcPr>
          <w:p>
            <w:pPr>
              <w:spacing w:after="0"/>
              <w:rPr>
                <w:sz w:val="18"/>
                <w:szCs w:val="18"/>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American Museum of Natural History</w:t>
            </w:r>
          </w:p>
        </w:tc>
      </w:tr>
      <w:tr>
        <w:trPr>
          <w:trHeight w:val="216"/>
        </w:trPr>
        <w:tc>
          <w:tcPr>
            <w:tcW w:w="3680" w:type="dxa"/>
            <w:vAlign w:val="bottom"/>
          </w:tcPr>
          <w:p>
            <w:pPr>
              <w:spacing w:after="0"/>
              <w:rPr>
                <w:sz w:val="18"/>
                <w:szCs w:val="18"/>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c/o JPMorgan Chase &amp; Co.</w:t>
            </w:r>
          </w:p>
        </w:tc>
      </w:tr>
      <w:tr>
        <w:trPr>
          <w:trHeight w:val="216"/>
        </w:trPr>
        <w:tc>
          <w:tcPr>
            <w:tcW w:w="3680" w:type="dxa"/>
            <w:vAlign w:val="bottom"/>
          </w:tcPr>
          <w:p>
            <w:pPr>
              <w:spacing w:after="0"/>
              <w:rPr>
                <w:sz w:val="18"/>
                <w:szCs w:val="18"/>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270 Park Avenue</w:t>
            </w:r>
          </w:p>
        </w:tc>
      </w:tr>
      <w:tr>
        <w:trPr>
          <w:trHeight w:val="230"/>
        </w:trPr>
        <w:tc>
          <w:tcPr>
            <w:tcW w:w="3680" w:type="dxa"/>
            <w:vAlign w:val="bottom"/>
          </w:tcPr>
          <w:p>
            <w:pPr>
              <w:spacing w:after="0"/>
              <w:rPr>
                <w:sz w:val="20"/>
                <w:szCs w:val="20"/>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New York, New York 10017</w:t>
            </w: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H. Gray, III</w:t>
            </w:r>
          </w:p>
        </w:tc>
        <w:tc>
          <w:tcPr>
            <w:tcW w:w="7740" w:type="dxa"/>
            <w:vAlign w:val="bottom"/>
            <w:shd w:val="clear" w:color="auto" w:fill="CCEEFF"/>
          </w:tcPr>
          <w:p>
            <w:pPr>
              <w:ind w:left="2160"/>
              <w:spacing w:after="0" w:line="201" w:lineRule="exact"/>
              <w:rPr>
                <w:sz w:val="20"/>
                <w:szCs w:val="20"/>
                <w:color w:val="auto"/>
              </w:rPr>
            </w:pPr>
            <w:r>
              <w:rPr>
                <w:rFonts w:ascii="Arial" w:cs="Arial" w:eastAsia="Arial" w:hAnsi="Arial"/>
                <w:sz w:val="18"/>
                <w:szCs w:val="18"/>
                <w:color w:val="auto"/>
              </w:rPr>
              <w:t>Retired President and Chief Executive Officer</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The College Fund/UNCF</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c/o JPMorgan Chase &amp; Co.</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270 Park Avenue</w:t>
            </w:r>
          </w:p>
        </w:tc>
      </w:tr>
      <w:tr>
        <w:trPr>
          <w:trHeight w:val="230"/>
        </w:trPr>
        <w:tc>
          <w:tcPr>
            <w:tcW w:w="3680" w:type="dxa"/>
            <w:vAlign w:val="bottom"/>
            <w:shd w:val="clear" w:color="auto" w:fill="CCEEFF"/>
          </w:tcPr>
          <w:p>
            <w:pPr>
              <w:spacing w:after="0"/>
              <w:rPr>
                <w:sz w:val="20"/>
                <w:szCs w:val="20"/>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New York, New York 10017</w:t>
            </w: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Laban P. Jackson, Jr.</w:t>
            </w:r>
          </w:p>
        </w:tc>
        <w:tc>
          <w:tcPr>
            <w:tcW w:w="7740" w:type="dxa"/>
            <w:vAlign w:val="bottom"/>
          </w:tcPr>
          <w:p>
            <w:pPr>
              <w:ind w:left="2160"/>
              <w:spacing w:after="0" w:line="201"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3680" w:type="dxa"/>
            <w:vAlign w:val="bottom"/>
          </w:tcPr>
          <w:p>
            <w:pPr>
              <w:spacing w:after="0"/>
              <w:rPr>
                <w:sz w:val="18"/>
                <w:szCs w:val="18"/>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Clear Creek Properties, Inc.</w:t>
            </w:r>
          </w:p>
        </w:tc>
      </w:tr>
      <w:tr>
        <w:trPr>
          <w:trHeight w:val="216"/>
        </w:trPr>
        <w:tc>
          <w:tcPr>
            <w:tcW w:w="3680" w:type="dxa"/>
            <w:vAlign w:val="bottom"/>
          </w:tcPr>
          <w:p>
            <w:pPr>
              <w:spacing w:after="0"/>
              <w:rPr>
                <w:sz w:val="18"/>
                <w:szCs w:val="18"/>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c/o JPMorgan Chase &amp; Co.</w:t>
            </w:r>
          </w:p>
        </w:tc>
      </w:tr>
      <w:tr>
        <w:trPr>
          <w:trHeight w:val="216"/>
        </w:trPr>
        <w:tc>
          <w:tcPr>
            <w:tcW w:w="3680" w:type="dxa"/>
            <w:vAlign w:val="bottom"/>
          </w:tcPr>
          <w:p>
            <w:pPr>
              <w:spacing w:after="0"/>
              <w:rPr>
                <w:sz w:val="18"/>
                <w:szCs w:val="18"/>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270 Park Avenue</w:t>
            </w:r>
          </w:p>
        </w:tc>
      </w:tr>
      <w:tr>
        <w:trPr>
          <w:trHeight w:val="230"/>
        </w:trPr>
        <w:tc>
          <w:tcPr>
            <w:tcW w:w="3680" w:type="dxa"/>
            <w:vAlign w:val="bottom"/>
          </w:tcPr>
          <w:p>
            <w:pPr>
              <w:spacing w:after="0"/>
              <w:rPr>
                <w:sz w:val="20"/>
                <w:szCs w:val="20"/>
                <w:color w:val="auto"/>
              </w:rPr>
            </w:pPr>
          </w:p>
        </w:tc>
        <w:tc>
          <w:tcPr>
            <w:tcW w:w="7740" w:type="dxa"/>
            <w:vAlign w:val="bottom"/>
          </w:tcPr>
          <w:p>
            <w:pPr>
              <w:ind w:left="2160"/>
              <w:spacing w:after="0"/>
              <w:rPr>
                <w:sz w:val="20"/>
                <w:szCs w:val="20"/>
                <w:color w:val="auto"/>
              </w:rPr>
            </w:pPr>
            <w:r>
              <w:rPr>
                <w:rFonts w:ascii="Arial" w:cs="Arial" w:eastAsia="Arial" w:hAnsi="Arial"/>
                <w:sz w:val="18"/>
                <w:szCs w:val="18"/>
                <w:color w:val="auto"/>
              </w:rPr>
              <w:t>New York, New York 10017</w:t>
            </w: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Lee R. Raymond</w:t>
            </w:r>
          </w:p>
        </w:tc>
        <w:tc>
          <w:tcPr>
            <w:tcW w:w="7740" w:type="dxa"/>
            <w:vAlign w:val="bottom"/>
            <w:shd w:val="clear" w:color="auto" w:fill="CCEEFF"/>
          </w:tcPr>
          <w:p>
            <w:pPr>
              <w:ind w:left="2160"/>
              <w:spacing w:after="0" w:line="201" w:lineRule="exact"/>
              <w:rPr>
                <w:sz w:val="20"/>
                <w:szCs w:val="20"/>
                <w:color w:val="auto"/>
              </w:rPr>
            </w:pPr>
            <w:r>
              <w:rPr>
                <w:rFonts w:ascii="Arial" w:cs="Arial" w:eastAsia="Arial" w:hAnsi="Arial"/>
                <w:sz w:val="18"/>
                <w:szCs w:val="18"/>
                <w:color w:val="auto"/>
              </w:rPr>
              <w:t>Chairman of the Board and Chief Executive</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Officer</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Exxon Mobil Corporation</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c/o JPMorgan Chase &amp; Co.</w:t>
            </w:r>
          </w:p>
        </w:tc>
      </w:tr>
      <w:tr>
        <w:trPr>
          <w:trHeight w:val="216"/>
        </w:trPr>
        <w:tc>
          <w:tcPr>
            <w:tcW w:w="3680" w:type="dxa"/>
            <w:vAlign w:val="bottom"/>
            <w:shd w:val="clear" w:color="auto" w:fill="CCEEFF"/>
          </w:tcPr>
          <w:p>
            <w:pPr>
              <w:spacing w:after="0"/>
              <w:rPr>
                <w:sz w:val="18"/>
                <w:szCs w:val="18"/>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270 Park Avenue</w:t>
            </w:r>
          </w:p>
        </w:tc>
      </w:tr>
      <w:tr>
        <w:trPr>
          <w:trHeight w:val="230"/>
        </w:trPr>
        <w:tc>
          <w:tcPr>
            <w:tcW w:w="3680" w:type="dxa"/>
            <w:vAlign w:val="bottom"/>
            <w:shd w:val="clear" w:color="auto" w:fill="CCEEFF"/>
          </w:tcPr>
          <w:p>
            <w:pPr>
              <w:spacing w:after="0"/>
              <w:rPr>
                <w:sz w:val="20"/>
                <w:szCs w:val="20"/>
                <w:color w:val="auto"/>
              </w:rPr>
            </w:pPr>
          </w:p>
        </w:tc>
        <w:tc>
          <w:tcPr>
            <w:tcW w:w="77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New York, New York 10017</w:t>
            </w:r>
          </w:p>
        </w:tc>
      </w:tr>
    </w:tbl>
    <w:p>
      <w:pPr>
        <w:sectPr>
          <w:pgSz w:w="11900" w:h="16838" w:orient="portrait"/>
          <w:cols w:equalWidth="0" w:num="1">
            <w:col w:w="11420"/>
          </w:cols>
          <w:pgMar w:left="240" w:top="125" w:right="239" w:bottom="225"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John W. Kessler</w:t>
            </w:r>
          </w:p>
        </w:tc>
        <w:tc>
          <w:tcPr>
            <w:tcW w:w="7660" w:type="dxa"/>
            <w:vAlign w:val="bottom"/>
          </w:tcPr>
          <w:p>
            <w:pPr>
              <w:ind w:left="2080"/>
              <w:spacing w:after="0"/>
              <w:rPr>
                <w:sz w:val="20"/>
                <w:szCs w:val="20"/>
                <w:color w:val="auto"/>
              </w:rPr>
            </w:pPr>
            <w:r>
              <w:rPr>
                <w:rFonts w:ascii="Arial" w:cs="Arial" w:eastAsia="Arial" w:hAnsi="Arial"/>
                <w:sz w:val="18"/>
                <w:szCs w:val="18"/>
                <w:color w:val="auto"/>
              </w:rPr>
              <w:t>Owner</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John W. Kessler Company</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c/o JPMorgan Chase &amp; Co.</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270 Park Avenue</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New York, New York 10017</w:t>
            </w:r>
          </w:p>
        </w:tc>
        <w:tc>
          <w:tcPr>
            <w:tcW w:w="40" w:type="dxa"/>
            <w:vAlign w:val="bottom"/>
          </w:tcPr>
          <w:p>
            <w:pPr>
              <w:spacing w:after="0"/>
              <w:rPr>
                <w:sz w:val="20"/>
                <w:szCs w:val="20"/>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I. Lipp</w:t>
            </w:r>
          </w:p>
        </w:tc>
        <w:tc>
          <w:tcPr>
            <w:tcW w:w="7660" w:type="dxa"/>
            <w:vAlign w:val="bottom"/>
            <w:shd w:val="clear" w:color="auto" w:fill="CCEEFF"/>
          </w:tcPr>
          <w:p>
            <w:pPr>
              <w:ind w:left="2080"/>
              <w:spacing w:after="0" w:line="201" w:lineRule="exact"/>
              <w:rPr>
                <w:sz w:val="20"/>
                <w:szCs w:val="20"/>
                <w:color w:val="auto"/>
              </w:rPr>
            </w:pPr>
            <w:r>
              <w:rPr>
                <w:rFonts w:ascii="Arial" w:cs="Arial" w:eastAsia="Arial" w:hAnsi="Arial"/>
                <w:sz w:val="18"/>
                <w:szCs w:val="18"/>
                <w:color w:val="auto"/>
              </w:rPr>
              <w:t>Chairman</w:t>
            </w:r>
          </w:p>
        </w:tc>
        <w:tc>
          <w:tcPr>
            <w:tcW w:w="4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18"/>
                <w:szCs w:val="18"/>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The St. Paul Travelers Companies, Inc.</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c/o JPMorgan Chase &amp; Co.</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270 Park Avenue</w:t>
            </w:r>
          </w:p>
        </w:tc>
        <w:tc>
          <w:tcPr>
            <w:tcW w:w="4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New York, New York 10017</w:t>
            </w:r>
          </w:p>
        </w:tc>
        <w:tc>
          <w:tcPr>
            <w:tcW w:w="40" w:type="dxa"/>
            <w:vAlign w:val="bottom"/>
          </w:tcPr>
          <w:p>
            <w:pPr>
              <w:spacing w:after="0"/>
              <w:rPr>
                <w:sz w:val="20"/>
                <w:szCs w:val="20"/>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Richard A. Monoogian</w:t>
            </w:r>
          </w:p>
        </w:tc>
        <w:tc>
          <w:tcPr>
            <w:tcW w:w="7660" w:type="dxa"/>
            <w:vAlign w:val="bottom"/>
          </w:tcPr>
          <w:p>
            <w:pPr>
              <w:ind w:left="2080"/>
              <w:spacing w:after="0" w:line="201" w:lineRule="exact"/>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17"/>
                <w:szCs w:val="17"/>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Masco Corporation</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c/o JPMorgan Chase &amp; Co.</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270 Park Avenue</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New York, New York 10017</w:t>
            </w:r>
          </w:p>
        </w:tc>
        <w:tc>
          <w:tcPr>
            <w:tcW w:w="40" w:type="dxa"/>
            <w:vAlign w:val="bottom"/>
          </w:tcPr>
          <w:p>
            <w:pPr>
              <w:spacing w:after="0"/>
              <w:rPr>
                <w:sz w:val="20"/>
                <w:szCs w:val="20"/>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C. Novak</w:t>
            </w:r>
          </w:p>
        </w:tc>
        <w:tc>
          <w:tcPr>
            <w:tcW w:w="7660" w:type="dxa"/>
            <w:vAlign w:val="bottom"/>
            <w:shd w:val="clear" w:color="auto" w:fill="CCEEFF"/>
          </w:tcPr>
          <w:p>
            <w:pPr>
              <w:ind w:left="2080"/>
              <w:spacing w:after="0" w:line="201" w:lineRule="exact"/>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18"/>
                <w:szCs w:val="18"/>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Yum! Brands, Inc.</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c/o JPMorgan Chase &amp; Co.</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270 Park Avenue</w:t>
            </w:r>
          </w:p>
        </w:tc>
        <w:tc>
          <w:tcPr>
            <w:tcW w:w="4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p>
        </w:tc>
        <w:tc>
          <w:tcPr>
            <w:tcW w:w="76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New York, New York 10017</w:t>
            </w:r>
          </w:p>
        </w:tc>
        <w:tc>
          <w:tcPr>
            <w:tcW w:w="40" w:type="dxa"/>
            <w:vAlign w:val="bottom"/>
          </w:tcPr>
          <w:p>
            <w:pPr>
              <w:spacing w:after="0"/>
              <w:rPr>
                <w:sz w:val="20"/>
                <w:szCs w:val="20"/>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William C. Weldon</w:t>
            </w:r>
          </w:p>
        </w:tc>
        <w:tc>
          <w:tcPr>
            <w:tcW w:w="7660" w:type="dxa"/>
            <w:vAlign w:val="bottom"/>
          </w:tcPr>
          <w:p>
            <w:pPr>
              <w:ind w:left="2080"/>
              <w:spacing w:after="0" w:line="201" w:lineRule="exact"/>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17"/>
                <w:szCs w:val="17"/>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Johnson &amp; Johnson</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c/o JPMorgan Chase &amp; Co.</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270 Park Avenue</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7660" w:type="dxa"/>
            <w:vAlign w:val="bottom"/>
          </w:tcPr>
          <w:p>
            <w:pPr>
              <w:ind w:left="2080"/>
              <w:spacing w:after="0"/>
              <w:rPr>
                <w:sz w:val="20"/>
                <w:szCs w:val="20"/>
                <w:color w:val="auto"/>
              </w:rPr>
            </w:pPr>
            <w:r>
              <w:rPr>
                <w:rFonts w:ascii="Arial" w:cs="Arial" w:eastAsia="Arial" w:hAnsi="Arial"/>
                <w:sz w:val="18"/>
                <w:szCs w:val="18"/>
                <w:color w:val="auto"/>
              </w:rPr>
              <w:t>New York, New York 10017</w:t>
            </w:r>
          </w:p>
        </w:tc>
        <w:tc>
          <w:tcPr>
            <w:tcW w:w="40" w:type="dxa"/>
            <w:vAlign w:val="bottom"/>
          </w:tcPr>
          <w:p>
            <w:pPr>
              <w:spacing w:after="0"/>
              <w:rPr>
                <w:sz w:val="20"/>
                <w:szCs w:val="20"/>
                <w:color w:val="auto"/>
              </w:rPr>
            </w:pPr>
          </w:p>
        </w:tc>
      </w:tr>
      <w:tr>
        <w:trPr>
          <w:trHeight w:val="591"/>
        </w:trPr>
        <w:tc>
          <w:tcPr>
            <w:tcW w:w="3760" w:type="dxa"/>
            <w:vAlign w:val="bottom"/>
            <w:tcBorders>
              <w:bottom w:val="single" w:sz="8" w:color="010101"/>
            </w:tcBorders>
          </w:tcPr>
          <w:p>
            <w:pPr>
              <w:spacing w:after="0"/>
              <w:rPr>
                <w:sz w:val="24"/>
                <w:szCs w:val="24"/>
                <w:color w:val="auto"/>
              </w:rPr>
            </w:pPr>
          </w:p>
        </w:tc>
        <w:tc>
          <w:tcPr>
            <w:tcW w:w="76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o"/>
      <w:numFmt w:val="bullet"/>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decimal"/>
      <w:start w:val="2"/>
    </w:lvl>
    <w:lvl w:ilvl="1">
      <w:lvlJc w:val="left"/>
      <w:lvlText w:val="(%2)"/>
      <w:numFmt w:val="lowerLetter"/>
      <w:start w:val="1"/>
    </w:lvl>
  </w:abstractNum>
  <w:abstractNum w:abstractNumId="3">
    <w:nsid w:val="579478FE"/>
    <w:multiLevelType w:val="hybridMultilevel"/>
    <w:lvl w:ilvl="0">
      <w:lvlJc w:val="left"/>
      <w:lvlText w:val="%1"/>
      <w:numFmt w:val="decimal"/>
      <w:start w:val="1"/>
    </w:lvl>
    <w:lvl w:ilvl="1">
      <w:lvlJc w:val="left"/>
      <w:lvlText w:val="%2."/>
      <w:numFmt w:val="decimal"/>
      <w:start w:val="6"/>
    </w:lvl>
  </w:abstractNum>
  <w:abstractNum w:abstractNumId="4">
    <w:nsid w:val="749ABB43"/>
    <w:multiLevelType w:val="hybridMultilevel"/>
    <w:lvl w:ilvl="0">
      <w:lvlJc w:val="left"/>
      <w:lvlText w:val="%1."/>
      <w:numFmt w:val="decimal"/>
      <w:start w:val="9"/>
    </w:lvl>
    <w:lvl w:ilvl="1">
      <w:lvlJc w:val="left"/>
      <w:lvlText w:val="%2"/>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2"/>
    </w:lvl>
    <w:lvl w:ilvl="1">
      <w:lvlJc w:val="left"/>
      <w:lvlText w:val="(%2)"/>
      <w:numFmt w:val="lowerLetter"/>
      <w:start w:val="1"/>
    </w:lvl>
  </w:abstractNum>
  <w:abstractNum w:abstractNumId="7">
    <w:nsid w:val="79A1DEAA"/>
    <w:multiLevelType w:val="hybridMultilevel"/>
    <w:lvl w:ilvl="0">
      <w:lvlJc w:val="left"/>
      <w:lvlText w:val="%1"/>
      <w:numFmt w:val="decimal"/>
      <w:start w:val="1"/>
    </w:lvl>
    <w:lvl w:ilvl="1">
      <w:lvlJc w:val="left"/>
      <w:lvlText w:val="%2."/>
      <w:numFmt w:val="decimal"/>
      <w:start w:val="8"/>
    </w:lvl>
  </w:abstractNum>
  <w:abstractNum w:abstractNumId="8">
    <w:nsid w:val="75C6C33A"/>
    <w:multiLevelType w:val="hybridMultilevel"/>
    <w:lvl w:ilvl="0">
      <w:lvlJc w:val="left"/>
      <w:lvlText w:val="%1."/>
      <w:numFmt w:val="decimal"/>
      <w:start w:val="9"/>
    </w:lvl>
    <w:lvl w:ilvl="1">
      <w:lvlJc w:val="left"/>
      <w:lvlText w:val="%2"/>
      <w:numFmt w:val="decimal"/>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2"/>
    </w:lvl>
  </w:abstractNum>
  <w:abstractNum w:abstractNumId="11">
    <w:nsid w:val="520EEDD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2">
    <w:nsid w:val="374A3FE6"/>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3">
    <w:nsid w:val="4F4EF005"/>
    <w:multiLevelType w:val="hybridMultilevel"/>
    <w:lvl w:ilvl="0">
      <w:lvlJc w:val="left"/>
      <w:lvlText w:val="%1"/>
      <w:numFmt w:val="decimal"/>
      <w:start w:val="1"/>
    </w:lvl>
    <w:lvl w:ilvl="1">
      <w:lvlJc w:val="left"/>
      <w:lvlText w:val="%2."/>
      <w:numFmt w:val="decimal"/>
      <w:start w:val="8"/>
    </w:lvl>
  </w:abstractNum>
  <w:abstractNum w:abstractNumId="14">
    <w:nsid w:val="23F9C13C"/>
    <w:multiLevelType w:val="hybridMultilevel"/>
    <w:lvl w:ilvl="0">
      <w:lvlJc w:val="left"/>
      <w:lvlText w:val="%1."/>
      <w:numFmt w:val="decimal"/>
      <w:start w:val="9"/>
    </w:lvl>
    <w:lvl w:ilvl="1">
      <w:lvlJc w:val="left"/>
      <w:lvlText w:val="%2"/>
      <w:numFmt w:val="decimal"/>
      <w:start w:val="1"/>
    </w:lvl>
  </w:abstractNum>
  <w:abstractNum w:abstractNumId="15">
    <w:nsid w:val="649BB77C"/>
    <w:multiLevelType w:val="hybridMultilevel"/>
    <w:lvl w:ilvl="0">
      <w:lvlJc w:val="left"/>
      <w:lvlText w:val="%1."/>
      <w:numFmt w:val="decimal"/>
      <w:start w:val="1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18">
    <w:nsid w:val="1CF10FD8"/>
    <w:multiLevelType w:val="hybridMultilevel"/>
    <w:lvl w:ilvl="0">
      <w:lvlJc w:val="left"/>
      <w:lvlText w:val="%1"/>
      <w:numFmt w:val="decimal"/>
      <w:start w:val="1"/>
    </w:lvl>
    <w:lvl w:ilvl="1">
      <w:lvlJc w:val="left"/>
      <w:lvlText w:val="%2."/>
      <w:numFmt w:val="decimal"/>
      <w:start w:val="8"/>
    </w:lvl>
  </w:abstractNum>
  <w:abstractNum w:abstractNumId="19">
    <w:nsid w:val="180115BE"/>
    <w:multiLevelType w:val="hybridMultilevel"/>
    <w:lvl w:ilvl="0">
      <w:lvlJc w:val="left"/>
      <w:lvlText w:val="%1."/>
      <w:numFmt w:val="decimal"/>
      <w:start w:val="9"/>
    </w:lvl>
    <w:lvl w:ilvl="1">
      <w:lvlJc w:val="left"/>
      <w:lvlText w:val="%2"/>
      <w:numFmt w:val="decimal"/>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2"/>
    </w:lvl>
  </w:abstractNum>
  <w:abstractNum w:abstractNumId="22">
    <w:nsid w:val="354FE9F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
    <w:nsid w:val="15B5AF5C"/>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4">
    <w:nsid w:val="741226BB"/>
    <w:multiLevelType w:val="hybridMultilevel"/>
    <w:lvl w:ilvl="0">
      <w:lvlJc w:val="left"/>
      <w:lvlText w:val="%1"/>
      <w:numFmt w:val="decimal"/>
      <w:start w:val="1"/>
    </w:lvl>
    <w:lvl w:ilvl="1">
      <w:lvlJc w:val="left"/>
      <w:lvlText w:val="%2."/>
      <w:numFmt w:val="decimal"/>
      <w:start w:val="8"/>
    </w:lvl>
  </w:abstractNum>
  <w:abstractNum w:abstractNumId="25">
    <w:nsid w:val="D34B6A8"/>
    <w:multiLevelType w:val="hybridMultilevel"/>
    <w:lvl w:ilvl="0">
      <w:lvlJc w:val="left"/>
      <w:lvlText w:val="%1."/>
      <w:numFmt w:val="decimal"/>
      <w:start w:val="9"/>
    </w:lvl>
    <w:lvl w:ilvl="1">
      <w:lvlJc w:val="left"/>
      <w:lvlText w:val="%2"/>
      <w:numFmt w:val="decimal"/>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2"/>
    </w:lvl>
  </w:abstractNum>
  <w:abstractNum w:abstractNumId="28">
    <w:nsid w:val="6157409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9">
    <w:nsid w:val="7E0C57B1"/>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30">
    <w:nsid w:val="77AE35EB"/>
    <w:multiLevelType w:val="hybridMultilevel"/>
    <w:lvl w:ilvl="0">
      <w:lvlJc w:val="left"/>
      <w:lvlText w:val="%1"/>
      <w:numFmt w:val="decimal"/>
      <w:start w:val="1"/>
    </w:lvl>
    <w:lvl w:ilvl="1">
      <w:lvlJc w:val="left"/>
      <w:lvlText w:val="%2."/>
      <w:numFmt w:val="decimal"/>
      <w:start w:val="8"/>
    </w:lvl>
  </w:abstractNum>
  <w:abstractNum w:abstractNumId="31">
    <w:nsid w:val="579BE4F1"/>
    <w:multiLevelType w:val="hybridMultilevel"/>
    <w:lvl w:ilvl="0">
      <w:lvlJc w:val="left"/>
      <w:lvlText w:val="%1."/>
      <w:numFmt w:val="decimal"/>
      <w:start w:val="9"/>
    </w:lvl>
    <w:lvl w:ilvl="1">
      <w:lvlJc w:val="left"/>
      <w:lvlText w:val="%2"/>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2"/>
    </w:lvl>
  </w:abstractNum>
  <w:abstractNum w:abstractNumId="34">
    <w:nsid w:val="2F305DEF"/>
    <w:multiLevelType w:val="hybridMultilevel"/>
    <w:lvl w:ilvl="0">
      <w:lvlJc w:val="left"/>
      <w:lvlText w:val="%1"/>
      <w:numFmt w:val="decimal"/>
      <w:start w:val="1"/>
    </w:lvl>
    <w:lvl w:ilvl="1">
      <w:lvlJc w:val="left"/>
      <w:lvlText w:val="(%2)"/>
      <w:numFmt w:val="lowerLetter"/>
      <w:start w:val="1"/>
    </w:lvl>
  </w:abstractNum>
  <w:abstractNum w:abstractNumId="35">
    <w:nsid w:val="25A70BF7"/>
    <w:multiLevelType w:val="hybridMultilevel"/>
    <w:lvl w:ilvl="0">
      <w:lvlJc w:val="left"/>
      <w:lvlText w:val="%1."/>
      <w:numFmt w:val="decimal"/>
      <w:start w:val="3"/>
    </w:lvl>
    <w:lvl w:ilvl="1">
      <w:lvlJc w:val="left"/>
      <w:lvlText w:val="%2"/>
      <w:numFmt w:val="lowerLetter"/>
      <w:start w:val="1"/>
    </w:lvl>
  </w:abstractNum>
  <w:abstractNum w:abstractNumId="36">
    <w:nsid w:val="1DBABF00"/>
    <w:multiLevelType w:val="hybridMultilevel"/>
    <w:lvl w:ilvl="0">
      <w:lvlJc w:val="left"/>
      <w:lvlText w:val="%1"/>
      <w:numFmt w:val="decimal"/>
      <w:start w:val="1"/>
    </w:lvl>
    <w:lvl w:ilvl="1">
      <w:lvlJc w:val="left"/>
      <w:lvlText w:val="%2."/>
      <w:numFmt w:val="decimal"/>
      <w:start w:val="8"/>
    </w:lvl>
  </w:abstractNum>
  <w:abstractNum w:abstractNumId="37">
    <w:nsid w:val="4AD084E9"/>
    <w:multiLevelType w:val="hybridMultilevel"/>
    <w:lvl w:ilvl="0">
      <w:lvlJc w:val="left"/>
      <w:lvlText w:val="%1."/>
      <w:numFmt w:val="decimal"/>
      <w:start w:val="9"/>
    </w:lvl>
    <w:lvl w:ilvl="1">
      <w:lvlJc w:val="left"/>
      <w:lvlText w:val="%2"/>
      <w:numFmt w:val="decimal"/>
      <w:start w:val="1"/>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1."/>
      <w:numFmt w:val="decimal"/>
      <w:start w:val="2"/>
    </w:lvl>
    <w:lvl w:ilvl="1">
      <w:lvlJc w:val="left"/>
      <w:lvlText w:val="(%2)"/>
      <w:numFmt w:val="lowerLetter"/>
      <w:start w:val="1"/>
    </w:lvl>
  </w:abstractNum>
  <w:abstractNum w:abstractNumId="40">
    <w:nsid w:val="5DB70AE5"/>
    <w:multiLevelType w:val="hybridMultilevel"/>
    <w:lvl w:ilvl="0">
      <w:lvlJc w:val="left"/>
      <w:lvlText w:val="%1"/>
      <w:numFmt w:val="decimal"/>
      <w:start w:val="1"/>
    </w:lvl>
    <w:lvl w:ilvl="1">
      <w:lvlJc w:val="left"/>
      <w:lvlText w:val="%2."/>
      <w:numFmt w:val="decimal"/>
      <w:start w:val="7"/>
    </w:lvl>
  </w:abstractNum>
  <w:abstractNum w:abstractNumId="41">
    <w:nsid w:val="100F8FCA"/>
    <w:multiLevelType w:val="hybridMultilevel"/>
    <w:lvl w:ilvl="0">
      <w:lvlJc w:val="left"/>
      <w:lvlText w:val="%1."/>
      <w:numFmt w:val="decimal"/>
      <w:start w:val="9"/>
    </w:lvl>
    <w:lvl w:ilvl="1">
      <w:lvlJc w:val="left"/>
      <w:lvlText w:val="%2"/>
      <w:numFmt w:val="decimal"/>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1."/>
      <w:numFmt w:val="decimal"/>
      <w:start w:val="2"/>
    </w:lvl>
  </w:abstractNum>
  <w:abstractNum w:abstractNumId="44">
    <w:nsid w:val="5F5E7FD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5">
    <w:nsid w:val="98A3148"/>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46">
    <w:nsid w:val="799D0247"/>
    <w:multiLevelType w:val="hybridMultilevel"/>
    <w:lvl w:ilvl="0">
      <w:lvlJc w:val="left"/>
      <w:lvlText w:val="%1"/>
      <w:numFmt w:val="decimal"/>
      <w:start w:val="1"/>
    </w:lvl>
    <w:lvl w:ilvl="1">
      <w:lvlJc w:val="left"/>
      <w:lvlText w:val="%2."/>
      <w:numFmt w:val="decimal"/>
      <w:start w:val="8"/>
    </w:lvl>
  </w:abstractNum>
  <w:abstractNum w:abstractNumId="47">
    <w:nsid w:val="6B94764"/>
    <w:multiLevelType w:val="hybridMultilevel"/>
    <w:lvl w:ilvl="0">
      <w:lvlJc w:val="left"/>
      <w:lvlText w:val="%1."/>
      <w:numFmt w:val="decimal"/>
      <w:start w:val="9"/>
    </w:lvl>
    <w:lvl w:ilvl="1">
      <w:lvlJc w:val="left"/>
      <w:lvlText w:val="%2"/>
      <w:numFmt w:val="decimal"/>
      <w:start w:val="1"/>
    </w:lvl>
  </w:abstractNum>
  <w:abstractNum w:abstractNumId="48">
    <w:nsid w:val="42C296BD"/>
    <w:multiLevelType w:val="hybridMultilevel"/>
    <w:lvl w:ilvl="0">
      <w:lvlJc w:val="left"/>
      <w:lvlText w:val="%1."/>
      <w:numFmt w:val="decimal"/>
      <w:start w:val="10"/>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51">
    <w:nsid w:val="661E3F1E"/>
    <w:multiLevelType w:val="hybridMultilevel"/>
    <w:lvl w:ilvl="0">
      <w:lvlJc w:val="left"/>
      <w:lvlText w:val="%1"/>
      <w:numFmt w:val="decimal"/>
      <w:start w:val="1"/>
    </w:lvl>
    <w:lvl w:ilvl="1">
      <w:lvlJc w:val="left"/>
      <w:lvlText w:val="%2."/>
      <w:numFmt w:val="decimal"/>
      <w:start w:val="8"/>
    </w:lvl>
  </w:abstractNum>
  <w:abstractNum w:abstractNumId="52">
    <w:nsid w:val="5DC79EA8"/>
    <w:multiLevelType w:val="hybridMultilevel"/>
    <w:lvl w:ilvl="0">
      <w:lvlJc w:val="left"/>
      <w:lvlText w:val="%1."/>
      <w:numFmt w:val="decimal"/>
      <w:start w:val="9"/>
    </w:lvl>
    <w:lvl w:ilvl="1">
      <w:lvlJc w:val="left"/>
      <w:lvlText w:val="%2"/>
      <w:numFmt w:val="decimal"/>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decimal"/>
      <w:start w:val="2"/>
    </w:lvl>
  </w:abstractNum>
  <w:abstractNum w:abstractNumId="55">
    <w:nsid w:val="51D9C5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6">
    <w:nsid w:val="613EFDC5"/>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57">
    <w:nsid w:val="BF72B14"/>
    <w:multiLevelType w:val="hybridMultilevel"/>
    <w:lvl w:ilvl="0">
      <w:lvlJc w:val="left"/>
      <w:lvlText w:val="%1"/>
      <w:numFmt w:val="decimal"/>
      <w:start w:val="1"/>
    </w:lvl>
    <w:lvl w:ilvl="1">
      <w:lvlJc w:val="left"/>
      <w:lvlText w:val="%2."/>
      <w:numFmt w:val="decimal"/>
      <w:start w:val="8"/>
    </w:lvl>
  </w:abstractNum>
  <w:abstractNum w:abstractNumId="58">
    <w:nsid w:val="11447B73"/>
    <w:multiLevelType w:val="hybridMultilevel"/>
    <w:lvl w:ilvl="0">
      <w:lvlJc w:val="left"/>
      <w:lvlText w:val="%1."/>
      <w:numFmt w:val="decimal"/>
      <w:start w:val="9"/>
    </w:lvl>
    <w:lvl w:ilvl="1">
      <w:lvlJc w:val="left"/>
      <w:lvlText w:val="%2"/>
      <w:numFmt w:val="decimal"/>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S.%1"/>
      <w:numFmt w:val="upperLetter"/>
      <w:start w:val="19"/>
    </w:lvl>
  </w:abstractNum>
  <w:abstractNum w:abstractNumId="61">
    <w:nsid w:val="8F2B15E"/>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62">
    <w:nsid w:val="1A32234B"/>
    <w:multiLevelType w:val="hybridMultilevel"/>
    <w:lvl w:ilvl="0">
      <w:lvlJc w:val="left"/>
      <w:lvlText w:val="%1"/>
      <w:numFmt w:val="decimal"/>
      <w:start w:val="1"/>
    </w:lvl>
    <w:lvl w:ilvl="1">
      <w:lvlJc w:val="left"/>
      <w:lvlText w:val="%2."/>
      <w:numFmt w:val="decimal"/>
      <w:start w:val="8"/>
    </w:lvl>
  </w:abstractNum>
  <w:abstractNum w:abstractNumId="63">
    <w:nsid w:val="3B0FD379"/>
    <w:multiLevelType w:val="hybridMultilevel"/>
    <w:lvl w:ilvl="0">
      <w:lvlJc w:val="left"/>
      <w:lvlText w:val="%1."/>
      <w:numFmt w:val="decimal"/>
      <w:start w:val="9"/>
    </w:lvl>
    <w:lvl w:ilvl="1">
      <w:lvlJc w:val="left"/>
      <w:lvlText w:val="%2"/>
      <w:numFmt w:val="decimal"/>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2"/>
    </w:lvl>
    <w:lvl w:ilvl="1">
      <w:lvlJc w:val="left"/>
      <w:lvlText w:val="(%2)"/>
      <w:numFmt w:val="lowerLetter"/>
      <w:start w:val="1"/>
    </w:lvl>
  </w:abstractNum>
  <w:abstractNum w:abstractNumId="66">
    <w:nsid w:val="60B6DF70"/>
    <w:multiLevelType w:val="hybridMultilevel"/>
    <w:lvl w:ilvl="0">
      <w:lvlJc w:val="left"/>
      <w:lvlText w:val="%1"/>
      <w:numFmt w:val="decimal"/>
      <w:start w:val="1"/>
    </w:lvl>
    <w:lvl w:ilvl="1">
      <w:lvlJc w:val="left"/>
      <w:lvlText w:val="%2."/>
      <w:numFmt w:val="decimal"/>
      <w:start w:val="8"/>
    </w:lvl>
  </w:abstractNum>
  <w:abstractNum w:abstractNumId="67">
    <w:nsid w:val="6A5EE64"/>
    <w:multiLevelType w:val="hybridMultilevel"/>
    <w:lvl w:ilvl="0">
      <w:lvlJc w:val="left"/>
      <w:lvlText w:val="%1."/>
      <w:numFmt w:val="decimal"/>
      <w:start w:val="9"/>
    </w:lvl>
    <w:lvl w:ilvl="1">
      <w:lvlJc w:val="left"/>
      <w:lvlText w:val="%2"/>
      <w:numFmt w:val="decimal"/>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2"/>
    </w:lvl>
    <w:lvl w:ilvl="1">
      <w:lvlJc w:val="left"/>
      <w:lvlText w:val="(%2)"/>
      <w:numFmt w:val="lowerLetter"/>
      <w:start w:val="1"/>
    </w:lvl>
  </w:abstractNum>
  <w:abstractNum w:abstractNumId="70">
    <w:nsid w:val="1A27709E"/>
    <w:multiLevelType w:val="hybridMultilevel"/>
    <w:lvl w:ilvl="0">
      <w:lvlJc w:val="left"/>
      <w:lvlText w:val="%1"/>
      <w:numFmt w:val="decimal"/>
      <w:start w:val="1"/>
    </w:lvl>
    <w:lvl w:ilvl="1">
      <w:lvlJc w:val="left"/>
      <w:lvlText w:val="%2."/>
      <w:numFmt w:val="decimal"/>
      <w:start w:val="6"/>
    </w:lvl>
  </w:abstractNum>
  <w:abstractNum w:abstractNumId="71">
    <w:nsid w:val="71EA1109"/>
    <w:multiLevelType w:val="hybridMultilevel"/>
    <w:lvl w:ilvl="0">
      <w:lvlJc w:val="left"/>
      <w:lvlText w:val="%1."/>
      <w:numFmt w:val="decimal"/>
      <w:start w:val="9"/>
    </w:lvl>
    <w:lvl w:ilvl="1">
      <w:lvlJc w:val="left"/>
      <w:lvlText w:val="%2"/>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1"/>
      <w:numFmt w:val="decimal"/>
      <w:start w:val="1"/>
    </w:lvl>
    <w:lvl w:ilvl="1">
      <w:lvlJc w:val="left"/>
      <w:lvlText w:val="(%2)"/>
      <w:numFmt w:val="lowerLetter"/>
      <w:start w:val="1"/>
    </w:lvl>
  </w:abstractNum>
  <w:abstractNum w:abstractNumId="75">
    <w:nsid w:val="6F6DD9AC"/>
    <w:multiLevelType w:val="hybridMultilevel"/>
    <w:lvl w:ilvl="0">
      <w:lvlJc w:val="left"/>
      <w:lvlText w:val="%1."/>
      <w:numFmt w:val="decimal"/>
      <w:start w:val="3"/>
    </w:lvl>
    <w:lvl w:ilvl="1">
      <w:lvlJc w:val="left"/>
      <w:lvlText w:val="%2"/>
      <w:numFmt w:val="lowerLetter"/>
      <w:start w:val="1"/>
    </w:lvl>
  </w:abstractNum>
  <w:abstractNum w:abstractNumId="76">
    <w:nsid w:val="94211F2"/>
    <w:multiLevelType w:val="hybridMultilevel"/>
    <w:lvl w:ilvl="0">
      <w:lvlJc w:val="left"/>
      <w:lvlText w:val="%1"/>
      <w:numFmt w:val="decimal"/>
      <w:start w:val="1"/>
    </w:lvl>
    <w:lvl w:ilvl="1">
      <w:lvlJc w:val="left"/>
      <w:lvlText w:val="%2."/>
      <w:numFmt w:val="decimal"/>
      <w:start w:val="8"/>
    </w:lvl>
  </w:abstractNum>
  <w:abstractNum w:abstractNumId="77">
    <w:nsid w:val="885E1B"/>
    <w:multiLevelType w:val="hybridMultilevel"/>
    <w:lvl w:ilvl="0">
      <w:lvlJc w:val="left"/>
      <w:lvlText w:val="%1."/>
      <w:numFmt w:val="decimal"/>
      <w:start w:val="9"/>
    </w:lvl>
    <w:lvl w:ilvl="1">
      <w:lvlJc w:val="left"/>
      <w:lvlText w:val="%2"/>
      <w:numFmt w:val="decimal"/>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80">
    <w:nsid w:val="1716703B"/>
    <w:multiLevelType w:val="hybridMultilevel"/>
    <w:lvl w:ilvl="0">
      <w:lvlJc w:val="left"/>
      <w:lvlText w:val="%1"/>
      <w:numFmt w:val="decimal"/>
      <w:start w:val="1"/>
    </w:lvl>
    <w:lvl w:ilvl="1">
      <w:lvlJc w:val="left"/>
      <w:lvlText w:val="%2."/>
      <w:numFmt w:val="decimal"/>
      <w:start w:val="8"/>
    </w:lvl>
  </w:abstractNum>
  <w:abstractNum w:abstractNumId="81">
    <w:nsid w:val="14E17E33"/>
    <w:multiLevelType w:val="hybridMultilevel"/>
    <w:lvl w:ilvl="0">
      <w:lvlJc w:val="left"/>
      <w:lvlText w:val="%1."/>
      <w:numFmt w:val="decimal"/>
      <w:start w:val="9"/>
    </w:lvl>
    <w:lvl w:ilvl="1">
      <w:lvlJc w:val="left"/>
      <w:lvlText w:val="%2"/>
      <w:numFmt w:val="decimal"/>
      <w:start w:val="1"/>
    </w:lvl>
  </w:abstractNum>
  <w:abstractNum w:abstractNumId="82">
    <w:nsid w:val="3222E7CD"/>
    <w:multiLevelType w:val="hybridMultilevel"/>
    <w:lvl w:ilvl="0">
      <w:lvlJc w:val="left"/>
      <w:lvlText w:val="%1."/>
      <w:numFmt w:val="decimal"/>
      <w:start w:val="11"/>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
      <w:numFmt w:val="bullet"/>
      <w:start w:val="1"/>
    </w:lvl>
    <w:lvl w:ilvl="1">
      <w:lvlJc w:val="left"/>
      <w:lvlText w:val="(%2)"/>
      <w:numFmt w:val="lowerLetter"/>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lowerLetter"/>
      <w:start w:val="3"/>
    </w:lvl>
  </w:abstractNum>
  <w:abstractNum w:abstractNumId="87">
    <w:nsid w:val="4A2AC315"/>
    <w:multiLevelType w:val="hybridMultilevel"/>
    <w:lvl w:ilvl="0">
      <w:lvlJc w:val="left"/>
      <w:lvlText w:val="(%1)"/>
      <w:numFmt w:val="lowerLetter"/>
      <w:start w:val="4"/>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lowerRoman"/>
      <w:start w:val="1"/>
    </w:lvl>
  </w:abstractNum>
  <w:abstractNum w:abstractNumId="91">
    <w:nsid w:val="43F18422"/>
    <w:multiLevelType w:val="hybridMultilevel"/>
    <w:lvl w:ilvl="0">
      <w:lvlJc w:val="left"/>
      <w:lvlText w:val="(%1)"/>
      <w:numFmt w:val="lowerRoman"/>
      <w:start w:val="2"/>
    </w:lvl>
  </w:abstractNum>
  <w:abstractNum w:abstractNumId="92">
    <w:nsid w:val="60EF0119"/>
    <w:multiLevelType w:val="hybridMultilevel"/>
    <w:lvl w:ilvl="0">
      <w:lvlJc w:val="left"/>
      <w:lvlText w:val="***"/>
      <w:numFmt w:val="bullet"/>
      <w:start w:val="1"/>
    </w:lvl>
    <w:lvl w:ilvl="1">
      <w:lvlJc w:val="left"/>
      <w:lvlText w:val="(%2)"/>
      <w:numFmt w:val="lowerRoman"/>
      <w:start w:val="3"/>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2019-12-12T04:18:43Z</dcterms:created>
  <dcterms:modified xsi:type="dcterms:W3CDTF">2019-12-12T04:18:43Z</dcterms:modified>
</cp:coreProperties>
</file>