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62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09/02/2008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CEO &amp;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621"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60" w:type="dxa"/>
            <w:vAlign w:val="bottom"/>
          </w:tcPr>
          <w:p>
            <w:pPr>
              <w:spacing w:after="0"/>
              <w:rPr>
                <w:sz w:val="20"/>
                <w:szCs w:val="20"/>
                <w:color w:val="auto"/>
              </w:rPr>
            </w:pPr>
            <w:r>
              <w:rPr>
                <w:rFonts w:ascii="Arial" w:cs="Arial" w:eastAsia="Arial" w:hAnsi="Arial"/>
                <w:sz w:val="18"/>
                <w:szCs w:val="18"/>
                <w:color w:val="0000FF"/>
              </w:rPr>
              <w:t>20850</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7"/>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gridSpan w:val="7"/>
            <w:vMerge w:val="restart"/>
          </w:tcPr>
          <w:p>
            <w:pPr>
              <w:ind w:left="4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2"/>
          </w:tcPr>
          <w:p>
            <w:pPr>
              <w:jc w:val="center"/>
              <w:ind w:left="3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40" w:type="dxa"/>
            <w:vAlign w:val="bottom"/>
            <w:gridSpan w:val="2"/>
            <w:vMerge w:val="restart"/>
          </w:tcPr>
          <w:p>
            <w:pPr>
              <w:ind w:left="660"/>
              <w:spacing w:after="0"/>
              <w:rPr>
                <w:sz w:val="20"/>
                <w:szCs w:val="20"/>
                <w:color w:val="auto"/>
              </w:rPr>
            </w:pPr>
            <w:r>
              <w:rPr>
                <w:rFonts w:ascii="Arial" w:cs="Arial" w:eastAsia="Arial" w:hAnsi="Arial"/>
                <w:sz w:val="18"/>
                <w:szCs w:val="18"/>
                <w:color w:val="0000FF"/>
              </w:rPr>
              <w:t>09/02/2008</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vMerge w:val="restart"/>
          </w:tcPr>
          <w:p>
            <w:pPr>
              <w:ind w:left="260"/>
              <w:spacing w:after="0"/>
              <w:rPr>
                <w:sz w:val="20"/>
                <w:szCs w:val="20"/>
                <w:color w:val="auto"/>
              </w:rPr>
            </w:pPr>
            <w:r>
              <w:rPr>
                <w:rFonts w:ascii="Arial" w:cs="Arial" w:eastAsia="Arial" w:hAnsi="Arial"/>
                <w:sz w:val="18"/>
                <w:szCs w:val="18"/>
                <w:color w:val="0000FF"/>
              </w:rPr>
              <w:t>600</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7,803,435</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9"/>
              </w:rPr>
              <w:t>246,992</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0000FF"/>
              </w:rPr>
              <w:t>By</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9"/>
              <w:spacing w:after="0" w:line="217" w:lineRule="exact"/>
              <w:rPr>
                <w:sz w:val="20"/>
                <w:szCs w:val="20"/>
                <w:color w:val="auto"/>
              </w:rPr>
            </w:pPr>
            <w:r>
              <w:rPr>
                <w:rFonts w:ascii="Arial" w:cs="Arial" w:eastAsia="Arial" w:hAnsi="Arial"/>
                <w:sz w:val="18"/>
                <w:szCs w:val="18"/>
                <w:color w:val="0000FF"/>
                <w:w w:val="85"/>
              </w:rPr>
              <w:t>3,665,043</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1,599,155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Biovac,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719,275</w:t>
            </w:r>
            <w:r>
              <w:rPr>
                <w:rFonts w:ascii="Arial" w:cs="Arial" w:eastAsia="Arial" w:hAnsi="Arial"/>
                <w:sz w:val="22"/>
                <w:szCs w:val="22"/>
                <w:color w:val="008000"/>
                <w:w w:val="84"/>
                <w:vertAlign w:val="superscript"/>
              </w:rPr>
              <w:t>(4)</w:t>
            </w:r>
          </w:p>
        </w:tc>
        <w:tc>
          <w:tcPr>
            <w:tcW w:w="30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9"/>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Intervac, L.L.C. on June 13, 2008. Intervac, L.L.C. was the direct owner of the shares of Common Stock sold pursuant to the Rule 10b5-1 trading plan, and was or is the direct owner of the shares of Common Stock reported as beneficially owned immediately following each of the reported sales. Both before and after the reported sales, Mr. El-Hibri held, individually and with his wife, as tenants by the entirety, an aggregate 38.0276% equity interest in Intervac, L.L.C. Mr. El-Hibri disclaims beneficial ownership of the shares of Common Stock directly owned by Intervac, L.L.C. for purposes of Section 16, except to the extent of his pecuniary interest therein.</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is the holder of a 40.17% (567,582.3 units) equity interest in BioPharm, L.L.C. BioPharm, L.L.C. is the direct owner of 3,665,043 shares of Common Stock. Mr. El-Hibri disclaims beneficial ownership of these shares for purposes of Section 16, except to the extent of his pecuniary interest in 1,472,248 shares.</w:t>
      </w:r>
    </w:p>
    <w:p>
      <w:pPr>
        <w:spacing w:after="0" w:line="30" w:lineRule="exact"/>
        <w:rPr>
          <w:rFonts w:ascii="Arial" w:cs="Arial" w:eastAsia="Arial" w:hAnsi="Arial"/>
          <w:sz w:val="14"/>
          <w:szCs w:val="14"/>
          <w:color w:val="008000"/>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with his wife, as tenants by the entirety, a 89.2% equity interest in Biovac, L.L.C. Biovac, L.L.C. is the direct owner of 1,599,155 shares of Common Stock. Mr. El-Hibri disclaims beneficial ownership of these shares for purposes of Section 16, except to the extent of his pecuniary interest in 1,426,446 shares.</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with his wife, as tenants by the entirety, a 31.11% equity interest in Intervac Management, L.L.C. Intervac Management, L.L.C. is the direct owner of 719,275 shares of Common Stock. Mr. El-Hibri disclaims beneficial ownership of these shares for purposes of Section 16, except to the extent of his pecuniary interest in 223,766 shares.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Joseph J. Kaufman,</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09/04/2008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6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2019-12-16T11:20:25Z</dcterms:created>
  <dcterms:modified xsi:type="dcterms:W3CDTF">2019-12-16T11:20:25Z</dcterms:modified>
</cp:coreProperties>
</file>