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56"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00" w:lineRule="exact"/>
        <w:rPr>
          <w:sz w:val="24"/>
          <w:szCs w:val="24"/>
          <w:color w:val="auto"/>
        </w:rPr>
      </w:pPr>
    </w:p>
    <w:p>
      <w:pPr>
        <w:spacing w:after="0" w:line="2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17, 2012</w:t>
      </w:r>
    </w:p>
    <w:p>
      <w:pPr>
        <w:spacing w:after="0" w:line="24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1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14-1902018</w:t>
            </w:r>
          </w:p>
        </w:tc>
      </w:tr>
      <w:tr>
        <w:trPr>
          <w:trHeight w:val="216"/>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88"/>
        </w:trPr>
        <w:tc>
          <w:tcPr>
            <w:tcW w:w="6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0"/>
              </w:rPr>
              <w:t>2273 Research Boulevard, Suite 400, Rockville, Maryland</w:t>
            </w:r>
          </w:p>
        </w:tc>
        <w:tc>
          <w:tcPr>
            <w:tcW w:w="2620" w:type="dxa"/>
            <w:vAlign w:val="bottom"/>
          </w:tcPr>
          <w:p>
            <w:pPr>
              <w:jc w:val="center"/>
              <w:ind w:left="1210"/>
              <w:spacing w:after="0"/>
              <w:rPr>
                <w:sz w:val="20"/>
                <w:szCs w:val="20"/>
                <w:color w:val="auto"/>
              </w:rPr>
            </w:pPr>
            <w:r>
              <w:rPr>
                <w:rFonts w:ascii="Arial" w:cs="Arial" w:eastAsia="Arial" w:hAnsi="Arial"/>
                <w:sz w:val="18"/>
                <w:szCs w:val="18"/>
                <w:b w:val="1"/>
                <w:bCs w:val="1"/>
                <w:color w:val="auto"/>
                <w:w w:val="87"/>
              </w:rPr>
              <w:t>20850</w:t>
            </w:r>
          </w:p>
        </w:tc>
      </w:tr>
      <w:tr>
        <w:trPr>
          <w:trHeight w:val="230"/>
        </w:trPr>
        <w:tc>
          <w:tcPr>
            <w:tcW w:w="418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2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5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49" w:right="4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 (e)</w:t>
      </w:r>
    </w:p>
    <w:p>
      <w:pPr>
        <w:spacing w:after="0" w:line="20" w:lineRule="exact"/>
        <w:rPr>
          <w:sz w:val="20"/>
          <w:szCs w:val="20"/>
          <w:color w:val="auto"/>
        </w:rPr>
      </w:pPr>
      <w:r>
        <w:rPr>
          <w:sz w:val="20"/>
          <w:szCs w:val="20"/>
          <w:color w:val="auto"/>
        </w:rPr>
        <w:br w:type="column"/>
      </w:r>
    </w:p>
    <w:p>
      <w:pPr>
        <w:ind w:right="780"/>
        <w:spacing w:after="0" w:line="282" w:lineRule="auto"/>
        <w:rPr>
          <w:sz w:val="20"/>
          <w:szCs w:val="20"/>
          <w:color w:val="auto"/>
        </w:rPr>
      </w:pPr>
      <w:r>
        <w:rPr>
          <w:rFonts w:ascii="Arial" w:cs="Arial" w:eastAsia="Arial" w:hAnsi="Arial"/>
          <w:sz w:val="18"/>
          <w:szCs w:val="18"/>
          <w:b w:val="1"/>
          <w:bCs w:val="1"/>
          <w:color w:val="auto"/>
        </w:rPr>
        <w:t>Departure of Directors or Principal Officers; Election of Directors; Appointment if Certain Officers; Compensatory Arrangements of Certain Officers.</w:t>
      </w:r>
    </w:p>
    <w:p>
      <w:pPr>
        <w:spacing w:after="0" w:line="193" w:lineRule="exact"/>
        <w:rPr>
          <w:sz w:val="20"/>
          <w:szCs w:val="20"/>
          <w:color w:val="auto"/>
        </w:rPr>
      </w:pPr>
    </w:p>
    <w:p>
      <w:pPr>
        <w:sectPr>
          <w:pgSz w:w="11900" w:h="16838" w:orient="portrait"/>
          <w:cols w:equalWidth="0" w:num="2">
            <w:col w:w="1040" w:space="720"/>
            <w:col w:w="9660"/>
          </w:cols>
          <w:pgMar w:left="240" w:top="756" w:right="239" w:bottom="0" w:gutter="0" w:footer="0" w:header="0"/>
        </w:sectPr>
      </w:pPr>
    </w:p>
    <w:p>
      <w:pPr>
        <w:ind w:right="360"/>
        <w:spacing w:after="0" w:line="286" w:lineRule="auto"/>
        <w:rPr>
          <w:sz w:val="20"/>
          <w:szCs w:val="20"/>
          <w:color w:val="auto"/>
        </w:rPr>
      </w:pPr>
      <w:r>
        <w:rPr>
          <w:rFonts w:ascii="Arial" w:cs="Arial" w:eastAsia="Arial" w:hAnsi="Arial"/>
          <w:sz w:val="17"/>
          <w:szCs w:val="17"/>
          <w:color w:val="auto"/>
        </w:rPr>
        <w:t>On May 17, 2012, the stockholders of Emergent BioSolutions Inc. (the “Company”) approved the Company’s Second Amended and Restated 2006 Stock Incentive Plan (the "Amended Plan"). In addition, the stockholders approved the creation of the Company’s 2012 Employee Stock Purchase Plan (the “ESPP”). The board of directors adopted the Amended Plan and the ESPP on March 6, 2012, subject to stockholder approval.</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Descriptions of the terms and conditions of the Amended Plan and the ESPP are set forth in the Company's definitive proxy statement on Schedule 14A (the "Proxy Statement") filed with the Securities and Exchange Commission on April 6, 2012 and are incorporated herein by reference. Such descriptions are qualified entirely by reference to the actual terms of the Amended Plan, a copy of which is filed as Appendix A to the Proxy Statement, and the actual terms of the ESPP, a copy of which is filed as Appendix B to the Proxy Statement.</w:t>
      </w:r>
    </w:p>
    <w:p>
      <w:pPr>
        <w:spacing w:after="0" w:line="21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held its 2012 Annual Meeting of Stockholders on May 17, 2012. A total of 34,622,141 shares of the Company’s common stock were present or represented by proxy at the meeting, which represented approximately 95.77% of the Company’s 36,150,225 shares of common stock that were outstanding and entitled to vote at the meeting as of the record date of March 19, 2012. The stockholders considered the five proposals outlined below, each of which is described in more detail in the Company’s definitive proxy statement dated April 6, 2012.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Proposal 1: The election of Daniel J. Abdun-Nabi, Dr. Sue Bailey and John E. Niederhuber, M.D. to serve as Class III directors, each for a term of three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votes were cast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Nominees</w:t>
            </w:r>
          </w:p>
        </w:tc>
        <w:tc>
          <w:tcPr>
            <w:tcW w:w="40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6"/>
              </w:rPr>
              <w:t>For</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Withheld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Daniel J. Abdun-Nabi</w:t>
            </w:r>
          </w:p>
        </w:tc>
        <w:tc>
          <w:tcPr>
            <w:tcW w:w="4000" w:type="dxa"/>
            <w:vAlign w:val="bottom"/>
          </w:tcPr>
          <w:p>
            <w:pPr>
              <w:jc w:val="center"/>
              <w:ind w:left="230"/>
              <w:spacing w:after="0" w:line="195" w:lineRule="exact"/>
              <w:rPr>
                <w:sz w:val="20"/>
                <w:szCs w:val="20"/>
                <w:color w:val="auto"/>
              </w:rPr>
            </w:pPr>
            <w:r>
              <w:rPr>
                <w:rFonts w:ascii="Arial" w:cs="Arial" w:eastAsia="Arial" w:hAnsi="Arial"/>
                <w:sz w:val="18"/>
                <w:szCs w:val="18"/>
                <w:color w:val="auto"/>
                <w:w w:val="88"/>
              </w:rPr>
              <w:t>32,055,616</w:t>
            </w:r>
          </w:p>
        </w:tc>
        <w:tc>
          <w:tcPr>
            <w:tcW w:w="372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89"/>
              </w:rPr>
              <w:t>317,471</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Dr. Sue Bailey</w:t>
            </w:r>
          </w:p>
        </w:tc>
        <w:tc>
          <w:tcPr>
            <w:tcW w:w="4000" w:type="dxa"/>
            <w:vAlign w:val="bottom"/>
          </w:tcPr>
          <w:p>
            <w:pPr>
              <w:jc w:val="center"/>
              <w:ind w:left="230"/>
              <w:spacing w:after="0"/>
              <w:rPr>
                <w:sz w:val="20"/>
                <w:szCs w:val="20"/>
                <w:color w:val="auto"/>
              </w:rPr>
            </w:pPr>
            <w:r>
              <w:rPr>
                <w:rFonts w:ascii="Arial" w:cs="Arial" w:eastAsia="Arial" w:hAnsi="Arial"/>
                <w:sz w:val="18"/>
                <w:szCs w:val="18"/>
                <w:color w:val="auto"/>
                <w:w w:val="88"/>
              </w:rPr>
              <w:t>32,049,439</w:t>
            </w:r>
          </w:p>
        </w:tc>
        <w:tc>
          <w:tcPr>
            <w:tcW w:w="3720" w:type="dxa"/>
            <w:vAlign w:val="bottom"/>
          </w:tcPr>
          <w:p>
            <w:pPr>
              <w:jc w:val="center"/>
              <w:ind w:right="10"/>
              <w:spacing w:after="0"/>
              <w:rPr>
                <w:sz w:val="20"/>
                <w:szCs w:val="20"/>
                <w:color w:val="auto"/>
              </w:rPr>
            </w:pPr>
            <w:r>
              <w:rPr>
                <w:rFonts w:ascii="Arial" w:cs="Arial" w:eastAsia="Arial" w:hAnsi="Arial"/>
                <w:sz w:val="18"/>
                <w:szCs w:val="18"/>
                <w:color w:val="auto"/>
                <w:w w:val="89"/>
              </w:rPr>
              <w:t>323,648</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John E. Niederhuber, M.D.</w:t>
            </w:r>
          </w:p>
        </w:tc>
        <w:tc>
          <w:tcPr>
            <w:tcW w:w="4000" w:type="dxa"/>
            <w:vAlign w:val="bottom"/>
          </w:tcPr>
          <w:p>
            <w:pPr>
              <w:jc w:val="center"/>
              <w:ind w:left="230"/>
              <w:spacing w:after="0"/>
              <w:rPr>
                <w:sz w:val="20"/>
                <w:szCs w:val="20"/>
                <w:color w:val="auto"/>
              </w:rPr>
            </w:pPr>
            <w:r>
              <w:rPr>
                <w:rFonts w:ascii="Arial" w:cs="Arial" w:eastAsia="Arial" w:hAnsi="Arial"/>
                <w:sz w:val="18"/>
                <w:szCs w:val="18"/>
                <w:color w:val="auto"/>
                <w:w w:val="88"/>
              </w:rPr>
              <w:t>31,639,370</w:t>
            </w:r>
          </w:p>
        </w:tc>
        <w:tc>
          <w:tcPr>
            <w:tcW w:w="3720" w:type="dxa"/>
            <w:vAlign w:val="bottom"/>
          </w:tcPr>
          <w:p>
            <w:pPr>
              <w:jc w:val="center"/>
              <w:ind w:right="10"/>
              <w:spacing w:after="0"/>
              <w:rPr>
                <w:sz w:val="20"/>
                <w:szCs w:val="20"/>
                <w:color w:val="auto"/>
              </w:rPr>
            </w:pPr>
            <w:r>
              <w:rPr>
                <w:rFonts w:ascii="Arial" w:cs="Arial" w:eastAsia="Arial" w:hAnsi="Arial"/>
                <w:sz w:val="18"/>
                <w:szCs w:val="18"/>
                <w:color w:val="auto"/>
                <w:w w:val="89"/>
              </w:rPr>
              <w:t>733,717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three director nominees were duly elected.</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Proposal 2: The ratification of the selection by the audit committee of Ernst &amp; Young LLP as the Company’s independent registered public accounting firm for the fiscal year ending December 31, 2012. The votes were cast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For</w:t>
            </w:r>
          </w:p>
        </w:tc>
        <w:tc>
          <w:tcPr>
            <w:tcW w:w="38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7"/>
              </w:rPr>
              <w:t>Against</w:t>
            </w:r>
          </w:p>
        </w:tc>
        <w:tc>
          <w:tcPr>
            <w:tcW w:w="35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0"/>
              </w:rPr>
              <w:t>Abstaining</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960" w:type="dxa"/>
            <w:vAlign w:val="bottom"/>
          </w:tcPr>
          <w:p>
            <w:pPr>
              <w:jc w:val="right"/>
              <w:ind w:right="1610"/>
              <w:spacing w:after="0"/>
              <w:rPr>
                <w:sz w:val="20"/>
                <w:szCs w:val="20"/>
                <w:color w:val="auto"/>
              </w:rPr>
            </w:pPr>
            <w:r>
              <w:rPr>
                <w:rFonts w:ascii="Arial" w:cs="Arial" w:eastAsia="Arial" w:hAnsi="Arial"/>
                <w:sz w:val="18"/>
                <w:szCs w:val="18"/>
                <w:color w:val="auto"/>
              </w:rPr>
              <w:t>34,430,959</w:t>
            </w:r>
          </w:p>
        </w:tc>
        <w:tc>
          <w:tcPr>
            <w:tcW w:w="3860" w:type="dxa"/>
            <w:vAlign w:val="bottom"/>
          </w:tcPr>
          <w:p>
            <w:pPr>
              <w:jc w:val="right"/>
              <w:ind w:right="1510"/>
              <w:spacing w:after="0"/>
              <w:rPr>
                <w:sz w:val="20"/>
                <w:szCs w:val="20"/>
                <w:color w:val="auto"/>
              </w:rPr>
            </w:pPr>
            <w:r>
              <w:rPr>
                <w:rFonts w:ascii="Arial" w:cs="Arial" w:eastAsia="Arial" w:hAnsi="Arial"/>
                <w:sz w:val="18"/>
                <w:szCs w:val="18"/>
                <w:color w:val="auto"/>
              </w:rPr>
              <w:t>50,670</w:t>
            </w:r>
          </w:p>
        </w:tc>
        <w:tc>
          <w:tcPr>
            <w:tcW w:w="3580" w:type="dxa"/>
            <w:vAlign w:val="bottom"/>
          </w:tcPr>
          <w:p>
            <w:pPr>
              <w:jc w:val="right"/>
              <w:ind w:right="1210"/>
              <w:spacing w:after="0"/>
              <w:rPr>
                <w:sz w:val="20"/>
                <w:szCs w:val="20"/>
                <w:color w:val="auto"/>
              </w:rPr>
            </w:pPr>
            <w:r>
              <w:rPr>
                <w:rFonts w:ascii="Arial" w:cs="Arial" w:eastAsia="Arial" w:hAnsi="Arial"/>
                <w:sz w:val="18"/>
                <w:szCs w:val="18"/>
                <w:color w:val="auto"/>
              </w:rPr>
              <w:t>140,512</w:t>
            </w:r>
          </w:p>
        </w:tc>
        <w:tc>
          <w:tcPr>
            <w:tcW w:w="0" w:type="dxa"/>
            <w:vAlign w:val="bottom"/>
          </w:tcPr>
          <w:p>
            <w:pPr>
              <w:spacing w:after="0"/>
              <w:rPr>
                <w:sz w:val="1"/>
                <w:szCs w:val="1"/>
                <w:color w:val="auto"/>
              </w:rPr>
            </w:pPr>
          </w:p>
        </w:tc>
      </w:tr>
      <w:tr>
        <w:trPr>
          <w:trHeight w:val="445"/>
        </w:trPr>
        <w:tc>
          <w:tcPr>
            <w:tcW w:w="3980" w:type="dxa"/>
            <w:vAlign w:val="bottom"/>
            <w:gridSpan w:val="2"/>
          </w:tcPr>
          <w:p>
            <w:pPr>
              <w:spacing w:after="0"/>
              <w:rPr>
                <w:sz w:val="20"/>
                <w:szCs w:val="20"/>
                <w:color w:val="auto"/>
              </w:rPr>
            </w:pPr>
            <w:r>
              <w:rPr>
                <w:rFonts w:ascii="Arial" w:cs="Arial" w:eastAsia="Arial" w:hAnsi="Arial"/>
                <w:sz w:val="18"/>
                <w:szCs w:val="18"/>
                <w:color w:val="auto"/>
              </w:rPr>
              <w:t>Proposal 2 was approved.</w:t>
            </w:r>
          </w:p>
        </w:tc>
        <w:tc>
          <w:tcPr>
            <w:tcW w:w="3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Proposal 3: To cast an advisory vote to approve the compensation of the Company’s named executive officers. The votes were cast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For</w:t>
            </w:r>
          </w:p>
        </w:tc>
        <w:tc>
          <w:tcPr>
            <w:tcW w:w="3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Against</w:t>
            </w:r>
          </w:p>
        </w:tc>
        <w:tc>
          <w:tcPr>
            <w:tcW w:w="26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0"/>
              </w:rPr>
              <w:t>Abstaining</w:t>
            </w:r>
          </w:p>
        </w:tc>
        <w:tc>
          <w:tcPr>
            <w:tcW w:w="26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080" w:type="dxa"/>
            <w:vAlign w:val="bottom"/>
          </w:tcPr>
          <w:p>
            <w:pPr>
              <w:jc w:val="right"/>
              <w:ind w:right="1130"/>
              <w:spacing w:after="0"/>
              <w:rPr>
                <w:sz w:val="20"/>
                <w:szCs w:val="20"/>
                <w:color w:val="auto"/>
              </w:rPr>
            </w:pPr>
            <w:r>
              <w:rPr>
                <w:rFonts w:ascii="Arial" w:cs="Arial" w:eastAsia="Arial" w:hAnsi="Arial"/>
                <w:sz w:val="18"/>
                <w:szCs w:val="18"/>
                <w:color w:val="auto"/>
              </w:rPr>
              <w:t>23,922,422</w:t>
            </w:r>
          </w:p>
        </w:tc>
        <w:tc>
          <w:tcPr>
            <w:tcW w:w="3060" w:type="dxa"/>
            <w:vAlign w:val="bottom"/>
          </w:tcPr>
          <w:p>
            <w:pPr>
              <w:jc w:val="right"/>
              <w:ind w:right="1030"/>
              <w:spacing w:after="0"/>
              <w:rPr>
                <w:sz w:val="20"/>
                <w:szCs w:val="20"/>
                <w:color w:val="auto"/>
              </w:rPr>
            </w:pPr>
            <w:r>
              <w:rPr>
                <w:rFonts w:ascii="Arial" w:cs="Arial" w:eastAsia="Arial" w:hAnsi="Arial"/>
                <w:sz w:val="18"/>
                <w:szCs w:val="18"/>
                <w:color w:val="auto"/>
              </w:rPr>
              <w:t>6,707,605</w:t>
            </w:r>
          </w:p>
        </w:tc>
        <w:tc>
          <w:tcPr>
            <w:tcW w:w="2620" w:type="dxa"/>
            <w:vAlign w:val="bottom"/>
          </w:tcPr>
          <w:p>
            <w:pPr>
              <w:jc w:val="right"/>
              <w:ind w:right="650"/>
              <w:spacing w:after="0"/>
              <w:rPr>
                <w:sz w:val="20"/>
                <w:szCs w:val="20"/>
                <w:color w:val="auto"/>
              </w:rPr>
            </w:pPr>
            <w:r>
              <w:rPr>
                <w:rFonts w:ascii="Arial" w:cs="Arial" w:eastAsia="Arial" w:hAnsi="Arial"/>
                <w:sz w:val="18"/>
                <w:szCs w:val="18"/>
                <w:color w:val="auto"/>
              </w:rPr>
              <w:t>1,743,040</w:t>
            </w:r>
          </w:p>
        </w:tc>
        <w:tc>
          <w:tcPr>
            <w:tcW w:w="2640" w:type="dxa"/>
            <w:vAlign w:val="bottom"/>
          </w:tcPr>
          <w:p>
            <w:pPr>
              <w:jc w:val="right"/>
              <w:ind w:right="790"/>
              <w:spacing w:after="0"/>
              <w:rPr>
                <w:sz w:val="20"/>
                <w:szCs w:val="20"/>
                <w:color w:val="auto"/>
              </w:rPr>
            </w:pPr>
            <w:r>
              <w:rPr>
                <w:rFonts w:ascii="Arial" w:cs="Arial" w:eastAsia="Arial" w:hAnsi="Arial"/>
                <w:sz w:val="18"/>
                <w:szCs w:val="18"/>
                <w:color w:val="auto"/>
              </w:rPr>
              <w:t>2,249,054</w:t>
            </w:r>
          </w:p>
        </w:tc>
        <w:tc>
          <w:tcPr>
            <w:tcW w:w="0" w:type="dxa"/>
            <w:vAlign w:val="bottom"/>
          </w:tcPr>
          <w:p>
            <w:pPr>
              <w:spacing w:after="0"/>
              <w:rPr>
                <w:sz w:val="1"/>
                <w:szCs w:val="1"/>
                <w:color w:val="auto"/>
              </w:rPr>
            </w:pPr>
          </w:p>
        </w:tc>
      </w:tr>
      <w:tr>
        <w:trPr>
          <w:trHeight w:val="445"/>
        </w:trPr>
        <w:tc>
          <w:tcPr>
            <w:tcW w:w="3100" w:type="dxa"/>
            <w:vAlign w:val="bottom"/>
            <w:gridSpan w:val="2"/>
          </w:tcPr>
          <w:p>
            <w:pPr>
              <w:spacing w:after="0"/>
              <w:rPr>
                <w:sz w:val="20"/>
                <w:szCs w:val="20"/>
                <w:color w:val="auto"/>
              </w:rPr>
            </w:pPr>
            <w:r>
              <w:rPr>
                <w:rFonts w:ascii="Arial" w:cs="Arial" w:eastAsia="Arial" w:hAnsi="Arial"/>
                <w:sz w:val="18"/>
                <w:szCs w:val="18"/>
                <w:color w:val="auto"/>
              </w:rPr>
              <w:t>Proposal 3 was approved.</w:t>
            </w:r>
          </w:p>
        </w:tc>
        <w:tc>
          <w:tcPr>
            <w:tcW w:w="3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Proposal 4: To approve the Company’s Second Amended and Restated 2006 Stock Incentive Plan, which was proposed primarily for, among other purposes, increasing the number of shares authorized for issuance under the Amended and Restated 2006 Incentive Plan by 2,500,000 shares. The votes were cast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For</w:t>
            </w:r>
          </w:p>
        </w:tc>
        <w:tc>
          <w:tcPr>
            <w:tcW w:w="3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Against</w:t>
            </w:r>
          </w:p>
        </w:tc>
        <w:tc>
          <w:tcPr>
            <w:tcW w:w="26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0"/>
              </w:rPr>
              <w:t>Abstaining</w:t>
            </w:r>
          </w:p>
        </w:tc>
        <w:tc>
          <w:tcPr>
            <w:tcW w:w="26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080" w:type="dxa"/>
            <w:vAlign w:val="bottom"/>
          </w:tcPr>
          <w:p>
            <w:pPr>
              <w:jc w:val="right"/>
              <w:ind w:right="1130"/>
              <w:spacing w:after="0"/>
              <w:rPr>
                <w:sz w:val="20"/>
                <w:szCs w:val="20"/>
                <w:color w:val="auto"/>
              </w:rPr>
            </w:pPr>
            <w:r>
              <w:rPr>
                <w:rFonts w:ascii="Arial" w:cs="Arial" w:eastAsia="Arial" w:hAnsi="Arial"/>
                <w:sz w:val="18"/>
                <w:szCs w:val="18"/>
                <w:color w:val="auto"/>
              </w:rPr>
              <w:t>25,725,698</w:t>
            </w:r>
          </w:p>
        </w:tc>
        <w:tc>
          <w:tcPr>
            <w:tcW w:w="3060" w:type="dxa"/>
            <w:vAlign w:val="bottom"/>
          </w:tcPr>
          <w:p>
            <w:pPr>
              <w:jc w:val="right"/>
              <w:ind w:right="1030"/>
              <w:spacing w:after="0"/>
              <w:rPr>
                <w:sz w:val="20"/>
                <w:szCs w:val="20"/>
                <w:color w:val="auto"/>
              </w:rPr>
            </w:pPr>
            <w:r>
              <w:rPr>
                <w:rFonts w:ascii="Arial" w:cs="Arial" w:eastAsia="Arial" w:hAnsi="Arial"/>
                <w:sz w:val="18"/>
                <w:szCs w:val="18"/>
                <w:color w:val="auto"/>
              </w:rPr>
              <w:t>4,905,290</w:t>
            </w:r>
          </w:p>
        </w:tc>
        <w:tc>
          <w:tcPr>
            <w:tcW w:w="2620" w:type="dxa"/>
            <w:vAlign w:val="bottom"/>
          </w:tcPr>
          <w:p>
            <w:pPr>
              <w:jc w:val="right"/>
              <w:ind w:right="650"/>
              <w:spacing w:after="0"/>
              <w:rPr>
                <w:sz w:val="20"/>
                <w:szCs w:val="20"/>
                <w:color w:val="auto"/>
              </w:rPr>
            </w:pPr>
            <w:r>
              <w:rPr>
                <w:rFonts w:ascii="Arial" w:cs="Arial" w:eastAsia="Arial" w:hAnsi="Arial"/>
                <w:sz w:val="18"/>
                <w:szCs w:val="18"/>
                <w:color w:val="auto"/>
              </w:rPr>
              <w:t>1,742,099</w:t>
            </w:r>
          </w:p>
        </w:tc>
        <w:tc>
          <w:tcPr>
            <w:tcW w:w="2640" w:type="dxa"/>
            <w:vAlign w:val="bottom"/>
          </w:tcPr>
          <w:p>
            <w:pPr>
              <w:jc w:val="right"/>
              <w:ind w:right="790"/>
              <w:spacing w:after="0"/>
              <w:rPr>
                <w:sz w:val="20"/>
                <w:szCs w:val="20"/>
                <w:color w:val="auto"/>
              </w:rPr>
            </w:pPr>
            <w:r>
              <w:rPr>
                <w:rFonts w:ascii="Arial" w:cs="Arial" w:eastAsia="Arial" w:hAnsi="Arial"/>
                <w:sz w:val="18"/>
                <w:szCs w:val="18"/>
                <w:color w:val="auto"/>
              </w:rPr>
              <w:t>2,249,054</w:t>
            </w:r>
          </w:p>
        </w:tc>
        <w:tc>
          <w:tcPr>
            <w:tcW w:w="0" w:type="dxa"/>
            <w:vAlign w:val="bottom"/>
          </w:tcPr>
          <w:p>
            <w:pPr>
              <w:spacing w:after="0"/>
              <w:rPr>
                <w:sz w:val="1"/>
                <w:szCs w:val="1"/>
                <w:color w:val="auto"/>
              </w:rPr>
            </w:pPr>
          </w:p>
        </w:tc>
      </w:tr>
      <w:tr>
        <w:trPr>
          <w:trHeight w:val="445"/>
        </w:trPr>
        <w:tc>
          <w:tcPr>
            <w:tcW w:w="3100" w:type="dxa"/>
            <w:vAlign w:val="bottom"/>
            <w:gridSpan w:val="2"/>
          </w:tcPr>
          <w:p>
            <w:pPr>
              <w:spacing w:after="0"/>
              <w:rPr>
                <w:sz w:val="20"/>
                <w:szCs w:val="20"/>
                <w:color w:val="auto"/>
              </w:rPr>
            </w:pPr>
            <w:r>
              <w:rPr>
                <w:rFonts w:ascii="Arial" w:cs="Arial" w:eastAsia="Arial" w:hAnsi="Arial"/>
                <w:sz w:val="18"/>
                <w:szCs w:val="18"/>
                <w:color w:val="auto"/>
              </w:rPr>
              <w:t>Proposal 4 was approved.</w:t>
            </w:r>
          </w:p>
        </w:tc>
        <w:tc>
          <w:tcPr>
            <w:tcW w:w="3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Proposal 5: To approve the Company’s 2012 Employee Stock Purchase Plan. The votes were cast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b w:val="1"/>
                <w:bCs w:val="1"/>
                <w:color w:val="auto"/>
                <w:w w:val="96"/>
              </w:rPr>
              <w:t>For</w:t>
            </w:r>
          </w:p>
        </w:tc>
        <w:tc>
          <w:tcPr>
            <w:tcW w:w="1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Against</w:t>
            </w:r>
          </w:p>
        </w:tc>
        <w:tc>
          <w:tcPr>
            <w:tcW w:w="26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0"/>
              </w:rPr>
              <w:t>Abstaining</w:t>
            </w:r>
          </w:p>
        </w:tc>
        <w:tc>
          <w:tcPr>
            <w:tcW w:w="26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200" w:type="dxa"/>
            <w:vAlign w:val="bottom"/>
          </w:tcPr>
          <w:p>
            <w:pPr>
              <w:jc w:val="right"/>
              <w:ind w:right="2250"/>
              <w:spacing w:after="0"/>
              <w:rPr>
                <w:sz w:val="20"/>
                <w:szCs w:val="20"/>
                <w:color w:val="auto"/>
              </w:rPr>
            </w:pPr>
            <w:r>
              <w:rPr>
                <w:rFonts w:ascii="Arial" w:cs="Arial" w:eastAsia="Arial" w:hAnsi="Arial"/>
                <w:sz w:val="18"/>
                <w:szCs w:val="18"/>
                <w:color w:val="auto"/>
              </w:rPr>
              <w:t>30,501,748</w:t>
            </w:r>
          </w:p>
        </w:tc>
        <w:tc>
          <w:tcPr>
            <w:tcW w:w="1900" w:type="dxa"/>
            <w:vAlign w:val="bottom"/>
          </w:tcPr>
          <w:p>
            <w:pPr>
              <w:ind w:left="180"/>
              <w:spacing w:after="0"/>
              <w:rPr>
                <w:sz w:val="20"/>
                <w:szCs w:val="20"/>
                <w:color w:val="auto"/>
              </w:rPr>
            </w:pPr>
            <w:r>
              <w:rPr>
                <w:rFonts w:ascii="Arial" w:cs="Arial" w:eastAsia="Arial" w:hAnsi="Arial"/>
                <w:sz w:val="18"/>
                <w:szCs w:val="18"/>
                <w:color w:val="auto"/>
              </w:rPr>
              <w:t>128,266</w:t>
            </w:r>
          </w:p>
        </w:tc>
        <w:tc>
          <w:tcPr>
            <w:tcW w:w="2660" w:type="dxa"/>
            <w:vAlign w:val="bottom"/>
          </w:tcPr>
          <w:p>
            <w:pPr>
              <w:jc w:val="right"/>
              <w:ind w:right="650"/>
              <w:spacing w:after="0"/>
              <w:rPr>
                <w:sz w:val="20"/>
                <w:szCs w:val="20"/>
                <w:color w:val="auto"/>
              </w:rPr>
            </w:pPr>
            <w:r>
              <w:rPr>
                <w:rFonts w:ascii="Arial" w:cs="Arial" w:eastAsia="Arial" w:hAnsi="Arial"/>
                <w:sz w:val="18"/>
                <w:szCs w:val="18"/>
                <w:color w:val="auto"/>
              </w:rPr>
              <w:t>1,743,073</w:t>
            </w:r>
          </w:p>
        </w:tc>
        <w:tc>
          <w:tcPr>
            <w:tcW w:w="2640" w:type="dxa"/>
            <w:vAlign w:val="bottom"/>
          </w:tcPr>
          <w:p>
            <w:pPr>
              <w:jc w:val="right"/>
              <w:ind w:right="790"/>
              <w:spacing w:after="0"/>
              <w:rPr>
                <w:sz w:val="20"/>
                <w:szCs w:val="20"/>
                <w:color w:val="auto"/>
              </w:rPr>
            </w:pPr>
            <w:r>
              <w:rPr>
                <w:rFonts w:ascii="Arial" w:cs="Arial" w:eastAsia="Arial" w:hAnsi="Arial"/>
                <w:sz w:val="18"/>
                <w:szCs w:val="18"/>
                <w:color w:val="auto"/>
              </w:rPr>
              <w:t>2,249,054</w:t>
            </w:r>
          </w:p>
        </w:tc>
        <w:tc>
          <w:tcPr>
            <w:tcW w:w="0" w:type="dxa"/>
            <w:vAlign w:val="bottom"/>
          </w:tcPr>
          <w:p>
            <w:pPr>
              <w:spacing w:after="0"/>
              <w:rPr>
                <w:sz w:val="1"/>
                <w:szCs w:val="1"/>
                <w:color w:val="auto"/>
              </w:rPr>
            </w:pPr>
          </w:p>
        </w:tc>
      </w:tr>
      <w:tr>
        <w:trPr>
          <w:trHeight w:val="445"/>
        </w:trPr>
        <w:tc>
          <w:tcPr>
            <w:tcW w:w="4220" w:type="dxa"/>
            <w:vAlign w:val="bottom"/>
            <w:gridSpan w:val="2"/>
          </w:tcPr>
          <w:p>
            <w:pPr>
              <w:spacing w:after="0"/>
              <w:rPr>
                <w:sz w:val="20"/>
                <w:szCs w:val="20"/>
                <w:color w:val="auto"/>
              </w:rPr>
            </w:pPr>
            <w:r>
              <w:rPr>
                <w:rFonts w:ascii="Arial" w:cs="Arial" w:eastAsia="Arial" w:hAnsi="Arial"/>
                <w:sz w:val="18"/>
                <w:szCs w:val="18"/>
                <w:color w:val="auto"/>
              </w:rPr>
              <w:t>Proposal 5 was approved.</w:t>
            </w:r>
          </w:p>
        </w:tc>
        <w:tc>
          <w:tcPr>
            <w:tcW w:w="19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20" w:type="dxa"/>
            <w:vAlign w:val="bottom"/>
            <w:gridSpan w:val="2"/>
          </w:tcPr>
          <w:p>
            <w:pPr>
              <w:spacing w:after="0"/>
              <w:rPr>
                <w:sz w:val="20"/>
                <w:szCs w:val="20"/>
                <w:color w:val="auto"/>
              </w:rPr>
            </w:pPr>
            <w:r>
              <w:rPr>
                <w:rFonts w:ascii="Arial" w:cs="Arial" w:eastAsia="Arial" w:hAnsi="Arial"/>
                <w:sz w:val="18"/>
                <w:szCs w:val="18"/>
                <w:color w:val="auto"/>
                <w:w w:val="94"/>
              </w:rPr>
              <w:t>No other matters were submitted for stockholder action.</w:t>
            </w:r>
          </w:p>
        </w:tc>
        <w:tc>
          <w:tcPr>
            <w:tcW w:w="19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20"/>
          </w:cols>
          <w:pgMar w:left="240" w:top="756"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Date: May 22, 2012</w:t>
            </w:r>
          </w:p>
        </w:tc>
        <w:tc>
          <w:tcPr>
            <w:tcW w:w="7780" w:type="dxa"/>
            <w:vAlign w:val="bottom"/>
            <w:gridSpan w:val="3"/>
          </w:tcPr>
          <w:p>
            <w:pPr>
              <w:ind w:left="2140"/>
              <w:spacing w:after="0"/>
              <w:rPr>
                <w:sz w:val="20"/>
                <w:szCs w:val="20"/>
                <w:color w:val="auto"/>
              </w:rPr>
            </w:pPr>
            <w:r>
              <w:rPr>
                <w:rFonts w:ascii="Arial" w:cs="Arial" w:eastAsia="Arial" w:hAnsi="Arial"/>
                <w:sz w:val="18"/>
                <w:szCs w:val="18"/>
                <w:color w:val="auto"/>
              </w:rPr>
              <w:t>EMERGENT BIOSOLUTIONS INC.</w:t>
            </w:r>
          </w:p>
        </w:tc>
      </w:tr>
      <w:tr>
        <w:trPr>
          <w:trHeight w:val="190"/>
        </w:trPr>
        <w:tc>
          <w:tcPr>
            <w:tcW w:w="3640" w:type="dxa"/>
            <w:vAlign w:val="bottom"/>
          </w:tcPr>
          <w:p>
            <w:pPr>
              <w:spacing w:after="0"/>
              <w:rPr>
                <w:sz w:val="16"/>
                <w:szCs w:val="16"/>
                <w:color w:val="auto"/>
              </w:rPr>
            </w:pPr>
          </w:p>
        </w:tc>
        <w:tc>
          <w:tcPr>
            <w:tcW w:w="7780" w:type="dxa"/>
            <w:vAlign w:val="bottom"/>
            <w:gridSpan w:val="3"/>
          </w:tcPr>
          <w:p>
            <w:pPr>
              <w:ind w:left="2460"/>
              <w:spacing w:after="0" w:line="190" w:lineRule="exact"/>
              <w:rPr>
                <w:sz w:val="20"/>
                <w:szCs w:val="20"/>
                <w:color w:val="auto"/>
              </w:rPr>
            </w:pPr>
            <w:r>
              <w:rPr>
                <w:rFonts w:ascii="Arial" w:cs="Arial" w:eastAsia="Arial" w:hAnsi="Arial"/>
                <w:sz w:val="18"/>
                <w:szCs w:val="18"/>
                <w:color w:val="auto"/>
              </w:rPr>
              <w:t>By:/s/R. Don Elsey</w:t>
            </w:r>
          </w:p>
        </w:tc>
      </w:tr>
      <w:tr>
        <w:trPr>
          <w:trHeight w:val="222"/>
        </w:trPr>
        <w:tc>
          <w:tcPr>
            <w:tcW w:w="36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Don Elsey</w:t>
            </w:r>
          </w:p>
        </w:tc>
        <w:tc>
          <w:tcPr>
            <w:tcW w:w="3920" w:type="dxa"/>
            <w:vAlign w:val="bottom"/>
          </w:tcPr>
          <w:p>
            <w:pPr>
              <w:spacing w:after="0"/>
              <w:rPr>
                <w:sz w:val="19"/>
                <w:szCs w:val="19"/>
                <w:color w:val="auto"/>
              </w:rPr>
            </w:pPr>
          </w:p>
        </w:tc>
      </w:tr>
      <w:tr>
        <w:trPr>
          <w:trHeight w:val="230"/>
        </w:trPr>
        <w:tc>
          <w:tcPr>
            <w:tcW w:w="3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1361"/>
        </w:trPr>
        <w:tc>
          <w:tcPr>
            <w:tcW w:w="364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2019-12-09T19:04:16Z</dcterms:created>
  <dcterms:modified xsi:type="dcterms:W3CDTF">2019-12-09T19:04:16Z</dcterms:modified>
</cp:coreProperties>
</file>