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76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765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SULLIVAN LOUIS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400 PROFESSIONAL DR,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05/07/2019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GAITHERSBURG MD</w:t>
            </w:r>
          </w:p>
        </w:tc>
        <w:tc>
          <w:tcPr>
            <w:tcW w:w="1680" w:type="dxa"/>
            <w:vAlign w:val="bottom"/>
          </w:tcPr>
          <w:p>
            <w:pPr>
              <w:jc w:val="right"/>
              <w:ind w:right="662"/>
              <w:spacing w:after="0"/>
              <w:rPr>
                <w:sz w:val="20"/>
                <w:szCs w:val="20"/>
                <w:color w:val="auto"/>
              </w:rPr>
            </w:pPr>
            <w:r>
              <w:rPr>
                <w:rFonts w:ascii="Arial" w:cs="Arial" w:eastAsia="Arial" w:hAnsi="Arial"/>
                <w:sz w:val="18"/>
                <w:szCs w:val="18"/>
                <w:color w:val="0000FF"/>
              </w:rPr>
              <w:t>20879</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ind w:left="820"/>
              <w:spacing w:after="0"/>
              <w:rPr>
                <w:sz w:val="20"/>
                <w:szCs w:val="20"/>
                <w:color w:val="auto"/>
              </w:rPr>
            </w:pPr>
            <w:r>
              <w:rPr>
                <w:rFonts w:ascii="Arial" w:cs="Arial" w:eastAsia="Arial" w:hAnsi="Arial"/>
                <w:sz w:val="18"/>
                <w:szCs w:val="18"/>
                <w:color w:val="0000FF"/>
              </w:rPr>
              <w:t>05/07/2019</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57"/>
              <w:spacing w:after="0"/>
              <w:rPr>
                <w:sz w:val="20"/>
                <w:szCs w:val="20"/>
                <w:color w:val="auto"/>
              </w:rPr>
            </w:pPr>
            <w:r>
              <w:rPr>
                <w:rFonts w:ascii="Arial" w:cs="Arial" w:eastAsia="Arial" w:hAnsi="Arial"/>
                <w:sz w:val="14"/>
                <w:szCs w:val="14"/>
                <w:color w:val="0000FF"/>
              </w:rPr>
              <w:t>M</w:t>
            </w: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0000FF"/>
              </w:rPr>
              <w:t>7,893</w:t>
            </w:r>
          </w:p>
        </w:tc>
        <w:tc>
          <w:tcPr>
            <w:tcW w:w="80" w:type="dxa"/>
            <w:vAlign w:val="bottom"/>
          </w:tcPr>
          <w:p>
            <w:pPr>
              <w:spacing w:after="0"/>
              <w:rPr>
                <w:sz w:val="23"/>
                <w:szCs w:val="23"/>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0000FF"/>
              </w:rPr>
              <w:t>A</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13.37</w:t>
            </w: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56,865</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05/07/2019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7"/>
              <w:spacing w:after="0"/>
              <w:rPr>
                <w:sz w:val="20"/>
                <w:szCs w:val="20"/>
                <w:color w:val="auto"/>
              </w:rPr>
            </w:pPr>
            <w:r>
              <w:rPr>
                <w:rFonts w:ascii="Arial" w:cs="Arial" w:eastAsia="Arial" w:hAnsi="Arial"/>
                <w:sz w:val="14"/>
                <w:szCs w:val="14"/>
                <w:color w:val="0000FF"/>
                <w:w w:val="92"/>
              </w:rPr>
              <w:t>F</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rPr>
              <w:t>2,135</w:t>
            </w:r>
            <w:r>
              <w:rPr>
                <w:rFonts w:ascii="Arial" w:cs="Arial" w:eastAsia="Arial" w:hAnsi="Arial"/>
                <w:sz w:val="22"/>
                <w:szCs w:val="22"/>
                <w:color w:val="008000"/>
                <w:vertAlign w:val="superscript"/>
              </w:rPr>
              <w:t>(1)</w:t>
            </w: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49.41</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54,730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60" w:type="dxa"/>
            <w:vAlign w:val="bottom"/>
            <w:gridSpan w:val="12"/>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13.37</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05/07/2019</w:t>
            </w:r>
          </w:p>
        </w:tc>
        <w:tc>
          <w:tcPr>
            <w:tcW w:w="1140" w:type="dxa"/>
            <w:vAlign w:val="bottom"/>
          </w:tcPr>
          <w:p>
            <w:pPr>
              <w:spacing w:after="0"/>
              <w:rPr>
                <w:sz w:val="12"/>
                <w:szCs w:val="12"/>
                <w:color w:val="auto"/>
              </w:rPr>
            </w:pPr>
          </w:p>
        </w:tc>
        <w:tc>
          <w:tcPr>
            <w:tcW w:w="64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180" w:type="dxa"/>
            <w:vAlign w:val="bottom"/>
          </w:tcPr>
          <w:p>
            <w:pPr>
              <w:spacing w:after="0"/>
              <w:rPr>
                <w:sz w:val="12"/>
                <w:szCs w:val="12"/>
                <w:color w:val="auto"/>
              </w:rPr>
            </w:pPr>
          </w:p>
        </w:tc>
        <w:tc>
          <w:tcPr>
            <w:tcW w:w="820" w:type="dxa"/>
            <w:vAlign w:val="bottom"/>
            <w:vMerge w:val="restart"/>
          </w:tcPr>
          <w:p>
            <w:pPr>
              <w:ind w:left="400"/>
              <w:spacing w:after="0"/>
              <w:rPr>
                <w:sz w:val="20"/>
                <w:szCs w:val="20"/>
                <w:color w:val="auto"/>
              </w:rPr>
            </w:pPr>
            <w:r>
              <w:rPr>
                <w:rFonts w:ascii="Arial" w:cs="Arial" w:eastAsia="Arial" w:hAnsi="Arial"/>
                <w:sz w:val="14"/>
                <w:szCs w:val="14"/>
                <w:color w:val="0000FF"/>
              </w:rPr>
              <w:t>7,893</w:t>
            </w:r>
          </w:p>
        </w:tc>
        <w:tc>
          <w:tcPr>
            <w:tcW w:w="800" w:type="dxa"/>
            <w:vAlign w:val="bottom"/>
            <w:gridSpan w:val="2"/>
          </w:tcPr>
          <w:p>
            <w:pPr>
              <w:jc w:val="center"/>
              <w:spacing w:after="0"/>
              <w:rPr>
                <w:sz w:val="20"/>
                <w:szCs w:val="20"/>
                <w:color w:val="auto"/>
              </w:rPr>
            </w:pPr>
            <w:r>
              <w:rPr>
                <w:rFonts w:ascii="Arial" w:cs="Arial" w:eastAsia="Arial" w:hAnsi="Arial"/>
                <w:sz w:val="11"/>
                <w:szCs w:val="11"/>
                <w:color w:val="008000"/>
              </w:rPr>
              <w:t>(3)</w:t>
            </w: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color w:val="0000FF"/>
                <w:w w:val="99"/>
              </w:rPr>
              <w:t>05/16/2019</w:t>
            </w:r>
          </w:p>
        </w:tc>
        <w:tc>
          <w:tcPr>
            <w:tcW w:w="660" w:type="dxa"/>
            <w:vAlign w:val="bottom"/>
            <w:gridSpan w:val="2"/>
          </w:tcPr>
          <w:p>
            <w:pPr>
              <w:ind w:left="4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7,893</w:t>
            </w:r>
          </w:p>
        </w:tc>
        <w:tc>
          <w:tcPr>
            <w:tcW w:w="180" w:type="dxa"/>
            <w:vAlign w:val="bottom"/>
          </w:tcPr>
          <w:p>
            <w:pPr>
              <w:spacing w:after="0"/>
              <w:rPr>
                <w:sz w:val="12"/>
                <w:szCs w:val="12"/>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620" w:type="dxa"/>
            <w:vAlign w:val="bottom"/>
            <w:vMerge w:val="restart"/>
          </w:tcPr>
          <w:p>
            <w:pPr>
              <w:ind w:left="400"/>
              <w:spacing w:after="0"/>
              <w:rPr>
                <w:sz w:val="20"/>
                <w:szCs w:val="20"/>
                <w:color w:val="auto"/>
              </w:rPr>
            </w:pPr>
            <w:r>
              <w:rPr>
                <w:rFonts w:ascii="Arial" w:cs="Arial" w:eastAsia="Arial" w:hAnsi="Arial"/>
                <w:sz w:val="14"/>
                <w:szCs w:val="14"/>
                <w:color w:val="0000FF"/>
              </w:rPr>
              <w:t>0</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tcPr>
          <w:p>
            <w:pPr>
              <w:ind w:left="60"/>
              <w:spacing w:after="0" w:line="154" w:lineRule="exact"/>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ind w:left="40"/>
              <w:spacing w:after="0" w:line="154" w:lineRule="exact"/>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r>
        <w:rPr>
          <w:rFonts w:ascii="Arial" w:cs="Arial" w:eastAsia="Arial" w:hAnsi="Arial"/>
          <w:sz w:val="22"/>
          <w:szCs w:val="22"/>
          <w:color w:val="008000"/>
          <w:vertAlign w:val="superscript"/>
        </w:rPr>
        <w:t>(2)</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shares owned by the reporting person and delivered to the issuer to satisfy the reporting person's exercise price for the reported stock option exercise.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options granted under the company's stock incentive plan, as amended and restated.</w:t>
      </w:r>
    </w:p>
    <w:p>
      <w:pPr>
        <w:spacing w:after="0" w:line="41"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vested in three equal installments in May 2013, May 2014 and May 2015. Each option represents the right of the reporting person to receive one share of common stock of Emergent BioSolutions Inc., subject to adjustment as provided by the grant agreement.</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 Scott Lieberman,</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05/09/2019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522"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2019-12-24T08:20:08Z</dcterms:created>
  <dcterms:modified xsi:type="dcterms:W3CDTF">2019-12-24T08:20:08Z</dcterms:modified>
</cp:coreProperties>
</file>