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2680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680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792"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El-Hibri Fuad</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1020"/>
        <w:spacing w:after="0" w:line="342" w:lineRule="auto"/>
        <w:rPr>
          <w:sz w:val="20"/>
          <w:szCs w:val="20"/>
          <w:color w:val="auto"/>
        </w:rPr>
      </w:pPr>
      <w:r>
        <w:rPr>
          <w:rFonts w:ascii="Arial" w:cs="Arial" w:eastAsia="Arial" w:hAnsi="Arial"/>
          <w:sz w:val="17"/>
          <w:szCs w:val="17"/>
          <w:color w:val="0000FF"/>
        </w:rPr>
        <w:t>400 PROFESSIONAL DRIVE,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jc w:val="center"/>
        <w:ind w:right="254"/>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11/09/2015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340" w:type="dxa"/>
            <w:vAlign w:val="bottom"/>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34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2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340" w:type="dxa"/>
            <w:vAlign w:val="bottom"/>
            <w:vMerge w:val="restart"/>
          </w:tcPr>
          <w:p>
            <w:pPr>
              <w:ind w:left="5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306"/>
        <w:spacing w:after="0"/>
        <w:rPr>
          <w:sz w:val="20"/>
          <w:szCs w:val="20"/>
          <w:color w:val="auto"/>
        </w:rPr>
      </w:pPr>
      <w:r>
        <w:rPr>
          <w:rFonts w:ascii="Arial" w:cs="Arial" w:eastAsia="Arial" w:hAnsi="Arial"/>
          <w:sz w:val="17"/>
          <w:szCs w:val="17"/>
          <w:color w:val="0000FF"/>
        </w:rPr>
        <w:t>Chairman</w:t>
      </w:r>
    </w:p>
    <w:p>
      <w:pPr>
        <w:spacing w:after="0" w:line="429" w:lineRule="exact"/>
        <w:rPr>
          <w:sz w:val="24"/>
          <w:szCs w:val="24"/>
          <w:color w:val="auto"/>
        </w:rPr>
      </w:pPr>
    </w:p>
    <w:p>
      <w:pPr>
        <w:sectPr>
          <w:pgSz w:w="11900" w:h="16838" w:orient="portrait"/>
          <w:cols w:equalWidth="0" w:num="3">
            <w:col w:w="3360" w:space="720"/>
            <w:col w:w="3254" w:space="720"/>
            <w:col w:w="3466"/>
          </w:cols>
          <w:pgMar w:left="240" w:top="225" w:right="139" w:bottom="792"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GAITHERSBURG MD</w:t>
            </w:r>
          </w:p>
        </w:tc>
        <w:tc>
          <w:tcPr>
            <w:tcW w:w="1680" w:type="dxa"/>
            <w:vAlign w:val="bottom"/>
          </w:tcPr>
          <w:p>
            <w:pPr>
              <w:jc w:val="right"/>
              <w:ind w:right="683"/>
              <w:spacing w:after="0"/>
              <w:rPr>
                <w:sz w:val="20"/>
                <w:szCs w:val="20"/>
                <w:color w:val="auto"/>
              </w:rPr>
            </w:pPr>
            <w:r>
              <w:rPr>
                <w:rFonts w:ascii="Arial" w:cs="Arial" w:eastAsia="Arial" w:hAnsi="Arial"/>
                <w:sz w:val="17"/>
                <w:szCs w:val="17"/>
                <w:color w:val="0000FF"/>
              </w:rPr>
              <w:t>20879</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jc w:val="right"/>
              <w:ind w:right="88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237" w:lineRule="auto"/>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68" w:lineRule="exact"/>
        <w:rPr>
          <w:sz w:val="24"/>
          <w:szCs w:val="24"/>
          <w:color w:val="auto"/>
        </w:rPr>
      </w:pPr>
    </w:p>
    <w:p>
      <w:pPr>
        <w:sectPr>
          <w:pgSz w:w="11900" w:h="16838" w:orient="portrait"/>
          <w:cols w:equalWidth="0" w:num="2">
            <w:col w:w="3920" w:space="160"/>
            <w:col w:w="7440"/>
          </w:cols>
          <w:pgMar w:left="240" w:top="225" w:right="139" w:bottom="792"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2"/>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2"/>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2"/>
                <w:szCs w:val="22"/>
                <w:color w:val="008000"/>
                <w:vertAlign w:val="superscript"/>
              </w:rPr>
              <w:t>(1)</w:t>
            </w:r>
          </w:p>
        </w:tc>
        <w:tc>
          <w:tcPr>
            <w:tcW w:w="1080" w:type="dxa"/>
            <w:vAlign w:val="bottom"/>
            <w:tcBorders>
              <w:bottom w:val="single" w:sz="8" w:color="2C2C2C"/>
            </w:tcBorders>
          </w:tcPr>
          <w:p>
            <w:pPr>
              <w:spacing w:after="0"/>
              <w:rPr>
                <w:sz w:val="24"/>
                <w:szCs w:val="24"/>
                <w:color w:val="auto"/>
              </w:rPr>
            </w:pPr>
          </w:p>
        </w:tc>
        <w:tc>
          <w:tcPr>
            <w:tcW w:w="1960" w:type="dxa"/>
            <w:vAlign w:val="bottom"/>
            <w:tcBorders>
              <w:bottom w:val="single" w:sz="8" w:color="2C2C2C"/>
            </w:tcBorders>
            <w:gridSpan w:val="2"/>
          </w:tcPr>
          <w:p>
            <w:pPr>
              <w:ind w:left="940"/>
              <w:spacing w:after="0"/>
              <w:rPr>
                <w:sz w:val="20"/>
                <w:szCs w:val="20"/>
                <w:color w:val="auto"/>
              </w:rPr>
            </w:pPr>
            <w:r>
              <w:rPr>
                <w:rFonts w:ascii="Arial" w:cs="Arial" w:eastAsia="Arial" w:hAnsi="Arial"/>
                <w:sz w:val="17"/>
                <w:szCs w:val="17"/>
                <w:color w:val="0000FF"/>
              </w:rPr>
              <w:t>11/09/2015</w:t>
            </w:r>
          </w:p>
        </w:tc>
        <w:tc>
          <w:tcPr>
            <w:tcW w:w="9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9"/>
              <w:spacing w:after="0"/>
              <w:rPr>
                <w:sz w:val="20"/>
                <w:szCs w:val="20"/>
                <w:color w:val="auto"/>
              </w:rPr>
            </w:pPr>
            <w:r>
              <w:rPr>
                <w:rFonts w:ascii="Arial" w:cs="Arial" w:eastAsia="Arial" w:hAnsi="Arial"/>
                <w:sz w:val="26"/>
                <w:szCs w:val="26"/>
                <w:color w:val="0000FF"/>
                <w:w w:val="85"/>
                <w:vertAlign w:val="subscript"/>
              </w:rPr>
              <w:t>M</w:t>
            </w:r>
            <w:r>
              <w:rPr>
                <w:rFonts w:ascii="Arial" w:cs="Arial" w:eastAsia="Arial" w:hAnsi="Arial"/>
                <w:sz w:val="11"/>
                <w:szCs w:val="11"/>
                <w:color w:val="008000"/>
                <w:w w:val="85"/>
              </w:rPr>
              <w:t>(2)</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6"/>
              </w:rPr>
              <w:t>20,000</w:t>
            </w:r>
          </w:p>
        </w:tc>
        <w:tc>
          <w:tcPr>
            <w:tcW w:w="58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18.9</w:t>
            </w:r>
          </w:p>
        </w:tc>
        <w:tc>
          <w:tcPr>
            <w:tcW w:w="13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1,848,493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60" w:type="dxa"/>
            <w:vAlign w:val="bottom"/>
            <w:gridSpan w:val="2"/>
          </w:tcPr>
          <w:p>
            <w:pPr>
              <w:ind w:left="940"/>
              <w:spacing w:after="0"/>
              <w:rPr>
                <w:sz w:val="20"/>
                <w:szCs w:val="20"/>
                <w:color w:val="auto"/>
              </w:rPr>
            </w:pPr>
            <w:r>
              <w:rPr>
                <w:rFonts w:ascii="Arial" w:cs="Arial" w:eastAsia="Arial" w:hAnsi="Arial"/>
                <w:sz w:val="17"/>
                <w:szCs w:val="17"/>
                <w:color w:val="0000FF"/>
              </w:rPr>
              <w:t>11/09/2015</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9"/>
              <w:spacing w:after="0"/>
              <w:rPr>
                <w:sz w:val="20"/>
                <w:szCs w:val="20"/>
                <w:color w:val="auto"/>
              </w:rPr>
            </w:pPr>
            <w:r>
              <w:rPr>
                <w:rFonts w:ascii="Arial" w:cs="Arial" w:eastAsia="Arial" w:hAnsi="Arial"/>
                <w:sz w:val="13"/>
                <w:szCs w:val="13"/>
                <w:color w:val="0000FF"/>
                <w:w w:val="91"/>
              </w:rPr>
              <w:t>S</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13,225</w:t>
            </w:r>
          </w:p>
        </w:tc>
        <w:tc>
          <w:tcPr>
            <w:tcW w:w="580" w:type="dxa"/>
            <w:vAlign w:val="bottom"/>
          </w:tcPr>
          <w:p>
            <w:pPr>
              <w:ind w:left="340"/>
              <w:spacing w:after="0"/>
              <w:rPr>
                <w:sz w:val="20"/>
                <w:szCs w:val="20"/>
                <w:color w:val="auto"/>
              </w:rPr>
            </w:pPr>
            <w:r>
              <w:rPr>
                <w:rFonts w:ascii="Arial" w:cs="Arial" w:eastAsia="Arial" w:hAnsi="Arial"/>
                <w:sz w:val="17"/>
                <w:szCs w:val="17"/>
                <w:color w:val="0000FF"/>
              </w:rPr>
              <w:t>D</w:t>
            </w:r>
          </w:p>
        </w:tc>
        <w:tc>
          <w:tcPr>
            <w:tcW w:w="600" w:type="dxa"/>
            <w:vAlign w:val="bottom"/>
            <w:gridSpan w:val="2"/>
          </w:tcPr>
          <w:p>
            <w:pPr>
              <w:ind w:left="20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35.5</w:t>
            </w:r>
          </w:p>
        </w:tc>
        <w:tc>
          <w:tcPr>
            <w:tcW w:w="1360" w:type="dxa"/>
            <w:vAlign w:val="bottom"/>
            <w:gridSpan w:val="3"/>
          </w:tcPr>
          <w:p>
            <w:pPr>
              <w:jc w:val="center"/>
              <w:spacing w:after="0"/>
              <w:rPr>
                <w:sz w:val="20"/>
                <w:szCs w:val="20"/>
                <w:color w:val="auto"/>
              </w:rPr>
            </w:pPr>
            <w:r>
              <w:rPr>
                <w:rFonts w:ascii="Arial" w:cs="Arial" w:eastAsia="Arial" w:hAnsi="Arial"/>
                <w:sz w:val="17"/>
                <w:szCs w:val="17"/>
                <w:color w:val="0000FF"/>
                <w:w w:val="92"/>
              </w:rPr>
              <w:t>1,835,268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7"/>
              </w:rPr>
              <w:t>2,350,331</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Intervac,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gridSpan w:val="3"/>
          </w:tcPr>
          <w:p>
            <w:pPr>
              <w:jc w:val="center"/>
              <w:spacing w:after="0" w:line="214" w:lineRule="exact"/>
              <w:rPr>
                <w:sz w:val="20"/>
                <w:szCs w:val="20"/>
                <w:color w:val="auto"/>
              </w:rPr>
            </w:pPr>
            <w:r>
              <w:rPr>
                <w:rFonts w:ascii="Arial" w:cs="Arial" w:eastAsia="Arial" w:hAnsi="Arial"/>
                <w:sz w:val="17"/>
                <w:szCs w:val="17"/>
                <w:color w:val="0000FF"/>
                <w:w w:val="87"/>
              </w:rPr>
              <w:t>1,524,155</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Biovac,</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L.L.C.</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4"/>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11"/>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20,000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ind w:left="60"/>
              <w:spacing w:after="0" w:line="132" w:lineRule="exact"/>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18.9</w:t>
            </w:r>
          </w:p>
        </w:tc>
        <w:tc>
          <w:tcPr>
            <w:tcW w:w="1080" w:type="dxa"/>
            <w:vAlign w:val="bottom"/>
          </w:tcPr>
          <w:p>
            <w:pPr>
              <w:jc w:val="right"/>
              <w:ind w:right="138"/>
              <w:spacing w:after="0" w:line="132" w:lineRule="exact"/>
              <w:rPr>
                <w:sz w:val="20"/>
                <w:szCs w:val="20"/>
                <w:color w:val="auto"/>
              </w:rPr>
            </w:pPr>
            <w:r>
              <w:rPr>
                <w:rFonts w:ascii="Arial" w:cs="Arial" w:eastAsia="Arial" w:hAnsi="Arial"/>
                <w:sz w:val="13"/>
                <w:szCs w:val="13"/>
                <w:color w:val="0000FF"/>
              </w:rPr>
              <w:t>11/09/2015</w:t>
            </w:r>
          </w:p>
        </w:tc>
        <w:tc>
          <w:tcPr>
            <w:tcW w:w="1180" w:type="dxa"/>
            <w:vAlign w:val="bottom"/>
          </w:tcPr>
          <w:p>
            <w:pPr>
              <w:spacing w:after="0"/>
              <w:rPr>
                <w:sz w:val="11"/>
                <w:szCs w:val="11"/>
                <w:color w:val="auto"/>
              </w:rPr>
            </w:pPr>
          </w:p>
        </w:tc>
        <w:tc>
          <w:tcPr>
            <w:tcW w:w="780" w:type="dxa"/>
            <w:vAlign w:val="bottom"/>
          </w:tcPr>
          <w:p>
            <w:pPr>
              <w:ind w:left="160"/>
              <w:spacing w:after="0" w:line="132" w:lineRule="exact"/>
              <w:rPr>
                <w:sz w:val="20"/>
                <w:szCs w:val="20"/>
                <w:color w:val="auto"/>
              </w:rPr>
            </w:pPr>
            <w:r>
              <w:rPr>
                <w:rFonts w:ascii="Arial" w:cs="Arial" w:eastAsia="Arial" w:hAnsi="Arial"/>
                <w:sz w:val="13"/>
                <w:szCs w:val="13"/>
                <w:color w:val="0000FF"/>
              </w:rPr>
              <w:t>M</w:t>
            </w:r>
          </w:p>
        </w:tc>
        <w:tc>
          <w:tcPr>
            <w:tcW w:w="940" w:type="dxa"/>
            <w:vAlign w:val="bottom"/>
          </w:tcPr>
          <w:p>
            <w:pPr>
              <w:ind w:left="440"/>
              <w:spacing w:after="0" w:line="132" w:lineRule="exact"/>
              <w:rPr>
                <w:sz w:val="20"/>
                <w:szCs w:val="20"/>
                <w:color w:val="auto"/>
              </w:rPr>
            </w:pPr>
            <w:r>
              <w:rPr>
                <w:rFonts w:ascii="Arial" w:cs="Arial" w:eastAsia="Arial" w:hAnsi="Arial"/>
                <w:sz w:val="13"/>
                <w:szCs w:val="13"/>
                <w:color w:val="0000FF"/>
              </w:rPr>
              <w:t>20,000</w:t>
            </w:r>
          </w:p>
        </w:tc>
        <w:tc>
          <w:tcPr>
            <w:tcW w:w="780" w:type="dxa"/>
            <w:vAlign w:val="bottom"/>
            <w:gridSpan w:val="2"/>
            <w:vMerge w:val="continue"/>
          </w:tcPr>
          <w:p>
            <w:pPr>
              <w:spacing w:after="0"/>
              <w:rPr>
                <w:sz w:val="11"/>
                <w:szCs w:val="11"/>
                <w:color w:val="auto"/>
              </w:rPr>
            </w:pPr>
          </w:p>
        </w:tc>
        <w:tc>
          <w:tcPr>
            <w:tcW w:w="740" w:type="dxa"/>
            <w:vAlign w:val="bottom"/>
            <w:gridSpan w:val="2"/>
          </w:tcPr>
          <w:p>
            <w:pPr>
              <w:ind w:left="60"/>
              <w:spacing w:after="0" w:line="132" w:lineRule="exact"/>
              <w:rPr>
                <w:sz w:val="20"/>
                <w:szCs w:val="20"/>
                <w:color w:val="auto"/>
              </w:rPr>
            </w:pPr>
            <w:r>
              <w:rPr>
                <w:rFonts w:ascii="Arial" w:cs="Arial" w:eastAsia="Arial" w:hAnsi="Arial"/>
                <w:sz w:val="13"/>
                <w:szCs w:val="13"/>
                <w:color w:val="0000FF"/>
              </w:rPr>
              <w:t>03/09/2016</w:t>
            </w:r>
          </w:p>
        </w:tc>
        <w:tc>
          <w:tcPr>
            <w:tcW w:w="7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160"/>
              <w:spacing w:after="0" w:line="13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20" w:type="dxa"/>
            <w:vAlign w:val="bottom"/>
          </w:tcPr>
          <w:p>
            <w:pPr>
              <w:ind w:left="240"/>
              <w:spacing w:after="0" w:line="132" w:lineRule="exact"/>
              <w:rPr>
                <w:sz w:val="20"/>
                <w:szCs w:val="20"/>
                <w:color w:val="auto"/>
              </w:rPr>
            </w:pPr>
            <w:r>
              <w:rPr>
                <w:rFonts w:ascii="Arial" w:cs="Arial" w:eastAsia="Arial" w:hAnsi="Arial"/>
                <w:sz w:val="13"/>
                <w:szCs w:val="13"/>
                <w:color w:val="0000FF"/>
                <w:w w:val="90"/>
              </w:rPr>
              <w:t>47,900</w:t>
            </w:r>
          </w:p>
        </w:tc>
        <w:tc>
          <w:tcPr>
            <w:tcW w:w="280" w:type="dxa"/>
            <w:vAlign w:val="bottom"/>
          </w:tcPr>
          <w:p>
            <w:pPr>
              <w:spacing w:after="0"/>
              <w:rPr>
                <w:sz w:val="11"/>
                <w:szCs w:val="11"/>
                <w:color w:val="auto"/>
              </w:rPr>
            </w:pPr>
          </w:p>
        </w:tc>
        <w:tc>
          <w:tcPr>
            <w:tcW w:w="700" w:type="dxa"/>
            <w:vAlign w:val="bottom"/>
          </w:tcPr>
          <w:p>
            <w:pPr>
              <w:ind w:left="340"/>
              <w:spacing w:after="0" w:line="13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an option granted under the company's stock incentive plan on March 10, 2009.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All sales listed on this Form 4 were made by the Reporting Person pursuant to a plan adopted on May 11, 2015 that is intended to comply with Rule 10b5-1(c) under the Exchange Act.</w:t>
      </w:r>
    </w:p>
    <w:p>
      <w:pPr>
        <w:spacing w:after="0" w:line="51" w:lineRule="exact"/>
        <w:rPr>
          <w:rFonts w:ascii="Arial" w:cs="Arial" w:eastAsia="Arial" w:hAnsi="Arial"/>
          <w:sz w:val="13"/>
          <w:szCs w:val="13"/>
          <w:color w:val="008000"/>
        </w:rPr>
      </w:pPr>
    </w:p>
    <w:p>
      <w:pPr>
        <w:ind w:left="40" w:right="14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El-Hibri's holdings through Intervac, L.L.C. include 1,638,403 shares of Common Stock held by Mr. El-Hibri and his wife, as tenants by the entirety, through their 37.7% equity interest in Intervac, L.L.C.; 127,721 shares held by Mr. El-Hibri's wife; and 584,207 shares held by trusts indirectly controlled by Mr. El-Hibri or his wife. Mr. El-Hibri disclaims beneficial ownership, for purposes of Section 16 of the Exchange Act or otherwise, of those shares held solely by his wife and those shares held by the trusts.</w:t>
      </w:r>
    </w:p>
    <w:p>
      <w:pPr>
        <w:spacing w:after="0" w:line="21" w:lineRule="exact"/>
        <w:rPr>
          <w:rFonts w:ascii="Arial" w:cs="Arial" w:eastAsia="Arial" w:hAnsi="Arial"/>
          <w:sz w:val="13"/>
          <w:szCs w:val="13"/>
          <w:color w:val="008000"/>
        </w:rPr>
      </w:pPr>
    </w:p>
    <w:p>
      <w:pPr>
        <w:ind w:left="40" w:right="20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Mr. El-Hibri holds individually and with his wife, as tenants by the entirety, an aggregate 89.2% equity interest in Biovac, L.L.C. Biovac, L.L.C. is the direct owner of 1,524,155 shares of Common Stock. Mr. El-Hibri disclaims beneficial ownership of the shares of Common Stock directly owned by Biovac, L.L.C. for purposes of Section 16, except to the extent of his pecuniary interest in 1,359,546 shares.</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installments on March 9, 2010, March 9, 2011 and March 9, 2012.</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32" w:lineRule="auto"/>
        <w:rPr>
          <w:sz w:val="20"/>
          <w:szCs w:val="20"/>
          <w:color w:val="auto"/>
        </w:rPr>
      </w:pPr>
      <w:r>
        <w:rPr>
          <w:rFonts w:ascii="Arial" w:cs="Arial" w:eastAsia="Arial" w:hAnsi="Arial"/>
          <w:sz w:val="17"/>
          <w:szCs w:val="17"/>
          <w:color w:val="0000FF"/>
        </w:rPr>
        <w:t xml:space="preserve">/s/ Carl A. Valenstein, attorney- </w:t>
      </w:r>
      <w:r>
        <w:rPr>
          <w:rFonts w:ascii="Arial" w:cs="Arial" w:eastAsia="Arial" w:hAnsi="Arial"/>
          <w:sz w:val="34"/>
          <w:szCs w:val="34"/>
          <w:color w:val="0000FF"/>
          <w:vertAlign w:val="subscript"/>
        </w:rPr>
        <w:t>11/10/2015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-27940</wp:posOffset>
            </wp:positionV>
            <wp:extent cx="1402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208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-16510</wp:posOffset>
            </wp:positionV>
            <wp:extent cx="288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8925" cy="8255"/>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-84455</wp:posOffset>
            </wp:positionV>
            <wp:extent cx="500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0380" cy="8255"/>
                    </a:xfrm>
                    <a:prstGeom prst="rect">
                      <a:avLst/>
                    </a:prstGeom>
                    <a:noFill/>
                  </pic:spPr>
                </pic:pic>
              </a:graphicData>
            </a:graphic>
          </wp:anchor>
        </w:drawing>
      </w:r>
    </w:p>
    <w:p>
      <w:pPr>
        <w:spacing w:after="0" w:line="4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79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80185" TargetMode="External"/><Relationship Id="rId13"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2019-12-08T17:00:37Z</dcterms:created>
  <dcterms:modified xsi:type="dcterms:W3CDTF">2019-12-08T17:00:37Z</dcterms:modified>
</cp:coreProperties>
</file>