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-607695</wp:posOffset>
            </wp:positionV>
            <wp:extent cx="825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-615315</wp:posOffset>
            </wp:positionV>
            <wp:extent cx="8255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-591185</wp:posOffset>
            </wp:positionV>
            <wp:extent cx="1265555" cy="56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28575</wp:posOffset>
            </wp:positionV>
            <wp:extent cx="6967855" cy="1618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Sean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400 PROFESSIONAL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02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2" w:right="620" w:firstLine="2"/>
        <w:spacing w:after="0" w:line="23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Manufacturing &amp; Tech Ops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151765</wp:posOffset>
            </wp:positionV>
            <wp:extent cx="6967855" cy="1947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94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7,293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7,293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3,135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30.86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Options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38,805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(Right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Employee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7,293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7,293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Options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31,512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(Right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-2767965</wp:posOffset>
            </wp:positionV>
            <wp:extent cx="7033260" cy="2809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0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Mr. Kirk.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on the day prior to the first anniversary of the date of grant, assuming continued service with the company.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S. Scott Lieberman,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8426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2020-04-08T19:21:01Z</dcterms:created>
  <dcterms:modified xsi:type="dcterms:W3CDTF">2020-04-08T19:21:01Z</dcterms:modified>
</cp:coreProperties>
</file>