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El-Hibri Fuad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2273 RESEARCH BLVD.,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08/26/2014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303"/>
        <w:spacing w:after="0"/>
        <w:rPr>
          <w:sz w:val="20"/>
          <w:szCs w:val="20"/>
          <w:color w:val="auto"/>
        </w:rPr>
      </w:pPr>
      <w:r>
        <w:rPr>
          <w:rFonts w:ascii="Arial" w:cs="Arial" w:eastAsia="Arial" w:hAnsi="Arial"/>
          <w:sz w:val="18"/>
          <w:szCs w:val="18"/>
          <w:color w:val="0000FF"/>
        </w:rPr>
        <w:t>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2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900" w:type="dxa"/>
            <w:vAlign w:val="bottom"/>
            <w:gridSpan w:val="8"/>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900" w:type="dxa"/>
            <w:vAlign w:val="bottom"/>
            <w:gridSpan w:val="8"/>
            <w:vMerge w:val="continue"/>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ROCKVILLE</w:t>
            </w:r>
          </w:p>
        </w:tc>
        <w:tc>
          <w:tcPr>
            <w:tcW w:w="1300" w:type="dxa"/>
            <w:vAlign w:val="bottom"/>
            <w:gridSpan w:val="2"/>
          </w:tcPr>
          <w:p>
            <w:pPr>
              <w:ind w:left="40"/>
              <w:spacing w:after="0"/>
              <w:rPr>
                <w:sz w:val="20"/>
                <w:szCs w:val="20"/>
                <w:color w:val="auto"/>
              </w:rPr>
            </w:pPr>
            <w:r>
              <w:rPr>
                <w:rFonts w:ascii="Arial" w:cs="Arial" w:eastAsia="Arial" w:hAnsi="Arial"/>
                <w:sz w:val="18"/>
                <w:szCs w:val="18"/>
                <w:color w:val="0000FF"/>
              </w:rPr>
              <w:t>MD</w:t>
            </w:r>
          </w:p>
        </w:tc>
        <w:tc>
          <w:tcPr>
            <w:tcW w:w="1260" w:type="dxa"/>
            <w:vAlign w:val="bottom"/>
          </w:tcPr>
          <w:p>
            <w:pPr>
              <w:spacing w:after="0"/>
              <w:rPr>
                <w:sz w:val="20"/>
                <w:szCs w:val="20"/>
                <w:color w:val="auto"/>
              </w:rPr>
            </w:pPr>
            <w:r>
              <w:rPr>
                <w:rFonts w:ascii="Arial" w:cs="Arial" w:eastAsia="Arial" w:hAnsi="Arial"/>
                <w:sz w:val="18"/>
                <w:szCs w:val="18"/>
                <w:color w:val="0000FF"/>
              </w:rPr>
              <w:t>20850</w:t>
            </w: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9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2"/>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54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4"/>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4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60"/>
              <w:spacing w:after="0"/>
              <w:rPr>
                <w:sz w:val="20"/>
                <w:szCs w:val="20"/>
                <w:color w:val="auto"/>
              </w:rPr>
            </w:pPr>
            <w:r>
              <w:rPr>
                <w:rFonts w:ascii="Arial" w:cs="Arial" w:eastAsia="Arial" w:hAnsi="Arial"/>
                <w:sz w:val="18"/>
                <w:szCs w:val="18"/>
                <w:color w:val="0000FF"/>
              </w:rPr>
              <w:t>08/26/2014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70,769</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right"/>
              <w:ind w:right="1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25</w:t>
            </w:r>
          </w:p>
        </w:tc>
        <w:tc>
          <w:tcPr>
            <w:tcW w:w="126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2,069,243</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80" w:type="dxa"/>
            <w:vAlign w:val="bottom"/>
            <w:gridSpan w:val="11"/>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in this Form 4 were effected pursuant to a Rule 10b5-1 trading plan adopted by the Reporting Person on March 10, 2014.</w:t>
      </w:r>
    </w:p>
    <w:p>
      <w:pPr>
        <w:spacing w:after="0" w:line="41" w:lineRule="exact"/>
        <w:rPr>
          <w:rFonts w:ascii="Arial" w:cs="Arial" w:eastAsia="Arial" w:hAnsi="Arial"/>
          <w:sz w:val="14"/>
          <w:szCs w:val="14"/>
          <w:color w:val="008000"/>
        </w:rPr>
      </w:pPr>
    </w:p>
    <w:p>
      <w:pPr>
        <w:ind w:left="40" w:right="10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Mr. El-Hibri's direct holdings include restricted stock units granted under the 2nd Amended and Restated Emergent BioSolutions Inc. 2006 Stock Incentive Plan and the Amended and Restated Emergent BioSolutions Inc. 2006 Stock Incentive Plan. Mr. El-Hibri's restricted stock units vest in equal annual installments beginning on the anniversary of the grant date, assuming continued service with the company. Each restricted stock unit represents the right of the reporting person to receive one share of common stock of Emergent BioSolutions Inc., subject to adjustment as provided in the grant agreement.</w:t>
      </w: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Carl A. Valenstein, attorney- </w:t>
      </w:r>
      <w:r>
        <w:rPr>
          <w:rFonts w:ascii="Arial" w:cs="Arial" w:eastAsia="Arial" w:hAnsi="Arial"/>
          <w:sz w:val="35"/>
          <w:szCs w:val="35"/>
          <w:color w:val="0000FF"/>
          <w:vertAlign w:val="subscript"/>
        </w:rPr>
        <w:t>08/26/2014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411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16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290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083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0185"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2019-12-18T04:52:29Z</dcterms:created>
  <dcterms:modified xsi:type="dcterms:W3CDTF">2019-12-18T04:52:29Z</dcterms:modified>
</cp:coreProperties>
</file>