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White Marvin L</w:t>
              </w:r>
            </w:hyperlink>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Emergent BioSolutions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EBS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2273 RESEARCH BLVD</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05/22/2014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SUITE 400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ROCKVILLE</w:t>
            </w:r>
          </w:p>
        </w:tc>
        <w:tc>
          <w:tcPr>
            <w:tcW w:w="1240" w:type="dxa"/>
            <w:vAlign w:val="bottom"/>
            <w:gridSpan w:val="3"/>
          </w:tcPr>
          <w:p>
            <w:pPr>
              <w:spacing w:after="0"/>
              <w:rPr>
                <w:sz w:val="20"/>
                <w:szCs w:val="20"/>
                <w:color w:val="auto"/>
              </w:rPr>
            </w:pPr>
            <w:r>
              <w:rPr>
                <w:rFonts w:ascii="Arial" w:cs="Arial" w:eastAsia="Arial" w:hAnsi="Arial"/>
                <w:sz w:val="18"/>
                <w:szCs w:val="18"/>
                <w:color w:val="0000FF"/>
              </w:rPr>
              <w:t>MD</w:t>
            </w:r>
          </w:p>
        </w:tc>
        <w:tc>
          <w:tcPr>
            <w:tcW w:w="1200" w:type="dxa"/>
            <w:vAlign w:val="bottom"/>
          </w:tcPr>
          <w:p>
            <w:pPr>
              <w:ind w:left="20"/>
              <w:spacing w:after="0"/>
              <w:rPr>
                <w:sz w:val="20"/>
                <w:szCs w:val="20"/>
                <w:color w:val="auto"/>
              </w:rPr>
            </w:pPr>
            <w:r>
              <w:rPr>
                <w:rFonts w:ascii="Arial" w:cs="Arial" w:eastAsia="Arial" w:hAnsi="Arial"/>
                <w:sz w:val="18"/>
                <w:szCs w:val="18"/>
                <w:color w:val="0000FF"/>
              </w:rPr>
              <w:t>20850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8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05/22/2014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4,700</w:t>
            </w:r>
            <w:r>
              <w:rPr>
                <w:rFonts w:ascii="Arial" w:cs="Arial" w:eastAsia="Arial" w:hAnsi="Arial"/>
                <w:sz w:val="22"/>
                <w:szCs w:val="22"/>
                <w:color w:val="008000"/>
                <w:w w:val="82"/>
                <w:vertAlign w:val="superscript"/>
              </w:rPr>
              <w:t>(2)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20,900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9"/>
          </w:tcPr>
          <w:p>
            <w:pPr>
              <w:ind w:left="10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0" w:type="dxa"/>
            <w:vAlign w:val="bottom"/>
            <w:gridSpan w:val="17"/>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Director</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9,400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20.44</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rPr>
              <w:t>05/22/2014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9,400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3"/>
            <w:vMerge w:val="restart"/>
          </w:tcPr>
          <w:p>
            <w:pPr>
              <w:ind w:left="60"/>
              <w:spacing w:after="0" w:line="149" w:lineRule="exact"/>
              <w:rPr>
                <w:sz w:val="20"/>
                <w:szCs w:val="20"/>
                <w:color w:val="auto"/>
              </w:rPr>
            </w:pPr>
            <w:r>
              <w:rPr>
                <w:rFonts w:ascii="Arial" w:cs="Arial" w:eastAsia="Arial" w:hAnsi="Arial"/>
                <w:sz w:val="14"/>
                <w:szCs w:val="14"/>
                <w:color w:val="0000FF"/>
                <w:w w:val="96"/>
              </w:rPr>
              <w:t>05/21/2021</w:t>
            </w:r>
          </w:p>
        </w:tc>
        <w:tc>
          <w:tcPr>
            <w:tcW w:w="68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9,400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 Each restricted stock unit represents the right of the Reporting Person to receive one share of common stock of Emergent BioSolutions Inc., subject to adjustment as provided in the grant agreement.</w:t>
      </w:r>
    </w:p>
    <w:p>
      <w:pPr>
        <w:spacing w:after="0" w:line="30"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will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05/22/2014</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324"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2019-12-17T06:31:14Z</dcterms:created>
  <dcterms:modified xsi:type="dcterms:W3CDTF">2019-12-17T06:31:14Z</dcterms:modified>
</cp:coreProperties>
</file>