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22, 2018</w:t>
      </w:r>
    </w:p>
    <w:p>
      <w:pPr>
        <w:spacing w:after="0" w:line="3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p>
      <w:pPr>
        <w:ind w:left="1320"/>
        <w:spacing w:after="0"/>
        <w:tabs>
          <w:tab w:leader="none" w:pos="5320" w:val="left"/>
          <w:tab w:leader="none" w:pos="91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001-33137</w:t>
      </w:r>
      <w:r>
        <w:rPr>
          <w:sz w:val="20"/>
          <w:szCs w:val="20"/>
          <w:color w:val="auto"/>
        </w:rPr>
        <w:tab/>
      </w:r>
      <w:r>
        <w:rPr>
          <w:rFonts w:ascii="Arial" w:cs="Arial" w:eastAsia="Arial" w:hAnsi="Arial"/>
          <w:sz w:val="16"/>
          <w:szCs w:val="16"/>
          <w:b w:val="1"/>
          <w:bCs w:val="1"/>
          <w:color w:val="auto"/>
        </w:rPr>
        <w:t>14-1902018</w:t>
      </w:r>
    </w:p>
    <w:p>
      <w:pPr>
        <w:spacing w:after="0" w:line="27" w:lineRule="exact"/>
        <w:rPr>
          <w:sz w:val="24"/>
          <w:szCs w:val="24"/>
          <w:color w:val="auto"/>
        </w:rPr>
      </w:pPr>
    </w:p>
    <w:p>
      <w:pPr>
        <w:ind w:left="900"/>
        <w:spacing w:after="0"/>
        <w:tabs>
          <w:tab w:leader="none" w:pos="4720" w:val="left"/>
          <w:tab w:leader="none" w:pos="902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w:t>
      </w:r>
    </w:p>
    <w:p>
      <w:pPr>
        <w:spacing w:after="0" w:line="9" w:lineRule="exact"/>
        <w:rPr>
          <w:sz w:val="24"/>
          <w:szCs w:val="24"/>
          <w:color w:val="auto"/>
        </w:rPr>
      </w:pPr>
    </w:p>
    <w:p>
      <w:pPr>
        <w:ind w:left="1220"/>
        <w:spacing w:after="0"/>
        <w:tabs>
          <w:tab w:leader="none" w:pos="8900" w:val="left"/>
        </w:tabs>
        <w:rPr>
          <w:sz w:val="20"/>
          <w:szCs w:val="20"/>
          <w:color w:val="auto"/>
        </w:rPr>
      </w:pPr>
      <w:r>
        <w:rPr>
          <w:rFonts w:ascii="Arial" w:cs="Arial" w:eastAsia="Arial" w:hAnsi="Arial"/>
          <w:sz w:val="18"/>
          <w:szCs w:val="18"/>
          <w:color w:val="auto"/>
        </w:rPr>
        <w:t>of incorporation)</w:t>
      </w:r>
      <w:r>
        <w:rPr>
          <w:sz w:val="20"/>
          <w:szCs w:val="20"/>
          <w:color w:val="auto"/>
        </w:rPr>
        <w:tab/>
      </w:r>
      <w:r>
        <w:rPr>
          <w:rFonts w:ascii="Arial" w:cs="Arial" w:eastAsia="Arial" w:hAnsi="Arial"/>
          <w:sz w:val="17"/>
          <w:szCs w:val="17"/>
          <w:color w:val="auto"/>
        </w:rPr>
        <w:t>Identification No.)</w:t>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400 Professional Drive, Suite 400,</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Gaithersburg, Maryland 20879</w:t>
      </w: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(240) 631-3200</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2" w:lineRule="exact"/>
        <w:rPr>
          <w:sz w:val="24"/>
          <w:szCs w:val="24"/>
          <w:color w:val="auto"/>
        </w:rPr>
      </w:pPr>
    </w:p>
    <w:p>
      <w:pPr>
        <w:ind w:right="8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5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firstLine="585"/>
        <w:spacing w:after="0" w:line="262" w:lineRule="auto"/>
        <w:rPr>
          <w:sz w:val="20"/>
          <w:szCs w:val="20"/>
          <w:color w:val="auto"/>
        </w:rPr>
      </w:pPr>
      <w:r>
        <w:rPr>
          <w:rFonts w:ascii="Arial" w:cs="Arial" w:eastAsia="Arial" w:hAnsi="Arial"/>
          <w:sz w:val="18"/>
          <w:szCs w:val="18"/>
          <w:color w:val="auto"/>
        </w:rPr>
        <w:t>On February 22, 2018, Emergent announced financial and operating results for the period ended December 31, 2017. The full text of the press release issued in connection with the announcement is attached as Exhibit 99 to this Current Report on Form 8-K.</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4"/>
          <w:szCs w:val="24"/>
          <w:color w:val="auto"/>
        </w:rPr>
      </w:pPr>
    </w:p>
    <w:p>
      <w:pPr>
        <w:ind w:left="860" w:hanging="8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4"/>
          <w:szCs w:val="24"/>
          <w:color w:val="auto"/>
        </w:rPr>
      </w:pPr>
    </w:p>
    <w:p>
      <w:pPr>
        <w:spacing w:after="0"/>
        <w:tabs>
          <w:tab w:leader="none" w:pos="63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ind w:left="2160" w:hanging="1364"/>
        <w:spacing w:after="0"/>
        <w:tabs>
          <w:tab w:leader="none" w:pos="2160" w:val="left"/>
        </w:tabs>
        <w:numPr>
          <w:ilvl w:val="0"/>
          <w:numId w:val="3"/>
        </w:numPr>
        <w:rPr>
          <w:rFonts w:ascii="Arial" w:cs="Arial" w:eastAsia="Arial" w:hAnsi="Arial"/>
          <w:sz w:val="18"/>
          <w:szCs w:val="18"/>
          <w:u w:val="single" w:color="auto"/>
          <w:color w:val="0000EE"/>
        </w:rPr>
      </w:pPr>
      <w:r>
        <w:rPr>
          <w:rFonts w:ascii="Arial" w:cs="Arial" w:eastAsia="Arial" w:hAnsi="Arial"/>
          <w:sz w:val="18"/>
          <w:szCs w:val="18"/>
          <w:color w:val="auto"/>
        </w:rPr>
        <w:t>Press release issued by the company on February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58" w:orient="portrait"/>
          <w:cols w:equalWidth="0" w:num="1">
            <w:col w:w="11380"/>
          </w:cols>
          <w:pgMar w:left="240" w:top="449"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SIGNATURE</w:t>
      </w:r>
    </w:p>
    <w:p>
      <w:pPr>
        <w:sectPr>
          <w:pgSz w:w="11900" w:h="16858" w:orient="portrait"/>
          <w:cols w:equalWidth="0" w:num="1">
            <w:col w:w="11380"/>
          </w:cols>
          <w:pgMar w:left="240" w:top="449" w:right="27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3"/>
          </w:tcPr>
          <w:p>
            <w:pPr>
              <w:ind w:left="2000"/>
              <w:spacing w:after="0"/>
              <w:rPr>
                <w:sz w:val="20"/>
                <w:szCs w:val="20"/>
                <w:color w:val="auto"/>
              </w:rPr>
            </w:pPr>
            <w:r>
              <w:rPr>
                <w:rFonts w:ascii="Arial" w:cs="Arial" w:eastAsia="Arial" w:hAnsi="Arial"/>
                <w:sz w:val="18"/>
                <w:szCs w:val="18"/>
                <w:b w:val="1"/>
                <w:bCs w:val="1"/>
                <w:color w:val="auto"/>
              </w:rPr>
              <w:t>EMERGENT BIOSOLUTIONS INC.</w:t>
            </w:r>
          </w:p>
        </w:tc>
      </w:tr>
      <w:tr>
        <w:trPr>
          <w:trHeight w:val="439"/>
        </w:trPr>
        <w:tc>
          <w:tcPr>
            <w:tcW w:w="3860" w:type="dxa"/>
            <w:vAlign w:val="bottom"/>
          </w:tcPr>
          <w:p>
            <w:pPr>
              <w:spacing w:after="0"/>
              <w:rPr>
                <w:sz w:val="20"/>
                <w:szCs w:val="20"/>
                <w:color w:val="auto"/>
              </w:rPr>
            </w:pPr>
            <w:r>
              <w:rPr>
                <w:rFonts w:ascii="Arial" w:cs="Arial" w:eastAsia="Arial" w:hAnsi="Arial"/>
                <w:sz w:val="18"/>
                <w:szCs w:val="18"/>
                <w:color w:val="auto"/>
              </w:rPr>
              <w:t>Dated: February 22, 2018</w:t>
            </w:r>
          </w:p>
        </w:tc>
        <w:tc>
          <w:tcPr>
            <w:tcW w:w="7560" w:type="dxa"/>
            <w:vAlign w:val="bottom"/>
            <w:gridSpan w:val="3"/>
          </w:tcPr>
          <w:p>
            <w:pPr>
              <w:ind w:left="2000"/>
              <w:spacing w:after="0"/>
              <w:rPr>
                <w:sz w:val="20"/>
                <w:szCs w:val="20"/>
                <w:color w:val="auto"/>
              </w:rPr>
            </w:pPr>
            <w:r>
              <w:rPr>
                <w:rFonts w:ascii="Arial" w:cs="Arial" w:eastAsia="Arial" w:hAnsi="Arial"/>
                <w:sz w:val="18"/>
                <w:szCs w:val="18"/>
                <w:color w:val="auto"/>
              </w:rPr>
              <w:t>By:   /s/ ROBERT G. KRAMER, SR.</w:t>
            </w:r>
          </w:p>
        </w:tc>
      </w:tr>
      <w:tr>
        <w:trPr>
          <w:trHeight w:val="188"/>
        </w:trPr>
        <w:tc>
          <w:tcPr>
            <w:tcW w:w="3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Name:</w:t>
            </w:r>
          </w:p>
        </w:tc>
        <w:tc>
          <w:tcPr>
            <w:tcW w:w="4380" w:type="dxa"/>
            <w:vAlign w:val="bottom"/>
            <w:tcBorders>
              <w:top w:val="single" w:sz="8" w:color="auto"/>
            </w:tcBorders>
          </w:tcPr>
          <w:p>
            <w:pPr>
              <w:ind w:left="160"/>
              <w:spacing w:after="0" w:line="189" w:lineRule="exact"/>
              <w:rPr>
                <w:sz w:val="20"/>
                <w:szCs w:val="20"/>
                <w:color w:val="auto"/>
              </w:rPr>
            </w:pPr>
            <w:r>
              <w:rPr>
                <w:rFonts w:ascii="Arial" w:cs="Arial" w:eastAsia="Arial" w:hAnsi="Arial"/>
                <w:sz w:val="18"/>
                <w:szCs w:val="18"/>
                <w:color w:val="auto"/>
              </w:rPr>
              <w:t>Robert G. Kramer, Sr.</w:t>
            </w:r>
          </w:p>
        </w:tc>
      </w:tr>
      <w:tr>
        <w:trPr>
          <w:trHeight w:val="203"/>
        </w:trPr>
        <w:tc>
          <w:tcPr>
            <w:tcW w:w="3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 Administration, and Chief</w:t>
            </w:r>
          </w:p>
        </w:tc>
      </w:tr>
      <w:tr>
        <w:trPr>
          <w:trHeight w:val="230"/>
        </w:trPr>
        <w:tc>
          <w:tcPr>
            <w:tcW w:w="3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EXHIBIT 99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REPORTS FOURTH QUARTER AND TWELVE MONTHS 2017 FINANCIAL RESULTS</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Reaffirms full year 2018 forecast and 2020 goals</w:t>
      </w:r>
    </w:p>
    <w:p>
      <w:pPr>
        <w:spacing w:after="0" w:line="15"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Revises 1Q 2018 forecast</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GAITHERSBURG, Md., February 22, 2018</w:t>
      </w:r>
      <w:r>
        <w:rPr>
          <w:rFonts w:ascii="Arial" w:cs="Arial" w:eastAsia="Arial" w:hAnsi="Arial"/>
          <w:sz w:val="18"/>
          <w:szCs w:val="18"/>
          <w:color w:val="auto"/>
        </w:rPr>
        <w:t>—Emergent BioSolutions Inc. (NYSE: EBS) reported financial results for the quarter and twelve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FINANCIAL HIGHLIGHTS</w:t>
      </w: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8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millions)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89" w:lineRule="exact"/>
              <w:rPr>
                <w:sz w:val="20"/>
                <w:szCs w:val="20"/>
                <w:color w:val="auto"/>
              </w:rPr>
            </w:pPr>
            <w:r>
              <w:rPr>
                <w:rFonts w:ascii="Arial" w:cs="Arial" w:eastAsia="Arial" w:hAnsi="Arial"/>
                <w:sz w:val="18"/>
                <w:szCs w:val="18"/>
                <w:b w:val="1"/>
                <w:bCs w:val="1"/>
                <w:color w:val="auto"/>
                <w:w w:val="92"/>
              </w:rPr>
              <w:t>4Q 2017</w:t>
            </w:r>
          </w:p>
        </w:tc>
        <w:tc>
          <w:tcPr>
            <w:tcW w:w="22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3"/>
              <w:spacing w:after="0" w:line="189" w:lineRule="exact"/>
              <w:rPr>
                <w:sz w:val="20"/>
                <w:szCs w:val="20"/>
                <w:color w:val="auto"/>
              </w:rPr>
            </w:pPr>
            <w:r>
              <w:rPr>
                <w:rFonts w:ascii="Arial" w:cs="Arial" w:eastAsia="Arial" w:hAnsi="Arial"/>
                <w:sz w:val="14"/>
                <w:szCs w:val="14"/>
                <w:b w:val="1"/>
                <w:bCs w:val="1"/>
                <w:color w:val="auto"/>
              </w:rPr>
              <w:t xml:space="preserve">4Q 2016 </w:t>
            </w:r>
            <w:r>
              <w:rPr>
                <w:rFonts w:ascii="Arial" w:cs="Arial" w:eastAsia="Arial" w:hAnsi="Arial"/>
                <w:sz w:val="21"/>
                <w:szCs w:val="21"/>
                <w:b w:val="1"/>
                <w:bCs w:val="1"/>
                <w:color w:val="auto"/>
                <w:vertAlign w:val="superscript"/>
              </w:rPr>
              <w:t>(1)</w:t>
            </w:r>
          </w:p>
        </w:tc>
        <w:tc>
          <w:tcPr>
            <w:tcW w:w="10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8820" w:type="dxa"/>
            <w:vAlign w:val="bottom"/>
            <w:tcBorders>
              <w:left w:val="single" w:sz="8" w:color="auto"/>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right w:val="single" w:sz="8" w:color="auto"/>
            </w:tcBorders>
            <w:gridSpan w:val="2"/>
            <w:vMerge w:val="restart"/>
          </w:tcPr>
          <w:p>
            <w:pPr>
              <w:jc w:val="center"/>
              <w:ind w:right="340"/>
              <w:spacing w:after="0" w:line="189" w:lineRule="exact"/>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0"/>
                <w:szCs w:val="10"/>
                <w:color w:val="auto"/>
              </w:rPr>
            </w:pPr>
          </w:p>
        </w:tc>
        <w:tc>
          <w:tcPr>
            <w:tcW w:w="1120" w:type="dxa"/>
            <w:vAlign w:val="bottom"/>
            <w:tcBorders>
              <w:right w:val="single" w:sz="8" w:color="auto"/>
            </w:tcBorders>
            <w:gridSpan w:val="2"/>
            <w:vMerge w:val="restart"/>
          </w:tcPr>
          <w:p>
            <w:pPr>
              <w:ind w:left="20"/>
              <w:spacing w:after="0" w:line="189" w:lineRule="exact"/>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68"/>
        </w:trPr>
        <w:tc>
          <w:tcPr>
            <w:tcW w:w="88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8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193.8</w:t>
            </w:r>
          </w:p>
        </w:tc>
        <w:tc>
          <w:tcPr>
            <w:tcW w:w="22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7"/>
        </w:trPr>
        <w:tc>
          <w:tcPr>
            <w:tcW w:w="882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882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left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22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882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2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5"/>
                <w:szCs w:val="25"/>
                <w:color w:val="auto"/>
                <w:vertAlign w:val="superscript"/>
              </w:rPr>
              <w:t>(1)</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65.2</w:t>
            </w:r>
          </w:p>
        </w:tc>
        <w:tc>
          <w:tcPr>
            <w:tcW w:w="220" w:type="dxa"/>
            <w:vAlign w:val="bottom"/>
            <w:tcBorders>
              <w:right w:val="single" w:sz="8" w:color="auto"/>
            </w:tcBorders>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142"/>
        </w:trPr>
        <w:tc>
          <w:tcPr>
            <w:tcW w:w="882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millions)</w:t>
            </w:r>
          </w:p>
        </w:tc>
        <w:tc>
          <w:tcPr>
            <w:tcW w:w="136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7"/>
                <w:szCs w:val="17"/>
                <w:b w:val="1"/>
                <w:bCs w:val="1"/>
                <w:color w:val="auto"/>
              </w:rPr>
              <w:t>Full Year 2017</w:t>
            </w:r>
          </w:p>
        </w:tc>
        <w:tc>
          <w:tcPr>
            <w:tcW w:w="124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7"/>
                <w:szCs w:val="17"/>
                <w:b w:val="1"/>
                <w:bCs w:val="1"/>
                <w:color w:val="auto"/>
              </w:rPr>
              <w:t>Full Year 2016</w:t>
            </w:r>
          </w:p>
        </w:tc>
        <w:tc>
          <w:tcPr>
            <w:tcW w:w="0" w:type="dxa"/>
            <w:vAlign w:val="bottom"/>
          </w:tcPr>
          <w:p>
            <w:pPr>
              <w:spacing w:after="0"/>
              <w:rPr>
                <w:sz w:val="1"/>
                <w:szCs w:val="1"/>
                <w:color w:val="auto"/>
              </w:rPr>
            </w:pPr>
          </w:p>
        </w:tc>
      </w:tr>
      <w:tr>
        <w:trPr>
          <w:trHeight w:val="122"/>
        </w:trPr>
        <w:tc>
          <w:tcPr>
            <w:tcW w:w="8820" w:type="dxa"/>
            <w:vAlign w:val="bottom"/>
            <w:tcBorders>
              <w:left w:val="single" w:sz="8" w:color="auto"/>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right w:val="single" w:sz="8" w:color="auto"/>
            </w:tcBorders>
            <w:gridSpan w:val="2"/>
            <w:vMerge w:val="restart"/>
          </w:tcPr>
          <w:p>
            <w:pPr>
              <w:jc w:val="center"/>
              <w:ind w:right="340"/>
              <w:spacing w:after="0" w:line="189" w:lineRule="exact"/>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0"/>
                <w:szCs w:val="10"/>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5"/>
                <w:szCs w:val="15"/>
                <w:b w:val="1"/>
                <w:bCs w:val="1"/>
                <w:color w:val="auto"/>
              </w:rPr>
              <w:t>(1)</w:t>
            </w: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82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8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560.9</w:t>
            </w:r>
          </w:p>
        </w:tc>
        <w:tc>
          <w:tcPr>
            <w:tcW w:w="22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7"/>
        </w:trPr>
        <w:tc>
          <w:tcPr>
            <w:tcW w:w="882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882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left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22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882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5"/>
                <w:szCs w:val="25"/>
                <w:color w:val="auto"/>
                <w:vertAlign w:val="superscript"/>
              </w:rPr>
              <w:t>(1)</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166.0</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882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60" w:type="dxa"/>
            <w:vAlign w:val="bottom"/>
          </w:tcPr>
          <w:p>
            <w:pPr>
              <w:jc w:val="right"/>
              <w:spacing w:after="0" w:line="202" w:lineRule="exact"/>
              <w:rPr>
                <w:sz w:val="20"/>
                <w:szCs w:val="20"/>
                <w:color w:val="auto"/>
              </w:rPr>
            </w:pPr>
            <w:r>
              <w:rPr>
                <w:rFonts w:ascii="Arial" w:cs="Arial" w:eastAsia="Arial" w:hAnsi="Arial"/>
                <w:sz w:val="18"/>
                <w:szCs w:val="18"/>
                <w:i w:val="1"/>
                <w:iCs w:val="1"/>
                <w:color w:val="auto"/>
                <w:w w:val="81"/>
              </w:rPr>
              <w:t>(1)</w:t>
            </w:r>
          </w:p>
        </w:tc>
        <w:tc>
          <w:tcPr>
            <w:tcW w:w="10680" w:type="dxa"/>
            <w:vAlign w:val="bottom"/>
          </w:tcPr>
          <w:p>
            <w:pPr>
              <w:ind w:left="2160"/>
              <w:spacing w:after="0" w:line="202" w:lineRule="exact"/>
              <w:rPr>
                <w:sz w:val="20"/>
                <w:szCs w:val="20"/>
                <w:color w:val="auto"/>
              </w:rPr>
            </w:pPr>
            <w:r>
              <w:rPr>
                <w:rFonts w:ascii="Arial" w:cs="Arial" w:eastAsia="Arial" w:hAnsi="Arial"/>
                <w:sz w:val="18"/>
                <w:szCs w:val="18"/>
                <w:i w:val="1"/>
                <w:iCs w:val="1"/>
                <w:color w:val="auto"/>
              </w:rPr>
              <w:t>Financial results for 4Q 2016 and Full Year 2016 are presented on a continuing operations basis.</w:t>
            </w:r>
          </w:p>
        </w:tc>
      </w:tr>
      <w:tr>
        <w:trPr>
          <w:trHeight w:val="176"/>
        </w:trPr>
        <w:tc>
          <w:tcPr>
            <w:tcW w:w="260" w:type="dxa"/>
            <w:vAlign w:val="bottom"/>
          </w:tcPr>
          <w:p>
            <w:pPr>
              <w:jc w:val="right"/>
              <w:spacing w:after="0" w:line="176" w:lineRule="exact"/>
              <w:rPr>
                <w:sz w:val="20"/>
                <w:szCs w:val="20"/>
                <w:color w:val="auto"/>
              </w:rPr>
            </w:pPr>
            <w:r>
              <w:rPr>
                <w:rFonts w:ascii="Arial" w:cs="Arial" w:eastAsia="Arial" w:hAnsi="Arial"/>
                <w:sz w:val="18"/>
                <w:szCs w:val="18"/>
                <w:i w:val="1"/>
                <w:iCs w:val="1"/>
                <w:color w:val="auto"/>
                <w:w w:val="81"/>
              </w:rPr>
              <w:t>(2)</w:t>
            </w:r>
          </w:p>
        </w:tc>
        <w:tc>
          <w:tcPr>
            <w:tcW w:w="10680" w:type="dxa"/>
            <w:vAlign w:val="bottom"/>
          </w:tcPr>
          <w:p>
            <w:pPr>
              <w:ind w:left="2160"/>
              <w:spacing w:after="0" w:line="176" w:lineRule="exact"/>
              <w:rPr>
                <w:sz w:val="20"/>
                <w:szCs w:val="20"/>
                <w:color w:val="auto"/>
              </w:rPr>
            </w:pPr>
            <w:r>
              <w:rPr>
                <w:rFonts w:ascii="Arial" w:cs="Arial" w:eastAsia="Arial" w:hAnsi="Arial"/>
                <w:sz w:val="18"/>
                <w:szCs w:val="18"/>
                <w:i w:val="1"/>
                <w:iCs w:val="1"/>
                <w:color w:val="auto"/>
                <w:w w:val="91"/>
              </w:rPr>
              <w:t>See "Reconciliation of Net Income to Adjusted Net Income and EBITDA" for a definition of terms and a reconciliation</w:t>
            </w:r>
          </w:p>
        </w:tc>
      </w:tr>
      <w:tr>
        <w:trPr>
          <w:trHeight w:val="230"/>
        </w:trPr>
        <w:tc>
          <w:tcPr>
            <w:tcW w:w="260" w:type="dxa"/>
            <w:vAlign w:val="bottom"/>
          </w:tcPr>
          <w:p>
            <w:pPr>
              <w:spacing w:after="0"/>
              <w:rPr>
                <w:sz w:val="20"/>
                <w:szCs w:val="20"/>
                <w:color w:val="auto"/>
              </w:rPr>
            </w:pPr>
          </w:p>
        </w:tc>
        <w:tc>
          <w:tcPr>
            <w:tcW w:w="10680" w:type="dxa"/>
            <w:vAlign w:val="bottom"/>
          </w:tcPr>
          <w:p>
            <w:pPr>
              <w:ind w:left="60"/>
              <w:spacing w:after="0"/>
              <w:rPr>
                <w:sz w:val="20"/>
                <w:szCs w:val="20"/>
                <w:color w:val="auto"/>
              </w:rPr>
            </w:pPr>
            <w:r>
              <w:rPr>
                <w:rFonts w:ascii="Arial" w:cs="Arial" w:eastAsia="Arial" w:hAnsi="Arial"/>
                <w:sz w:val="18"/>
                <w:szCs w:val="18"/>
                <w:i w:val="1"/>
                <w:iCs w:val="1"/>
                <w:color w:val="auto"/>
              </w:rPr>
              <w:t>table.</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4Q 2017 BUSINESS ACCOMPLISHMENTS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94" w:lineRule="exact"/>
        <w:rPr>
          <w:sz w:val="20"/>
          <w:szCs w:val="20"/>
          <w:color w:val="auto"/>
        </w:rPr>
      </w:pPr>
    </w:p>
    <w:p>
      <w:pPr>
        <w:ind w:left="660" w:right="260" w:hanging="328"/>
        <w:spacing w:after="0" w:line="21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acquisition of Sanofi's ACAM2000</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 including ACAM2000 (Smallpox (Vaccinia) Vaccine, Live), the only smallpox vaccine licensed by the U.S. Food and Drug Administration (FDA), related manufacturing facilities and employees, and an existing 10-year, $425 million contract with the Centers for Disease Control and Prevention (CDC) with a remaining value at acquisition of up to approximately $160 million for deliveries of ACAM2000 to the Strategic National Stockpile (SNS)</w:t>
      </w:r>
    </w:p>
    <w:p>
      <w:pPr>
        <w:spacing w:after="0" w:line="191" w:lineRule="exact"/>
        <w:rPr>
          <w:rFonts w:ascii="Arial" w:cs="Arial" w:eastAsia="Arial" w:hAnsi="Arial"/>
          <w:sz w:val="18"/>
          <w:szCs w:val="18"/>
          <w:color w:val="auto"/>
        </w:rPr>
      </w:pPr>
    </w:p>
    <w:p>
      <w:pPr>
        <w:ind w:left="660" w:right="100" w:hanging="328"/>
        <w:spacing w:after="0" w:line="24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acquisition of Raxibacumab, an FDA-approved anthrax monoclonal antibody, from GSK and assumed responsibility for a multi-year contract with the Biomedical Advanced Research and Development Authority (BARDA), with a remaining value at acquisition of up to approximately $130 million, to supply Raxibacumab to the SNS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Procurement Contracts</w:t>
      </w:r>
    </w:p>
    <w:p>
      <w:pPr>
        <w:spacing w:after="0" w:line="94" w:lineRule="exact"/>
        <w:rPr>
          <w:sz w:val="20"/>
          <w:szCs w:val="20"/>
          <w:color w:val="auto"/>
        </w:rPr>
      </w:pPr>
    </w:p>
    <w:p>
      <w:pPr>
        <w:ind w:left="660" w:right="360" w:hanging="328"/>
        <w:spacing w:after="0" w:line="20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Awarded a contract valued at up to approximately $25 million by the U.S. Department of State to supply Trobigard™</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(Atropine Sulfate [2mg]/Obidoxime Chloride [220mg]) auto-injector, a drug and device combination product for emergency use outside of the U.S. in the event of nerve agent or organophosphate poisoning</w:t>
      </w:r>
    </w:p>
    <w:p>
      <w:pPr>
        <w:spacing w:after="0" w:line="178" w:lineRule="exact"/>
        <w:rPr>
          <w:rFonts w:ascii="Arial" w:cs="Arial" w:eastAsia="Arial" w:hAnsi="Arial"/>
          <w:sz w:val="18"/>
          <w:szCs w:val="18"/>
          <w:color w:val="auto"/>
        </w:rPr>
      </w:pPr>
    </w:p>
    <w:p>
      <w:pPr>
        <w:ind w:left="660" w:right="240" w:hanging="328"/>
        <w:spacing w:after="0" w:line="19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Awarded a contract by the Department of National Defence, valued at approximately $8 million, to deliver Anthrasil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Immune Globulin Intravenous [human]) to the Canadian government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Structure</w:t>
      </w:r>
    </w:p>
    <w:p>
      <w:pPr>
        <w:spacing w:after="0" w:line="104" w:lineRule="exact"/>
        <w:rPr>
          <w:sz w:val="20"/>
          <w:szCs w:val="20"/>
          <w:color w:val="auto"/>
        </w:rPr>
      </w:pPr>
    </w:p>
    <w:p>
      <w:pPr>
        <w:ind w:left="660" w:right="220" w:hanging="328"/>
        <w:spacing w:after="0" w:line="262"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Converted approximately $239.4 million, or 95.8%, of the $250 million 2.875% Convertible Senior Notes due 2021 (the Notes) for approximately 8.5 million shares of the company's common stock by holders of the Notes.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Repurchased 788,894 shares of its common stock in the fourth quarter of 2017 under a board-approved share repurchase program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right="540" w:firstLine="8"/>
        <w:spacing w:after="0" w:line="235" w:lineRule="auto"/>
        <w:tabs>
          <w:tab w:leader="none" w:pos="2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Trobigard is not currently approved or cleared by the U.S. Food and Drug Administration or any similar regulatory body, and is only distributed to authorized government buyers for use outside the U.S. This product is not distributed in the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FINANCIAL PERFORMANCE</w:t>
      </w:r>
    </w:p>
    <w:p>
      <w:pPr>
        <w:spacing w:after="0" w:line="198" w:lineRule="exact"/>
        <w:rPr>
          <w:sz w:val="20"/>
          <w:szCs w:val="20"/>
          <w:color w:val="auto"/>
        </w:rPr>
      </w:pPr>
    </w:p>
    <w:p>
      <w:pPr>
        <w:ind w:right="7520" w:firstLine="8"/>
        <w:spacing w:after="0" w:line="472" w:lineRule="auto"/>
        <w:tabs>
          <w:tab w:leader="none" w:pos="2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 Ended December 31, 2017 (Unaudited) </w:t>
      </w:r>
      <w:r>
        <w:rPr>
          <w:rFonts w:ascii="Arial" w:cs="Arial" w:eastAsia="Arial" w:hAnsi="Arial"/>
          <w:sz w:val="18"/>
          <w:szCs w:val="18"/>
          <w:b w:val="1"/>
          <w:bCs w:val="1"/>
          <w:u w:val="single" w:color="auto"/>
          <w:color w:val="auto"/>
        </w:rPr>
        <w:t>Revenues</w:t>
      </w: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04"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For Q4 2017, total revenues were $193.8 million, an increase of 28% as compared to 2016. The increase is primarily driven by increased product sales of $74.1 million mainly due to a $63.2 million increase in BioThrax sales as well as sales of products acquired in Q4 2017, partially offset by a $31.6 million reduction in contracts and grants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04"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For Q4 2017, product sales were $161.6 million, an increase of 85% as compared to 2016. The increase is principally attributable to a $63.2 million increase in BioThrax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(Anthrax Vaccine Adsorbed) sales as well as a $10.9 million increase primarily due to sales of products acquired in Q4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61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420"/>
          </w:cols>
          <w:pgMar w:left="240" w:top="126"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7"/>
                <w:szCs w:val="17"/>
                <w:color w:val="auto"/>
              </w:rPr>
            </w:pPr>
          </w:p>
        </w:tc>
        <w:tc>
          <w:tcPr>
            <w:tcW w:w="73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8"/>
          </w:tcPr>
          <w:p>
            <w:pPr>
              <w:jc w:val="center"/>
              <w:ind w:left="710"/>
              <w:spacing w:after="0"/>
              <w:rPr>
                <w:sz w:val="20"/>
                <w:szCs w:val="20"/>
                <w:color w:val="auto"/>
              </w:rPr>
            </w:pPr>
            <w:r>
              <w:rPr>
                <w:rFonts w:ascii="Arial" w:cs="Arial" w:eastAsia="Arial" w:hAnsi="Arial"/>
                <w:sz w:val="18"/>
                <w:szCs w:val="18"/>
                <w:b w:val="1"/>
                <w:bCs w:val="1"/>
                <w:color w:val="auto"/>
                <w:w w:val="92"/>
              </w:rPr>
              <w:t>Three Months Ended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73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ind w:right="30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732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(in millions)</w:t>
            </w:r>
          </w:p>
        </w:tc>
        <w:tc>
          <w:tcPr>
            <w:tcW w:w="240" w:type="dxa"/>
            <w:vAlign w:val="bottom"/>
          </w:tcPr>
          <w:p>
            <w:pPr>
              <w:spacing w:after="0"/>
              <w:rPr>
                <w:sz w:val="11"/>
                <w:szCs w:val="11"/>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right w:val="single" w:sz="8" w:color="auto"/>
            </w:tcBorders>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7320" w:type="dxa"/>
            <w:vAlign w:val="bottom"/>
            <w:tcBorders>
              <w:right w:val="single" w:sz="8" w:color="auto"/>
            </w:tcBorders>
            <w:vMerge w:val="restart"/>
          </w:tcPr>
          <w:p>
            <w:pPr>
              <w:spacing w:after="0" w:line="189" w:lineRule="exact"/>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7320" w:type="dxa"/>
            <w:vAlign w:val="bottom"/>
            <w:tcBorders>
              <w:bottom w:val="single" w:sz="8" w:color="auto"/>
              <w:right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7320" w:type="dxa"/>
            <w:vAlign w:val="bottom"/>
            <w:tcBorders>
              <w:right w:val="single" w:sz="8" w:color="auto"/>
            </w:tcBorders>
            <w:shd w:val="clear" w:color="auto" w:fill="CCEEFF"/>
          </w:tcPr>
          <w:p>
            <w:pPr>
              <w:ind w:left="240"/>
              <w:spacing w:after="0" w:line="216" w:lineRule="exact"/>
              <w:rPr>
                <w:sz w:val="20"/>
                <w:szCs w:val="20"/>
                <w:color w:val="auto"/>
              </w:rPr>
            </w:pPr>
            <w:r>
              <w:rPr>
                <w:rFonts w:ascii="Arial" w:cs="Arial" w:eastAsia="Arial" w:hAnsi="Arial"/>
                <w:sz w:val="16"/>
                <w:szCs w:val="16"/>
                <w:color w:val="auto"/>
              </w:rPr>
              <w:t>BioThrax</w:t>
            </w:r>
            <w:r>
              <w:rPr>
                <w:rFonts w:ascii="Arial" w:cs="Arial" w:eastAsia="Arial" w:hAnsi="Arial"/>
                <w:sz w:val="25"/>
                <w:szCs w:val="25"/>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1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73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73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54.6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73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73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Product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161.6</w:t>
            </w:r>
          </w:p>
        </w:tc>
        <w:tc>
          <w:tcPr>
            <w:tcW w:w="1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73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Q4 2017, revenue from the Company's contract manufacturing operations was $16.2 million, a decrease of 3% as compared to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For Q4 2017, contracts and grants revenue was $15.9 million, a decrease of 66% as compared to 2016. The decrease primarily reflects a reduction in revenue associated with the successful completion of multiple U.S. government contracts as well as reduced R&amp;D activities related to certain ongoing funded development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Q4 2017, cost of product sales and contract manufacturing was $70.3 million, an increase of 84% as compared to 2016. The increase primarily reflects the impact of higher product sales.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104" w:lineRule="exact"/>
        <w:rPr>
          <w:sz w:val="20"/>
          <w:szCs w:val="20"/>
          <w:color w:val="auto"/>
        </w:rPr>
      </w:pPr>
    </w:p>
    <w:p>
      <w:pPr>
        <w:ind w:right="240"/>
        <w:spacing w:after="0" w:line="200" w:lineRule="auto"/>
        <w:rPr>
          <w:sz w:val="20"/>
          <w:szCs w:val="20"/>
          <w:color w:val="auto"/>
        </w:rPr>
      </w:pPr>
      <w:r>
        <w:rPr>
          <w:rFonts w:ascii="Arial" w:cs="Arial" w:eastAsia="Arial" w:hAnsi="Arial"/>
          <w:sz w:val="18"/>
          <w:szCs w:val="18"/>
          <w:color w:val="auto"/>
        </w:rPr>
        <w:t>For Q4 2017, gross R&amp;D expenses were $28.5 million, an increase of 5% as compared to 2016. The increase primarily reflects increased contract development services performed for NuThrax</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the EV-035 series of molecules, offset by reduced services related to the task orders performed by the Center for Innovation in Advanced Development and Manufacturing (CIADM).</w:t>
      </w:r>
    </w:p>
    <w:p>
      <w:pPr>
        <w:spacing w:after="0" w:line="178"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For Q4 2017, net R&amp;D expense (calculated as gross research and development expenses less contracts and grants revenue) was $12.6 million. For Q4 2016, contracts and grants revenue exceeded gross R&amp;D expense, resulting in a net contribution from funded development programs of $20.4 million.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300" w:type="dxa"/>
            <w:vAlign w:val="bottom"/>
            <w:tcBorders>
              <w:top w:val="single" w:sz="8" w:color="auto"/>
              <w:left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8"/>
          </w:tcPr>
          <w:p>
            <w:pPr>
              <w:jc w:val="center"/>
              <w:ind w:left="17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left w:val="single" w:sz="8" w:color="auto"/>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center"/>
              <w:ind w:right="32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0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5"/>
                <w:szCs w:val="15"/>
                <w:color w:val="auto"/>
              </w:rPr>
              <w:t>(in millions)</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00" w:type="dxa"/>
            <w:vAlign w:val="bottom"/>
            <w:tcBorders>
              <w:left w:val="single" w:sz="8" w:color="auto"/>
              <w:right w:val="single" w:sz="8" w:color="auto"/>
            </w:tcBorders>
            <w:vMerge w:val="restart"/>
          </w:tcPr>
          <w:p>
            <w:pPr>
              <w:ind w:left="20"/>
              <w:spacing w:after="0" w:line="189" w:lineRule="exact"/>
              <w:rPr>
                <w:sz w:val="20"/>
                <w:szCs w:val="20"/>
                <w:color w:val="auto"/>
              </w:rPr>
            </w:pPr>
            <w:r>
              <w:rPr>
                <w:rFonts w:ascii="Arial" w:cs="Arial" w:eastAsia="Arial" w:hAnsi="Arial"/>
                <w:sz w:val="18"/>
                <w:szCs w:val="18"/>
                <w:color w:val="auto"/>
              </w:rPr>
              <w:t>(unaudited)</w:t>
            </w:r>
          </w:p>
        </w:tc>
        <w:tc>
          <w:tcPr>
            <w:tcW w:w="7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28.5</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Borders>
              <w:left w:val="single" w:sz="8" w:color="auto"/>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 Contracts and grants revenue</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15.9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Borders>
              <w:left w:val="single" w:sz="8" w:color="auto"/>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Research and Development Expenses (Income)</w:t>
            </w:r>
          </w:p>
        </w:tc>
        <w:tc>
          <w:tcPr>
            <w:tcW w:w="780" w:type="dxa"/>
            <w:vAlign w:val="bottom"/>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1"/>
              </w:rPr>
              <w:t>12.6</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Borders>
              <w:left w:val="single" w:sz="8" w:color="auto"/>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Q4 2017, selling, general and administrative expenses were $42.0 million, an increase of 19% as compared to 2016. The increase is attributable to higher compensation expense and professional services fees during the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&amp; Adjusted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Q4 2017, net income was $33.9 million, or $0.67 per diluted share, versus $32.3 million, or $0.67 per diluted share, in 2016.</w:t>
      </w:r>
    </w:p>
    <w:p>
      <w:pPr>
        <w:spacing w:after="0" w:line="198"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Net income per diluted share is computed using the "if-converted" method prior to November 14, 2017, the date the company terminated conversion rights associated with the company's 2.875% Convertible Senior Notes due 2021 (the Notes). This method requires net income to be adjusted to add back interest expense and amortization of debt issuance cost, both net of tax, associated with the Notes. The following table details the adjustments made in this calculation.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0" w:type="dxa"/>
            <w:vAlign w:val="bottom"/>
            <w:tcBorders>
              <w:top w:val="single" w:sz="8" w:color="auto"/>
              <w:left w:val="single" w:sz="8" w:color="auto"/>
            </w:tcBorders>
          </w:tcPr>
          <w:p>
            <w:pPr>
              <w:spacing w:after="0"/>
              <w:rPr>
                <w:sz w:val="15"/>
                <w:szCs w:val="15"/>
                <w:color w:val="auto"/>
              </w:rPr>
            </w:pPr>
          </w:p>
        </w:tc>
        <w:tc>
          <w:tcPr>
            <w:tcW w:w="8400" w:type="dxa"/>
            <w:vAlign w:val="bottom"/>
            <w:tcBorders>
              <w:top w:val="single" w:sz="8" w:color="auto"/>
              <w:right w:val="single" w:sz="8" w:color="auto"/>
            </w:tcBorders>
          </w:tcPr>
          <w:p>
            <w:pPr>
              <w:spacing w:after="0"/>
              <w:rPr>
                <w:sz w:val="15"/>
                <w:szCs w:val="15"/>
                <w:color w:val="auto"/>
              </w:rPr>
            </w:pPr>
          </w:p>
        </w:tc>
        <w:tc>
          <w:tcPr>
            <w:tcW w:w="2140" w:type="dxa"/>
            <w:vAlign w:val="bottom"/>
            <w:tcBorders>
              <w:top w:val="single" w:sz="8" w:color="auto"/>
            </w:tcBorders>
            <w:gridSpan w:val="5"/>
          </w:tcPr>
          <w:p>
            <w:pPr>
              <w:jc w:val="right"/>
              <w:ind w:right="80"/>
              <w:spacing w:after="0" w:line="176" w:lineRule="exact"/>
              <w:rPr>
                <w:sz w:val="20"/>
                <w:szCs w:val="20"/>
                <w:color w:val="auto"/>
              </w:rPr>
            </w:pPr>
            <w:r>
              <w:rPr>
                <w:rFonts w:ascii="Arial" w:cs="Arial" w:eastAsia="Arial" w:hAnsi="Arial"/>
                <w:sz w:val="18"/>
                <w:szCs w:val="18"/>
                <w:b w:val="1"/>
                <w:bCs w:val="1"/>
                <w:color w:val="auto"/>
              </w:rPr>
              <w:t>Three Months Ended</w:t>
            </w: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left w:val="single" w:sz="8" w:color="auto"/>
              <w:bottom w:val="single" w:sz="8" w:color="auto"/>
            </w:tcBorders>
          </w:tcPr>
          <w:p>
            <w:pPr>
              <w:spacing w:after="0"/>
              <w:rPr>
                <w:sz w:val="18"/>
                <w:szCs w:val="18"/>
                <w:color w:val="auto"/>
              </w:rPr>
            </w:pPr>
          </w:p>
        </w:tc>
        <w:tc>
          <w:tcPr>
            <w:tcW w:w="840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ind w:right="380"/>
              <w:spacing w:after="0" w:line="202" w:lineRule="exact"/>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0" w:type="dxa"/>
            <w:vAlign w:val="bottom"/>
            <w:tcBorders>
              <w:left w:val="single" w:sz="8" w:color="auto"/>
              <w:right w:val="single" w:sz="8" w:color="auto"/>
            </w:tcBorders>
            <w:gridSpan w:val="2"/>
          </w:tcPr>
          <w:p>
            <w:pPr>
              <w:ind w:left="20"/>
              <w:spacing w:after="0" w:line="135" w:lineRule="exact"/>
              <w:rPr>
                <w:sz w:val="20"/>
                <w:szCs w:val="20"/>
                <w:color w:val="auto"/>
              </w:rPr>
            </w:pPr>
            <w:r>
              <w:rPr>
                <w:rFonts w:ascii="Arial" w:cs="Arial" w:eastAsia="Arial" w:hAnsi="Arial"/>
                <w:sz w:val="15"/>
                <w:szCs w:val="15"/>
                <w:color w:val="auto"/>
              </w:rPr>
              <w:t>(in millions, except per share value)</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0" w:type="dxa"/>
            <w:vAlign w:val="bottom"/>
            <w:tcBorders>
              <w:left w:val="single" w:sz="8" w:color="auto"/>
              <w:right w:val="single" w:sz="8" w:color="auto"/>
            </w:tcBorders>
            <w:gridSpan w:val="2"/>
            <w:vMerge w:val="restart"/>
          </w:tcPr>
          <w:p>
            <w:pPr>
              <w:ind w:left="20"/>
              <w:spacing w:after="0" w:line="189" w:lineRule="exact"/>
              <w:rPr>
                <w:sz w:val="20"/>
                <w:szCs w:val="20"/>
                <w:color w:val="auto"/>
              </w:rPr>
            </w:pPr>
            <w:r>
              <w:rPr>
                <w:rFonts w:ascii="Arial" w:cs="Arial" w:eastAsia="Arial" w:hAnsi="Arial"/>
                <w:sz w:val="18"/>
                <w:szCs w:val="18"/>
                <w:color w:val="auto"/>
              </w:rPr>
              <w:t>(unaudited)</w:t>
            </w:r>
          </w:p>
        </w:tc>
        <w:tc>
          <w:tcPr>
            <w:tcW w:w="7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00" w:type="dxa"/>
            <w:vAlign w:val="bottom"/>
            <w:tcBorders>
              <w:left w:val="single" w:sz="8" w:color="auto"/>
              <w:bottom w:val="single" w:sz="8" w:color="auto"/>
              <w:right w:val="single" w:sz="8" w:color="auto"/>
            </w:tcBorders>
            <w:gridSpan w:val="2"/>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6"/>
              </w:rPr>
              <w:t>33.9</w:t>
            </w:r>
          </w:p>
        </w:tc>
        <w:tc>
          <w:tcPr>
            <w:tcW w:w="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8400" w:type="dxa"/>
            <w:vAlign w:val="bottom"/>
            <w:tcBorders>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Adjustments:</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 of tax</w:t>
            </w: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Amortization of debt issuance costs, net of tax</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Borders>
              <w:left w:val="single" w:sz="8" w:color="auto"/>
              <w:right w:val="single" w:sz="8" w:color="auto"/>
            </w:tcBorders>
            <w:gridSpan w:val="2"/>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Net Income, adjusted ("if converted")</w:t>
            </w:r>
          </w:p>
        </w:tc>
        <w:tc>
          <w:tcPr>
            <w:tcW w:w="780" w:type="dxa"/>
            <w:vAlign w:val="bottom"/>
            <w:vMerge w:val="restart"/>
            <w:shd w:val="clear" w:color="auto" w:fill="CCEEFF"/>
          </w:tcPr>
          <w:p>
            <w:pPr>
              <w:jc w:val="right"/>
              <w:ind w:right="616"/>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rPr>
              <w:t>34.2</w:t>
            </w:r>
          </w:p>
        </w:tc>
        <w:tc>
          <w:tcPr>
            <w:tcW w:w="140" w:type="dxa"/>
            <w:vAlign w:val="bottom"/>
            <w:tcBorders>
              <w:right w:val="single" w:sz="8" w:color="auto"/>
            </w:tcBorders>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33.4</w:t>
            </w: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Borders>
              <w:left w:val="single" w:sz="8" w:color="auto"/>
              <w:right w:val="single" w:sz="8" w:color="auto"/>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Net Income Per Diluted Share, adjusted ("if converted")</w:t>
            </w:r>
          </w:p>
        </w:tc>
        <w:tc>
          <w:tcPr>
            <w:tcW w:w="780" w:type="dxa"/>
            <w:vAlign w:val="bottom"/>
            <w:vMerge w:val="continue"/>
            <w:shd w:val="clear" w:color="auto" w:fill="CCEEFF"/>
          </w:tcPr>
          <w:p>
            <w:pPr>
              <w:spacing w:after="0"/>
              <w:rPr>
                <w:sz w:val="17"/>
                <w:szCs w:val="17"/>
                <w:color w:val="auto"/>
              </w:rPr>
            </w:pPr>
          </w:p>
        </w:tc>
        <w:tc>
          <w:tcPr>
            <w:tcW w:w="500" w:type="dxa"/>
            <w:vAlign w:val="bottom"/>
            <w:tcBorders>
              <w:right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w w:val="96"/>
              </w:rPr>
              <w:t>0.67</w:t>
            </w:r>
          </w:p>
        </w:tc>
        <w:tc>
          <w:tcPr>
            <w:tcW w:w="860" w:type="dxa"/>
            <w:vAlign w:val="bottom"/>
            <w:gridSpan w:val="2"/>
            <w:vMerge w:val="continue"/>
            <w:shd w:val="clear" w:color="auto" w:fill="CCEEFF"/>
          </w:tcPr>
          <w:p>
            <w:pPr>
              <w:spacing w:after="0"/>
              <w:rPr>
                <w:sz w:val="17"/>
                <w:szCs w:val="17"/>
                <w:color w:val="auto"/>
              </w:rPr>
            </w:pPr>
          </w:p>
        </w:tc>
        <w:tc>
          <w:tcPr>
            <w:tcW w:w="46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6"/>
              </w:rPr>
              <w:t>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8400" w:type="dxa"/>
            <w:vAlign w:val="bottom"/>
            <w:tcBorders>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Weighted Average Diluted Shares</w:t>
            </w:r>
          </w:p>
        </w:tc>
        <w:tc>
          <w:tcPr>
            <w:tcW w:w="780" w:type="dxa"/>
            <w:vAlign w:val="bottom"/>
          </w:tcPr>
          <w:p>
            <w:pPr>
              <w:spacing w:after="0"/>
              <w:rPr>
                <w:sz w:val="18"/>
                <w:szCs w:val="18"/>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6"/>
              </w:rPr>
              <w:t>51.0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6"/>
              </w:rPr>
              <w:t>49.6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4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For Q4 2017, adjusted net income, a non-GAAP measure, was $37.8 million, or $0.74 per diluted share, versus $36.6 million, or $0.74 per diluted share, in 2016. See "Reconciliation of Net Income to Adjusted Net Income and EBITDA" for a definition of terms and a reconciliation table.</w:t>
      </w:r>
    </w:p>
    <w:p>
      <w:pPr>
        <w:spacing w:after="0" w:line="130" w:lineRule="exact"/>
        <w:rPr>
          <w:sz w:val="20"/>
          <w:szCs w:val="20"/>
          <w:color w:val="auto"/>
        </w:rPr>
      </w:pPr>
    </w:p>
    <w:p>
      <w:pPr>
        <w:ind w:right="7720" w:firstLine="8"/>
        <w:spacing w:after="0" w:line="472" w:lineRule="auto"/>
        <w:tabs>
          <w:tab w:leader="none" w:pos="30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Year Ended December 31, 2017 (Unaudited) </w:t>
      </w:r>
      <w:r>
        <w:rPr>
          <w:rFonts w:ascii="Arial" w:cs="Arial" w:eastAsia="Arial" w:hAnsi="Arial"/>
          <w:sz w:val="18"/>
          <w:szCs w:val="18"/>
          <w:b w:val="1"/>
          <w:bCs w:val="1"/>
          <w:u w:val="single" w:color="auto"/>
          <w:color w:val="auto"/>
        </w:rPr>
        <w:t>Revenues</w:t>
      </w: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04"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For the twelve months of 2017, total revenues were $560.9 million, an increase of 15% as compared to 2016. The increase is attributable to significantly increased product sales, notably Other product sales, and contract manufacturing services revenue offset by a decrease in contracts and grants revenue.</w:t>
      </w:r>
    </w:p>
    <w:p>
      <w:pPr>
        <w:sectPr>
          <w:pgSz w:w="11900" w:h="16838" w:orient="portrait"/>
          <w:cols w:equalWidth="0" w:num="1">
            <w:col w:w="11420"/>
          </w:cols>
          <w:pgMar w:left="240" w:top="81" w:right="239" w:bottom="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Sales</w:t>
      </w:r>
    </w:p>
    <w:p>
      <w:pPr>
        <w:sectPr>
          <w:pgSz w:w="11900" w:h="16838" w:orient="portrait"/>
          <w:cols w:equalWidth="0" w:num="1">
            <w:col w:w="11420"/>
          </w:cols>
          <w:pgMar w:left="240" w:top="81" w:right="239" w:bottom="0" w:gutter="0" w:footer="0" w:header="0"/>
          <w:type w:val="continuous"/>
        </w:sectPr>
      </w:pPr>
    </w:p>
    <w:bookmarkStart w:id="4" w:name="page5"/>
    <w:bookmarkEnd w:id="4"/>
    <w:p>
      <w:pPr>
        <w:ind w:right="100"/>
        <w:spacing w:after="0" w:line="213" w:lineRule="auto"/>
        <w:rPr>
          <w:sz w:val="20"/>
          <w:szCs w:val="20"/>
          <w:color w:val="auto"/>
        </w:rPr>
      </w:pPr>
      <w:r>
        <w:rPr>
          <w:rFonts w:ascii="Arial" w:cs="Arial" w:eastAsia="Arial" w:hAnsi="Arial"/>
          <w:sz w:val="17"/>
          <w:szCs w:val="17"/>
          <w:color w:val="auto"/>
        </w:rPr>
        <w:t>For the twelve months of 2017, product sales were $421.5 million, an increase of 42% as compared to 2016. The increase is principally attributable to higher BioThrax sales to the SNS and higher Other product sales, specifically timing of BAT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[Botulism Antitoxin Heptavalent (A, B, C, D, E, F, G) - (Equine)] deliveries to the SNS, international sales of VIGIV and Trobigard and sales of ACAM2000 to the CDC and Raxibacumab to BARDA.</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7360" w:type="dxa"/>
            <w:vAlign w:val="bottom"/>
            <w:tcBorders>
              <w:top w:val="single" w:sz="8" w:color="auto"/>
              <w:left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gridSpan w:val="8"/>
          </w:tcPr>
          <w:p>
            <w:pPr>
              <w:jc w:val="center"/>
              <w:ind w:left="811"/>
              <w:spacing w:after="0" w:line="176" w:lineRule="exact"/>
              <w:rPr>
                <w:sz w:val="20"/>
                <w:szCs w:val="20"/>
                <w:color w:val="auto"/>
              </w:rPr>
            </w:pPr>
            <w:r>
              <w:rPr>
                <w:rFonts w:ascii="Arial" w:cs="Arial" w:eastAsia="Arial" w:hAnsi="Arial"/>
                <w:sz w:val="18"/>
                <w:szCs w:val="18"/>
                <w:b w:val="1"/>
                <w:bCs w:val="1"/>
                <w:color w:val="auto"/>
                <w:w w:val="90"/>
              </w:rPr>
              <w:t>Twelve Months Ended</w:t>
            </w: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center"/>
              <w:ind w:right="32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3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2"/>
                <w:szCs w:val="12"/>
                <w:color w:val="auto"/>
              </w:rPr>
            </w:pPr>
          </w:p>
        </w:tc>
        <w:tc>
          <w:tcPr>
            <w:tcW w:w="1020" w:type="dxa"/>
            <w:vAlign w:val="bottom"/>
          </w:tcPr>
          <w:p>
            <w:pPr>
              <w:jc w:val="right"/>
              <w:ind w:right="291"/>
              <w:spacing w:after="0" w:line="149" w:lineRule="exact"/>
              <w:rPr>
                <w:sz w:val="20"/>
                <w:szCs w:val="20"/>
                <w:color w:val="auto"/>
              </w:rPr>
            </w:pPr>
            <w:r>
              <w:rPr>
                <w:rFonts w:ascii="Arial" w:cs="Arial" w:eastAsia="Arial" w:hAnsi="Arial"/>
                <w:sz w:val="17"/>
                <w:szCs w:val="17"/>
                <w:b w:val="1"/>
                <w:bCs w:val="1"/>
                <w:color w:val="auto"/>
              </w:rPr>
              <w:t>2017</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right w:val="single" w:sz="8" w:color="auto"/>
            </w:tcBorders>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135"/>
        </w:trPr>
        <w:tc>
          <w:tcPr>
            <w:tcW w:w="736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right w:val="single" w:sz="8" w:color="auto"/>
            </w:tcBorders>
            <w:gridSpan w:val="2"/>
            <w:vMerge w:val="restart"/>
          </w:tcPr>
          <w:p>
            <w:pPr>
              <w:ind w:left="40"/>
              <w:spacing w:after="0" w:line="189" w:lineRule="exact"/>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7360" w:type="dxa"/>
            <w:vAlign w:val="bottom"/>
            <w:tcBorders>
              <w:left w:val="single" w:sz="8" w:color="auto"/>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Product Sales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Borders>
              <w:left w:val="single" w:sz="8" w:color="auto"/>
              <w:right w:val="single" w:sz="8" w:color="auto"/>
            </w:tcBorders>
            <w:shd w:val="clear" w:color="auto" w:fill="CCEEFF"/>
          </w:tcPr>
          <w:p>
            <w:pPr>
              <w:ind w:left="280"/>
              <w:spacing w:after="0" w:line="216" w:lineRule="exact"/>
              <w:rPr>
                <w:sz w:val="20"/>
                <w:szCs w:val="20"/>
                <w:color w:val="auto"/>
              </w:rPr>
            </w:pPr>
            <w:r>
              <w:rPr>
                <w:rFonts w:ascii="Arial" w:cs="Arial" w:eastAsia="Arial" w:hAnsi="Arial"/>
                <w:sz w:val="16"/>
                <w:szCs w:val="16"/>
                <w:color w:val="auto"/>
              </w:rPr>
              <w:t>BioThrax</w:t>
            </w:r>
            <w:r>
              <w:rPr>
                <w:rFonts w:ascii="Arial" w:cs="Arial" w:eastAsia="Arial" w:hAnsi="Arial"/>
                <w:sz w:val="25"/>
                <w:szCs w:val="25"/>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286.6</w:t>
            </w:r>
          </w:p>
        </w:tc>
        <w:tc>
          <w:tcPr>
            <w:tcW w:w="1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36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134.9</w:t>
            </w:r>
          </w:p>
        </w:tc>
        <w:tc>
          <w:tcPr>
            <w:tcW w:w="140" w:type="dxa"/>
            <w:vAlign w:val="bottom"/>
            <w:tcBorders>
              <w:right w:val="single" w:sz="8" w:color="auto"/>
            </w:tcBorders>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736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421.5</w:t>
            </w:r>
          </w:p>
        </w:tc>
        <w:tc>
          <w:tcPr>
            <w:tcW w:w="1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36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For the twelve months of 2017, revenue from the Company's contract manufacturing operations was $68.9 million, an increase of 40% as compared to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increase primarily reflects an increase in fill/finish and manufacturing services to commercial entities.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04"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For the twelve months of 2017, contracts and grants revenue was $70.4 million, a decrease of 51% as compared to 2016. The decrease primarily reflects a reduction in revenue associated with the successful completion of multiple U.S. government contracts as well as reduced R&amp;D activities related to certain ongoing funded development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04"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For the twelve months of 2017, cost of product sales and contract manufacturing was $195.7 million, an increase of 49% as compared to 2016. The increase primarily reflects the impact of higher product sales and increased costs associated with the expansion of our contract manufacturing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104"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For the twelve months of 2017, gross R&amp;D expenses were $97.4 million, a decrease of 10% as compared to 2016. The decrease primarily reflects lower contract development services costs associated with reduced contract development services performed during the period.</w:t>
      </w:r>
    </w:p>
    <w:p>
      <w:pPr>
        <w:spacing w:after="0" w:line="13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For the twelve months of 2017, net R&amp;D expense (calculated as gross research and development expenses less contracts and grants revenue) was $27.0 million. For the twelve months of 2016, contracts and grants revenue exceeded gross R&amp;D expense, resulting in a net contribution from funded development programs of $35.1 million.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300" w:type="dxa"/>
            <w:vAlign w:val="bottom"/>
            <w:tcBorders>
              <w:top w:val="single" w:sz="8" w:color="auto"/>
              <w:left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gridSpan w:val="8"/>
          </w:tcPr>
          <w:p>
            <w:pPr>
              <w:jc w:val="center"/>
              <w:ind w:left="811"/>
              <w:spacing w:after="0" w:line="176" w:lineRule="exact"/>
              <w:rPr>
                <w:sz w:val="20"/>
                <w:szCs w:val="20"/>
                <w:color w:val="auto"/>
              </w:rPr>
            </w:pPr>
            <w:r>
              <w:rPr>
                <w:rFonts w:ascii="Arial" w:cs="Arial" w:eastAsia="Arial" w:hAnsi="Arial"/>
                <w:sz w:val="18"/>
                <w:szCs w:val="18"/>
                <w:b w:val="1"/>
                <w:bCs w:val="1"/>
                <w:color w:val="auto"/>
                <w:w w:val="90"/>
              </w:rPr>
              <w:t>Twelve Months Ended</w:t>
            </w:r>
          </w:p>
        </w:tc>
        <w:tc>
          <w:tcPr>
            <w:tcW w:w="10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jc w:val="center"/>
              <w:ind w:right="34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7"/>
                <w:szCs w:val="17"/>
                <w:b w:val="1"/>
                <w:bCs w:val="1"/>
                <w:color w:val="auto"/>
              </w:rPr>
              <w:t>2017</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6"/>
              </w:rPr>
              <w:t>% 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0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right w:val="single" w:sz="8" w:color="auto"/>
            </w:tcBorders>
            <w:gridSpan w:val="2"/>
            <w:vMerge w:val="restart"/>
          </w:tcPr>
          <w:p>
            <w:pPr>
              <w:jc w:val="center"/>
              <w:ind w:right="260"/>
              <w:spacing w:after="0" w:line="189" w:lineRule="exact"/>
              <w:rPr>
                <w:sz w:val="20"/>
                <w:szCs w:val="20"/>
                <w:color w:val="auto"/>
              </w:rPr>
            </w:pPr>
            <w:r>
              <w:rPr>
                <w:rFonts w:ascii="Arial" w:cs="Arial" w:eastAsia="Arial" w:hAnsi="Arial"/>
                <w:sz w:val="18"/>
                <w:szCs w:val="18"/>
                <w:color w:val="auto"/>
                <w:w w:val="92"/>
              </w:rPr>
              <w:t>(unaudited)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 Contracts and grants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70.4</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Research and Development Expenses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27.0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the twelve months of 2017, selling, general and administrative expenses were $143.5 million, unchanged as compared to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&amp; Adjusted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For the twelve months of 2017, net income was $82.6 million, or $1.71 per diluted share, versus $62.5 million, or $1.35 per diluted share, in 2016.</w:t>
      </w:r>
    </w:p>
    <w:p>
      <w:pPr>
        <w:spacing w:after="0" w:line="210"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Net income per diluted share is computed using the "if-converted" method prior to November 14, 2017, the date the company terminated conversion rights associated with the company's 2.875% Convertible Senior Notes due 2021 (the Notes). This method requires net income to be adjusted to add back interest expense and amortization of debt issuance cost, both net of tax, associated with the Notes. The following table details the adjustments made in this calculation.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0" w:type="dxa"/>
            <w:vAlign w:val="bottom"/>
            <w:tcBorders>
              <w:top w:val="single" w:sz="8" w:color="auto"/>
              <w:left w:val="single" w:sz="8" w:color="auto"/>
            </w:tcBorders>
          </w:tcPr>
          <w:p>
            <w:pPr>
              <w:spacing w:after="0"/>
              <w:rPr>
                <w:sz w:val="15"/>
                <w:szCs w:val="15"/>
                <w:color w:val="auto"/>
              </w:rPr>
            </w:pPr>
          </w:p>
        </w:tc>
        <w:tc>
          <w:tcPr>
            <w:tcW w:w="84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4"/>
          </w:tcPr>
          <w:p>
            <w:pPr>
              <w:jc w:val="right"/>
              <w:ind w:right="40"/>
              <w:spacing w:after="0" w:line="176" w:lineRule="exact"/>
              <w:rPr>
                <w:sz w:val="20"/>
                <w:szCs w:val="20"/>
                <w:color w:val="auto"/>
              </w:rPr>
            </w:pPr>
            <w:r>
              <w:rPr>
                <w:rFonts w:ascii="Arial" w:cs="Arial" w:eastAsia="Arial" w:hAnsi="Arial"/>
                <w:sz w:val="18"/>
                <w:szCs w:val="18"/>
                <w:b w:val="1"/>
                <w:bCs w:val="1"/>
                <w:color w:val="auto"/>
              </w:rPr>
              <w:t>Twelve Months Ended</w:t>
            </w: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left w:val="single" w:sz="8" w:color="auto"/>
              <w:bottom w:val="single" w:sz="8" w:color="auto"/>
            </w:tcBorders>
          </w:tcPr>
          <w:p>
            <w:pPr>
              <w:spacing w:after="0"/>
              <w:rPr>
                <w:sz w:val="18"/>
                <w:szCs w:val="18"/>
                <w:color w:val="auto"/>
              </w:rPr>
            </w:pPr>
          </w:p>
        </w:tc>
        <w:tc>
          <w:tcPr>
            <w:tcW w:w="84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380"/>
              <w:spacing w:after="0" w:line="202" w:lineRule="exact"/>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(in millions, except per share value)</w:t>
            </w:r>
          </w:p>
        </w:tc>
        <w:tc>
          <w:tcPr>
            <w:tcW w:w="120" w:type="dxa"/>
            <w:vAlign w:val="bottom"/>
          </w:tcPr>
          <w:p>
            <w:pPr>
              <w:spacing w:after="0"/>
              <w:rPr>
                <w:sz w:val="12"/>
                <w:szCs w:val="12"/>
                <w:color w:val="auto"/>
              </w:rPr>
            </w:pPr>
          </w:p>
        </w:tc>
        <w:tc>
          <w:tcPr>
            <w:tcW w:w="1020" w:type="dxa"/>
            <w:vAlign w:val="bottom"/>
          </w:tcPr>
          <w:p>
            <w:pPr>
              <w:jc w:val="right"/>
              <w:ind w:right="311"/>
              <w:spacing w:after="0" w:line="149" w:lineRule="exact"/>
              <w:rPr>
                <w:sz w:val="20"/>
                <w:szCs w:val="20"/>
                <w:color w:val="auto"/>
              </w:rPr>
            </w:pPr>
            <w:r>
              <w:rPr>
                <w:rFonts w:ascii="Arial" w:cs="Arial" w:eastAsia="Arial" w:hAnsi="Arial"/>
                <w:sz w:val="17"/>
                <w:szCs w:val="17"/>
                <w:b w:val="1"/>
                <w:bCs w:val="1"/>
                <w:color w:val="auto"/>
              </w:rPr>
              <w:t>2017</w:t>
            </w:r>
          </w:p>
        </w:tc>
        <w:tc>
          <w:tcPr>
            <w:tcW w:w="140" w:type="dxa"/>
            <w:vAlign w:val="bottom"/>
            <w:tcBorders>
              <w:right w:val="single" w:sz="8" w:color="auto"/>
            </w:tcBorders>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0" w:type="dxa"/>
            <w:vAlign w:val="bottom"/>
            <w:tcBorders>
              <w:left w:val="single" w:sz="8" w:color="auto"/>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right w:val="single" w:sz="8" w:color="auto"/>
            </w:tcBorders>
            <w:gridSpan w:val="2"/>
            <w:vMerge w:val="restart"/>
          </w:tcPr>
          <w:p>
            <w:pPr>
              <w:jc w:val="right"/>
              <w:ind w:right="300"/>
              <w:spacing w:after="0" w:line="189" w:lineRule="exact"/>
              <w:rPr>
                <w:sz w:val="20"/>
                <w:szCs w:val="20"/>
                <w:color w:val="auto"/>
              </w:rPr>
            </w:pPr>
            <w:r>
              <w:rPr>
                <w:rFonts w:ascii="Arial" w:cs="Arial" w:eastAsia="Arial" w:hAnsi="Arial"/>
                <w:sz w:val="18"/>
                <w:szCs w:val="18"/>
                <w:color w:val="auto"/>
                <w:w w:val="92"/>
              </w:rPr>
              <w:t>(unaudited)</w:t>
            </w:r>
          </w:p>
        </w:tc>
        <w:tc>
          <w:tcPr>
            <w:tcW w:w="8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 w:type="dxa"/>
            <w:vAlign w:val="bottom"/>
            <w:tcBorders>
              <w:left w:val="single" w:sz="8" w:color="auto"/>
              <w:bottom w:val="single" w:sz="8" w:color="auto"/>
            </w:tcBorders>
          </w:tcPr>
          <w:p>
            <w:pPr>
              <w:spacing w:after="0"/>
              <w:rPr>
                <w:sz w:val="5"/>
                <w:szCs w:val="5"/>
                <w:color w:val="auto"/>
              </w:rPr>
            </w:pPr>
          </w:p>
        </w:tc>
        <w:tc>
          <w:tcPr>
            <w:tcW w:w="840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gridSpan w:val="2"/>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82.6</w:t>
            </w:r>
          </w:p>
        </w:tc>
        <w:tc>
          <w:tcPr>
            <w:tcW w:w="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84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 of tax</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Amortization of debt issuance costs, net of tax</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Borders>
              <w:left w:val="single" w:sz="8" w:color="auto"/>
              <w:right w:val="single" w:sz="8" w:color="auto"/>
            </w:tcBorders>
            <w:gridSpan w:val="2"/>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Net Income, adjusted ("if converted")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rPr>
              <w:t>85.9</w:t>
            </w:r>
          </w:p>
        </w:tc>
        <w:tc>
          <w:tcPr>
            <w:tcW w:w="140" w:type="dxa"/>
            <w:vAlign w:val="bottom"/>
            <w:tcBorders>
              <w:right w:val="single" w:sz="8" w:color="auto"/>
            </w:tcBorders>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66.6</w:t>
            </w: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Borders>
              <w:left w:val="single" w:sz="8" w:color="auto"/>
              <w:right w:val="single" w:sz="8" w:color="auto"/>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Net Income Per Diluted Share, adjusted ("if converted")</w:t>
            </w:r>
          </w:p>
        </w:tc>
        <w:tc>
          <w:tcPr>
            <w:tcW w:w="120" w:type="dxa"/>
            <w:vAlign w:val="bottom"/>
            <w:vMerge w:val="continue"/>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1.71</w:t>
            </w:r>
          </w:p>
        </w:tc>
        <w:tc>
          <w:tcPr>
            <w:tcW w:w="860" w:type="dxa"/>
            <w:vAlign w:val="bottom"/>
            <w:gridSpan w:val="2"/>
            <w:vMerge w:val="continue"/>
            <w:shd w:val="clear" w:color="auto" w:fill="CCEEFF"/>
          </w:tcPr>
          <w:p>
            <w:pPr>
              <w:spacing w:after="0"/>
              <w:rPr>
                <w:sz w:val="17"/>
                <w:szCs w:val="17"/>
                <w:color w:val="auto"/>
              </w:rPr>
            </w:pPr>
          </w:p>
        </w:tc>
        <w:tc>
          <w:tcPr>
            <w:tcW w:w="46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6"/>
              </w:rPr>
              <w:t>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84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Weighted Average Diluted Shares</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50.3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6"/>
              </w:rPr>
              <w:t>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For the twelve months of 2017, adjusted net income, a non-GAAP measure, was $95.7 million, or $1.90 per diluted share, versus $77.5 million, or $1.57 per diluted share, in 2016. See "Reconciliation of Net Income to Adjusted Net Income and EBITDA" for a definition of terms and a reconciliation table.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&amp; OPERATIONAL GOALS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Financial Forecast:</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revenue of $715 to $755 million</w:t>
      </w:r>
    </w:p>
    <w:p>
      <w:pPr>
        <w:sectPr>
          <w:pgSz w:w="11900" w:h="16838" w:orient="portrait"/>
          <w:cols w:equalWidth="0" w:num="1">
            <w:col w:w="11420"/>
          </w:cols>
          <w:pgMar w:left="240" w:top="125" w:right="239" w:bottom="0" w:gutter="0" w:footer="0" w:header="0"/>
        </w:sectPr>
      </w:pPr>
    </w:p>
    <w:bookmarkStart w:id="5" w:name="page6"/>
    <w:bookmarkEnd w:id="5"/>
    <w:p>
      <w:pPr>
        <w:ind w:left="660" w:hanging="328"/>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Pre-Tax income of $120 to $140 million</w:t>
      </w:r>
    </w:p>
    <w:p>
      <w:pPr>
        <w:spacing w:after="0" w:line="11" w:lineRule="exact"/>
        <w:rPr>
          <w:rFonts w:ascii="Arial" w:cs="Arial" w:eastAsia="Arial" w:hAnsi="Arial"/>
          <w:sz w:val="18"/>
          <w:szCs w:val="18"/>
          <w:color w:val="auto"/>
        </w:rPr>
      </w:pPr>
    </w:p>
    <w:p>
      <w:pPr>
        <w:ind w:left="660" w:hanging="328"/>
        <w:spacing w:after="0" w:line="218"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income of $95 to $110 million</w:t>
      </w:r>
    </w:p>
    <w:p>
      <w:pPr>
        <w:ind w:left="660" w:hanging="328"/>
        <w:spacing w:after="0" w:line="183" w:lineRule="auto"/>
        <w:tabs>
          <w:tab w:leader="none" w:pos="6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 xml:space="preserve">Adjusted net income of $110 to $125 million </w:t>
      </w:r>
      <w:r>
        <w:rPr>
          <w:rFonts w:ascii="Arial" w:cs="Arial" w:eastAsia="Arial" w:hAnsi="Arial"/>
          <w:sz w:val="23"/>
          <w:szCs w:val="23"/>
          <w:color w:val="auto"/>
          <w:vertAlign w:val="superscript"/>
        </w:rPr>
        <w:t>(2)</w:t>
      </w:r>
    </w:p>
    <w:p>
      <w:pPr>
        <w:ind w:left="660" w:hanging="328"/>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EBITDA of $175 to $190 million </w:t>
      </w:r>
      <w:r>
        <w:rPr>
          <w:rFonts w:ascii="Arial" w:cs="Arial" w:eastAsia="Arial" w:hAnsi="Arial"/>
          <w:sz w:val="30"/>
          <w:szCs w:val="30"/>
          <w:color w:val="auto"/>
          <w:vertAlign w:val="superscript"/>
        </w:rPr>
        <w:t>(2)</w:t>
      </w:r>
    </w:p>
    <w:p>
      <w:pPr>
        <w:spacing w:after="0" w:line="57"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See "Reconciliation of Net Income to Adjusted Net Income and EBITDA" for a definition of terms and a reconciliation table.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Operational Goals:</w:t>
      </w:r>
    </w:p>
    <w:p>
      <w:pPr>
        <w:spacing w:after="0" w:line="1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NuThrax development to enable Emergency Use Authorization filing with the FDA in 2018</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Complete ACAM2000 deliveries; establish a multi-year follow-on contract with the U.S. government</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Deliver Raxibacumab doses under current contract; advance tech transfer to the company's CIADM Bayview facility in Baltimore, Maryland</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pipeline to have at least four product candidates in advanced development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Complete an acquisition that generates revenue within 12 months of closing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1Q 2018 Financial Forecast (Revised):</w:t>
      </w:r>
    </w:p>
    <w:p>
      <w:pPr>
        <w:spacing w:after="0" w:line="104" w:lineRule="exact"/>
        <w:rPr>
          <w:sz w:val="20"/>
          <w:szCs w:val="20"/>
          <w:color w:val="auto"/>
        </w:rPr>
      </w:pPr>
    </w:p>
    <w:p>
      <w:pPr>
        <w:ind w:left="660" w:right="6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revenue of $125 to $150 million; previous forecast was $145 to $160 million; the revision primarily reflects the timing of deliveries of BioThrax</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&amp; OPERATIONAL GOALS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targeting the following 2020 financial and operational goals:</w:t>
      </w:r>
    </w:p>
    <w:p>
      <w:pPr>
        <w:spacing w:after="0" w:line="7" w:lineRule="exact"/>
        <w:rPr>
          <w:sz w:val="20"/>
          <w:szCs w:val="20"/>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Total Revenue: $1 billion</w:t>
      </w:r>
    </w:p>
    <w:p>
      <w:pPr>
        <w:ind w:left="660" w:hanging="328"/>
        <w:spacing w:after="0" w:line="23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Revenue Mix: at least 10% of total revenue from ex-US customers</w:t>
      </w:r>
    </w:p>
    <w:p>
      <w:pPr>
        <w:ind w:left="660" w:hanging="328"/>
        <w:spacing w:after="0" w:line="183" w:lineRule="auto"/>
        <w:tabs>
          <w:tab w:leader="none" w:pos="6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 xml:space="preserve">Expense Discipline: Net R&amp;D &lt;15% of net revenue </w:t>
      </w:r>
      <w:r>
        <w:rPr>
          <w:rFonts w:ascii="Arial" w:cs="Arial" w:eastAsia="Arial" w:hAnsi="Arial"/>
          <w:sz w:val="23"/>
          <w:szCs w:val="23"/>
          <w:color w:val="auto"/>
          <w:vertAlign w:val="superscript"/>
        </w:rPr>
        <w:t>(4)</w:t>
      </w:r>
      <w:r>
        <w:rPr>
          <w:rFonts w:ascii="Arial" w:cs="Arial" w:eastAsia="Arial" w:hAnsi="Arial"/>
          <w:sz w:val="15"/>
          <w:szCs w:val="15"/>
          <w:color w:val="auto"/>
        </w:rPr>
        <w:t>; SG&amp;A &lt;25% of total revenue</w:t>
      </w:r>
    </w:p>
    <w:p>
      <w:pPr>
        <w:ind w:left="660" w:hanging="328"/>
        <w:spacing w:after="0" w:line="23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Net Income: at least 14% of total revenue</w:t>
      </w: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Product Development Pipeline: Six products in clinical or advanced development (with at least three dual-market opportunities)</w:t>
      </w:r>
    </w:p>
    <w:p>
      <w:pPr>
        <w:spacing w:after="0" w:line="168"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Total Revenue less Contracts &amp; Grants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08" w:lineRule="exact"/>
        <w:rPr>
          <w:sz w:val="20"/>
          <w:szCs w:val="20"/>
          <w:color w:val="auto"/>
        </w:rPr>
      </w:pPr>
    </w:p>
    <w:p>
      <w:pPr>
        <w:jc w:val="both"/>
        <w:ind w:right="360"/>
        <w:spacing w:after="0" w:line="262" w:lineRule="auto"/>
        <w:rPr>
          <w:sz w:val="20"/>
          <w:szCs w:val="20"/>
          <w:color w:val="auto"/>
        </w:rPr>
      </w:pPr>
      <w:r>
        <w:rPr>
          <w:rFonts w:ascii="Arial" w:cs="Arial" w:eastAsia="Arial" w:hAnsi="Arial"/>
          <w:sz w:val="18"/>
          <w:szCs w:val="18"/>
          <w:color w:val="auto"/>
        </w:rPr>
        <w:t>Company management will host a conference call at 5:00 pm (Eastern Time) today, February 22, 2018, to discuss these financial results. This conference call can be accessed live by telephone or through Emergent's website: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Live Teleconference Information</w:t>
      </w:r>
      <w:r>
        <w:rPr>
          <w:rFonts w:ascii="Arial" w:cs="Arial" w:eastAsia="Arial" w:hAnsi="Arial"/>
          <w:sz w:val="18"/>
          <w:szCs w:val="18"/>
          <w:b w:val="1"/>
          <w:bCs w:val="1"/>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Dial in number: </w:t>
      </w:r>
      <w:r>
        <w:rPr>
          <w:rFonts w:ascii="Arial" w:cs="Arial" w:eastAsia="Arial" w:hAnsi="Arial"/>
          <w:sz w:val="18"/>
          <w:szCs w:val="18"/>
          <w:b w:val="1"/>
          <w:bCs w:val="1"/>
          <w:color w:val="auto"/>
        </w:rPr>
        <w:t>(855) 766-6521</w:t>
      </w:r>
    </w:p>
    <w:p>
      <w:pPr>
        <w:spacing w:after="0" w:line="234" w:lineRule="auto"/>
        <w:rPr>
          <w:sz w:val="20"/>
          <w:szCs w:val="20"/>
          <w:color w:val="auto"/>
        </w:rPr>
      </w:pPr>
      <w:r>
        <w:rPr>
          <w:rFonts w:ascii="Arial" w:cs="Arial" w:eastAsia="Arial" w:hAnsi="Arial"/>
          <w:sz w:val="18"/>
          <w:szCs w:val="18"/>
          <w:color w:val="auto"/>
        </w:rPr>
        <w:t>International dial in: (262) 912-6157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Conference ID: </w:t>
      </w:r>
      <w:r>
        <w:rPr>
          <w:rFonts w:ascii="Arial" w:cs="Arial" w:eastAsia="Arial" w:hAnsi="Arial"/>
          <w:sz w:val="18"/>
          <w:szCs w:val="18"/>
          <w:b w:val="1"/>
          <w:bCs w:val="1"/>
          <w:color w:val="auto"/>
        </w:rPr>
        <w:t>93325042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Live Webcast Information</w:t>
      </w:r>
      <w:r>
        <w:rPr>
          <w:rFonts w:ascii="Arial" w:cs="Arial" w:eastAsia="Arial" w:hAnsi="Arial"/>
          <w:sz w:val="18"/>
          <w:szCs w:val="18"/>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Visit edge.media-server.com/m6/p/qhvnyd93 for the live webcast feed.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can be accessed on Emergent's website emergentbiosolutions.com under "Investors."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108"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Emergent BioSolutions Inc. is a global life sciences company seeking to protect and enhance life by focusing on providing specialty products for civilian and military populations that address accidental, intentional, and naturally occurring public health threats. Through our work, we envision protecting and enhancing 50 million lives with our products by 2025. Additional information about the company may be found at www.emergentbiosolutions.com. Follow us on Twitter @emergentbiosolu and Instagram @life_at_emergent.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0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Any statements, other than statements of historical fact, including, without limitation, our financial guidance, statements regarding the potential opportunities and anticipated financial implications of our acquisitions of the ACAM2000 business from Sanofi Pasteur Biologics, LLC and Raxibacumab from GlaxoSmithKline LLC, and any other statements containing the words "will," "believes," "expects," "anticipates," "intends," "plans," "targets," "forecasts," "estimates" and similar expressions in conjunction with, among other things, discussions of the Company's outlook, financial performance or financial condition, strategic goals, growth strategy, acquisition strategy, product sales, government development or procurement contracts or awards, government appropriations, manufacturing capabilities, product development and delivery timeline, and Emergency Use Authorization (EUA) and the timing of other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5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There are a number of important factors that could cause the Company's actual results to differ materially from those indicated by such forward-looking statements, including the availability of funding and the exercise of options under our BioThrax and NuThrax contracts; appropriations for the procurement of our products; our ability to secure EUA pre-authorization approval and licensure of NuThrax from the FDA within the anticipated timeframe, if at all; availability of funding for our U.S. government grants and contracts; our ability to identify and acquire or in-license products or product candidates that satisfy our selection criteria; our ability to successfully integrate and develop the products or product candidates, programs, operations and personnel of any entities, businesses or products that we acquire, including our recently completed acquisitions of the ACAM2000 business from Sanofi and Raxibacumab from GSK and the timing and receipt of required FDA approvals for actions contemplated in connection with our integration of these products; whether anticipated synergies and benefits from an acquisition or in-license are realized within expected time periods, if at all; our ability to utilize our manufacturing facilities and expand our capabilities; our ability and the ability of our contractors and suppliers to maintain compliance with Current Good Manufacturing Practices and other regulatory obligations; the results of regulatory inspections; the outcome of the purported class action lawsuit filed against us and possible other future material legal proceedings; our ability to meet operating and financial restrictions placed on us and our subsidiaries that are contained in our senior credit facility; the success of our ongoing and planned development programs;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w:t>
      </w:r>
    </w:p>
    <w:p>
      <w:pPr>
        <w:sectPr>
          <w:pgSz w:w="11900" w:h="16838" w:orient="portrait"/>
          <w:cols w:equalWidth="0" w:num="1">
            <w:col w:w="11400"/>
          </w:cols>
          <w:pgMar w:left="240" w:top="125" w:right="259" w:bottom="0" w:gutter="0" w:footer="0" w:header="0"/>
        </w:sectPr>
      </w:pPr>
    </w:p>
    <w:bookmarkStart w:id="6" w:name="page7"/>
    <w:bookmarkEnd w:id="6"/>
    <w:p>
      <w:pPr>
        <w:spacing w:after="0" w:line="6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statement, as well as the risk factors identified in our periodic reports filed with the Securities and Exchange Commission, when evaluating our forward-looking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5080" w:type="dxa"/>
            <w:vAlign w:val="bottom"/>
          </w:tcPr>
          <w:p>
            <w:pPr>
              <w:ind w:left="1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76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5260" w:type="dxa"/>
            <w:vAlign w:val="bottom"/>
            <w:gridSpan w:val="2"/>
          </w:tcPr>
          <w:p>
            <w:pPr>
              <w:ind w:left="1960"/>
              <w:spacing w:after="0"/>
              <w:rPr>
                <w:sz w:val="20"/>
                <w:szCs w:val="20"/>
                <w:color w:val="auto"/>
              </w:rPr>
            </w:pPr>
            <w:r>
              <w:rPr>
                <w:rFonts w:ascii="Arial" w:cs="Arial" w:eastAsia="Arial" w:hAnsi="Arial"/>
                <w:sz w:val="18"/>
                <w:szCs w:val="18"/>
                <w:b w:val="1"/>
                <w:bCs w:val="1"/>
                <w:color w:val="auto"/>
              </w:rPr>
              <w:t>Media Contact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Robert Burrows</w:t>
            </w:r>
          </w:p>
        </w:tc>
        <w:tc>
          <w:tcPr>
            <w:tcW w:w="5260" w:type="dxa"/>
            <w:vAlign w:val="bottom"/>
            <w:gridSpan w:val="2"/>
          </w:tcPr>
          <w:p>
            <w:pPr>
              <w:ind w:left="1960"/>
              <w:spacing w:after="0" w:line="202" w:lineRule="exact"/>
              <w:rPr>
                <w:sz w:val="20"/>
                <w:szCs w:val="20"/>
                <w:color w:val="auto"/>
              </w:rPr>
            </w:pPr>
            <w:r>
              <w:rPr>
                <w:rFonts w:ascii="Arial" w:cs="Arial" w:eastAsia="Arial" w:hAnsi="Arial"/>
                <w:sz w:val="18"/>
                <w:szCs w:val="18"/>
                <w:color w:val="auto"/>
              </w:rPr>
              <w:t>Lynn Kieffer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Vice President, Investor Relations</w:t>
            </w:r>
          </w:p>
        </w:tc>
        <w:tc>
          <w:tcPr>
            <w:tcW w:w="5260" w:type="dxa"/>
            <w:vAlign w:val="bottom"/>
            <w:gridSpan w:val="2"/>
          </w:tcPr>
          <w:p>
            <w:pPr>
              <w:ind w:left="1960"/>
              <w:spacing w:after="0" w:line="202" w:lineRule="exact"/>
              <w:rPr>
                <w:sz w:val="20"/>
                <w:szCs w:val="20"/>
                <w:color w:val="auto"/>
              </w:rPr>
            </w:pPr>
            <w:r>
              <w:rPr>
                <w:rFonts w:ascii="Arial" w:cs="Arial" w:eastAsia="Arial" w:hAnsi="Arial"/>
                <w:sz w:val="18"/>
                <w:szCs w:val="18"/>
                <w:color w:val="auto"/>
                <w:w w:val="95"/>
              </w:rPr>
              <w:t>Vice President, Corporate Communications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(o) 240/631-3280; (m) 240/413-1917</w:t>
            </w:r>
          </w:p>
        </w:tc>
        <w:tc>
          <w:tcPr>
            <w:tcW w:w="5260" w:type="dxa"/>
            <w:vAlign w:val="bottom"/>
            <w:gridSpan w:val="2"/>
          </w:tcPr>
          <w:p>
            <w:pPr>
              <w:ind w:left="1960"/>
              <w:spacing w:after="0" w:line="202" w:lineRule="exact"/>
              <w:rPr>
                <w:sz w:val="20"/>
                <w:szCs w:val="20"/>
                <w:color w:val="auto"/>
              </w:rPr>
            </w:pPr>
            <w:r>
              <w:rPr>
                <w:rFonts w:ascii="Arial" w:cs="Arial" w:eastAsia="Arial" w:hAnsi="Arial"/>
                <w:sz w:val="18"/>
                <w:szCs w:val="18"/>
                <w:color w:val="auto"/>
              </w:rPr>
              <w:t>(o) 240/631-3391</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burrowsr@ebsi.com</w:t>
            </w:r>
          </w:p>
        </w:tc>
        <w:tc>
          <w:tcPr>
            <w:tcW w:w="5260" w:type="dxa"/>
            <w:vAlign w:val="bottom"/>
            <w:gridSpan w:val="2"/>
          </w:tcPr>
          <w:p>
            <w:pPr>
              <w:ind w:left="1960"/>
              <w:spacing w:after="0"/>
              <w:rPr>
                <w:sz w:val="20"/>
                <w:szCs w:val="20"/>
                <w:color w:val="auto"/>
              </w:rPr>
            </w:pPr>
            <w:r>
              <w:rPr>
                <w:rFonts w:ascii="Arial" w:cs="Arial" w:eastAsia="Arial" w:hAnsi="Arial"/>
                <w:sz w:val="18"/>
                <w:szCs w:val="18"/>
                <w:color w:val="auto"/>
              </w:rPr>
              <w:t>kiefferl@ebsi.com</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760" w:type="dxa"/>
            <w:vAlign w:val="bottom"/>
          </w:tcPr>
          <w:p>
            <w:pPr>
              <w:spacing w:after="0"/>
              <w:rPr>
                <w:sz w:val="20"/>
                <w:szCs w:val="20"/>
                <w:color w:val="auto"/>
              </w:rPr>
            </w:pPr>
            <w:r>
              <w:rPr>
                <w:rFonts w:ascii="Arial" w:cs="Arial" w:eastAsia="Arial" w:hAnsi="Arial"/>
                <w:sz w:val="18"/>
                <w:szCs w:val="18"/>
                <w:b w:val="1"/>
                <w:bCs w:val="1"/>
                <w:color w:val="auto"/>
              </w:rPr>
              <w:t>FINANCIAL STATEMENTS FOLLOW</w:t>
            </w:r>
          </w:p>
        </w:tc>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3760" w:type="dxa"/>
            <w:vAlign w:val="bottom"/>
          </w:tcPr>
          <w:p>
            <w:pPr>
              <w:spacing w:after="0"/>
              <w:rPr>
                <w:sz w:val="24"/>
                <w:szCs w:val="24"/>
                <w:color w:val="auto"/>
              </w:rPr>
            </w:pPr>
          </w:p>
        </w:tc>
        <w:tc>
          <w:tcPr>
            <w:tcW w:w="5260" w:type="dxa"/>
            <w:vAlign w:val="bottom"/>
            <w:gridSpan w:val="2"/>
          </w:tcPr>
          <w:p>
            <w:pPr>
              <w:jc w:val="center"/>
              <w:ind w:right="1370"/>
              <w:spacing w:after="0"/>
              <w:rPr>
                <w:sz w:val="20"/>
                <w:szCs w:val="20"/>
                <w:color w:val="auto"/>
              </w:rPr>
            </w:pPr>
            <w:r>
              <w:rPr>
                <w:rFonts w:ascii="Arial" w:cs="Arial" w:eastAsia="Arial" w:hAnsi="Arial"/>
                <w:sz w:val="18"/>
                <w:szCs w:val="18"/>
                <w:b w:val="1"/>
                <w:bCs w:val="1"/>
                <w:color w:val="auto"/>
                <w:w w:val="89"/>
              </w:rPr>
              <w:t>Emergent BioSolutions Inc. and Subsidiaries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5260" w:type="dxa"/>
            <w:vAlign w:val="bottom"/>
            <w:gridSpan w:val="2"/>
          </w:tcPr>
          <w:p>
            <w:pPr>
              <w:jc w:val="center"/>
              <w:ind w:right="13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5260" w:type="dxa"/>
            <w:vAlign w:val="bottom"/>
            <w:gridSpan w:val="2"/>
          </w:tcPr>
          <w:p>
            <w:pPr>
              <w:jc w:val="center"/>
              <w:ind w:right="13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7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58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December</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line="170" w:lineRule="exact"/>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5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189"/>
        </w:trPr>
        <w:tc>
          <w:tcPr>
            <w:tcW w:w="3760" w:type="dxa"/>
            <w:vAlign w:val="bottom"/>
            <w:vMerge w:val="continue"/>
          </w:tcPr>
          <w:p>
            <w:pPr>
              <w:spacing w:after="0"/>
              <w:rPr>
                <w:sz w:val="16"/>
                <w:szCs w:val="16"/>
                <w:color w:val="auto"/>
              </w:rPr>
            </w:pPr>
          </w:p>
        </w:tc>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w:t>
            </w:r>
          </w:p>
        </w:tc>
        <w:tc>
          <w:tcPr>
            <w:tcW w:w="5260" w:type="dxa"/>
            <w:vAlign w:val="bottom"/>
            <w:gridSpan w:val="2"/>
            <w:shd w:val="clear" w:color="auto" w:fill="CCEEFF"/>
          </w:tcPr>
          <w:p>
            <w:pPr>
              <w:ind w:left="50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87,493</w:t>
            </w: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Contract manufacturing</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16,683</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Contracts and grants</w:t>
            </w:r>
          </w:p>
        </w:tc>
        <w:tc>
          <w:tcPr>
            <w:tcW w:w="50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193,809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151,663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5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Cost of product sales and contract manufacturing</w:t>
            </w:r>
          </w:p>
        </w:tc>
        <w:tc>
          <w:tcPr>
            <w:tcW w:w="5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38,259</w:t>
            </w: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27,117</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50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50,929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5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5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5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5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other expense, net</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5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49,122</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0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260" w:type="dxa"/>
            <w:vAlign w:val="bottom"/>
            <w:gridSpan w:val="2"/>
          </w:tcPr>
          <w:p>
            <w:pPr>
              <w:ind w:left="50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33,942</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32,286</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5260" w:type="dxa"/>
            <w:vAlign w:val="bottom"/>
            <w:gridSpan w:val="2"/>
          </w:tcPr>
          <w:p>
            <w:pPr>
              <w:ind w:left="50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0.77</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 (5)</w:t>
            </w:r>
          </w:p>
        </w:tc>
        <w:tc>
          <w:tcPr>
            <w:tcW w:w="5260" w:type="dxa"/>
            <w:vAlign w:val="bottom"/>
            <w:gridSpan w:val="2"/>
            <w:shd w:val="clear" w:color="auto" w:fill="CCEEFF"/>
          </w:tcPr>
          <w:p>
            <w:pPr>
              <w:ind w:left="50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 basic</w:t>
            </w:r>
          </w:p>
        </w:tc>
        <w:tc>
          <w:tcPr>
            <w:tcW w:w="5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44,269,276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40,519,002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w w:val="96"/>
              </w:rPr>
              <w:t>Weighted-average number of shares - diluted</w:t>
            </w: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51,004,378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49,572,655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5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620" w:hanging="330"/>
        <w:spacing w:after="0" w:line="235" w:lineRule="auto"/>
        <w:tabs>
          <w:tab w:leader="none" w:pos="6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"Net Income and Adjusted Net Income" within section "(I) Quarter Ended December 31, 2017 and 2016 (Unaudited)" for explanation of adjustments to denominator for per diluted share calculation.</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Twelve Months Ended</w:t>
      </w:r>
    </w:p>
    <w:p>
      <w:pPr>
        <w:jc w:val="center"/>
        <w:ind w:left="8700"/>
        <w:spacing w:after="0" w:line="219" w:lineRule="auto"/>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21"/>
        </w:trPr>
        <w:tc>
          <w:tcPr>
            <w:tcW w:w="6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840" w:type="dxa"/>
            <w:vAlign w:val="bottom"/>
            <w:gridSpan w:val="4"/>
          </w:tcPr>
          <w:p>
            <w:pPr>
              <w:ind w:left="256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26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w:t>
            </w:r>
          </w:p>
        </w:tc>
        <w:tc>
          <w:tcPr>
            <w:tcW w:w="28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421,516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296,278</w:t>
            </w:r>
          </w:p>
        </w:tc>
        <w:tc>
          <w:tcPr>
            <w:tcW w:w="0" w:type="dxa"/>
            <w:vAlign w:val="bottom"/>
          </w:tcPr>
          <w:p>
            <w:pPr>
              <w:spacing w:after="0"/>
              <w:rPr>
                <w:sz w:val="1"/>
                <w:szCs w:val="1"/>
                <w:color w:val="auto"/>
              </w:rPr>
            </w:pPr>
          </w:p>
        </w:tc>
      </w:tr>
      <w:tr>
        <w:trPr>
          <w:trHeight w:val="216"/>
        </w:trPr>
        <w:tc>
          <w:tcPr>
            <w:tcW w:w="6260" w:type="dxa"/>
            <w:vAlign w:val="bottom"/>
          </w:tcPr>
          <w:p>
            <w:pPr>
              <w:ind w:left="160"/>
              <w:spacing w:after="0"/>
              <w:rPr>
                <w:sz w:val="20"/>
                <w:szCs w:val="20"/>
                <w:color w:val="auto"/>
              </w:rPr>
            </w:pPr>
            <w:r>
              <w:rPr>
                <w:rFonts w:ascii="Arial" w:cs="Arial" w:eastAsia="Arial" w:hAnsi="Arial"/>
                <w:sz w:val="18"/>
                <w:szCs w:val="18"/>
                <w:color w:val="auto"/>
              </w:rPr>
              <w:t>Contract manufacturing</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68,935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49,138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 and grants</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143,366</w:t>
            </w:r>
          </w:p>
        </w:tc>
        <w:tc>
          <w:tcPr>
            <w:tcW w:w="0" w:type="dxa"/>
            <w:vAlign w:val="bottom"/>
          </w:tcPr>
          <w:p>
            <w:pPr>
              <w:spacing w:after="0"/>
              <w:rPr>
                <w:sz w:val="1"/>
                <w:szCs w:val="1"/>
                <w:color w:val="auto"/>
              </w:rPr>
            </w:pPr>
          </w:p>
        </w:tc>
      </w:tr>
      <w:tr>
        <w:trPr>
          <w:trHeight w:val="27"/>
        </w:trPr>
        <w:tc>
          <w:tcPr>
            <w:tcW w:w="62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560,873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488,782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sales and contract manufacturing</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131,284</w:t>
            </w:r>
          </w:p>
        </w:tc>
        <w:tc>
          <w:tcPr>
            <w:tcW w:w="0" w:type="dxa"/>
            <w:vAlign w:val="bottom"/>
          </w:tcPr>
          <w:p>
            <w:pPr>
              <w:spacing w:after="0"/>
              <w:rPr>
                <w:sz w:val="1"/>
                <w:szCs w:val="1"/>
                <w:color w:val="auto"/>
              </w:rPr>
            </w:pPr>
          </w:p>
        </w:tc>
      </w:tr>
      <w:tr>
        <w:trPr>
          <w:trHeight w:val="216"/>
        </w:trPr>
        <w:tc>
          <w:tcPr>
            <w:tcW w:w="6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108,290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143,497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143,686</w:t>
            </w:r>
          </w:p>
        </w:tc>
        <w:tc>
          <w:tcPr>
            <w:tcW w:w="0" w:type="dxa"/>
            <w:vAlign w:val="bottom"/>
          </w:tcPr>
          <w:p>
            <w:pPr>
              <w:spacing w:after="0"/>
              <w:rPr>
                <w:sz w:val="1"/>
                <w:szCs w:val="1"/>
                <w:color w:val="auto"/>
              </w:rPr>
            </w:pPr>
          </w:p>
        </w:tc>
      </w:tr>
      <w:tr>
        <w:trPr>
          <w:trHeight w:val="27"/>
        </w:trPr>
        <w:tc>
          <w:tcPr>
            <w:tcW w:w="62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124,285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105,522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6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124"/>
        </w:trPr>
        <w:tc>
          <w:tcPr>
            <w:tcW w:w="626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440" w:type="dxa"/>
            <w:vAlign w:val="bottom"/>
            <w:shd w:val="clear" w:color="auto" w:fill="CCEEFF"/>
          </w:tcPr>
          <w:p>
            <w:pPr>
              <w:spacing w:after="0"/>
              <w:rPr>
                <w:sz w:val="2"/>
                <w:szCs w:val="2"/>
                <w:color w:val="auto"/>
              </w:rPr>
            </w:pPr>
          </w:p>
        </w:tc>
        <w:tc>
          <w:tcPr>
            <w:tcW w:w="83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 net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before provision for income taxes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118,633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99,221</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62,524</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82,594</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51,776</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 per share from continuing operations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from discontinued operations - basic</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income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 per share from continuing operations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from discontinued operations - diluted</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income per share - diluted (5)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Weighted-average number of shares - basic</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41,816,431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40,184,159</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 diluted</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50,327,937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49,335,112</w:t>
            </w:r>
          </w:p>
        </w:tc>
        <w:tc>
          <w:tcPr>
            <w:tcW w:w="0" w:type="dxa"/>
            <w:vAlign w:val="bottom"/>
          </w:tcPr>
          <w:p>
            <w:pPr>
              <w:spacing w:after="0"/>
              <w:rPr>
                <w:sz w:val="1"/>
                <w:szCs w:val="1"/>
                <w:color w:val="auto"/>
              </w:rPr>
            </w:pPr>
          </w:p>
        </w:tc>
      </w:tr>
      <w:tr>
        <w:trPr>
          <w:trHeight w:val="567"/>
        </w:trPr>
        <w:tc>
          <w:tcPr>
            <w:tcW w:w="440" w:type="dxa"/>
            <w:vAlign w:val="bottom"/>
          </w:tcPr>
          <w:p>
            <w:pPr>
              <w:ind w:left="180"/>
              <w:spacing w:after="0"/>
              <w:rPr>
                <w:sz w:val="20"/>
                <w:szCs w:val="20"/>
                <w:color w:val="auto"/>
              </w:rPr>
            </w:pPr>
            <w:r>
              <w:rPr>
                <w:rFonts w:ascii="Arial" w:cs="Arial" w:eastAsia="Arial" w:hAnsi="Arial"/>
                <w:sz w:val="18"/>
                <w:szCs w:val="18"/>
                <w:color w:val="auto"/>
              </w:rPr>
              <w:t>(5)</w:t>
            </w:r>
          </w:p>
        </w:tc>
        <w:tc>
          <w:tcPr>
            <w:tcW w:w="8380" w:type="dxa"/>
            <w:vAlign w:val="bottom"/>
          </w:tcPr>
          <w:p>
            <w:pPr>
              <w:ind w:left="220"/>
              <w:spacing w:after="0"/>
              <w:rPr>
                <w:sz w:val="20"/>
                <w:szCs w:val="20"/>
                <w:color w:val="auto"/>
              </w:rPr>
            </w:pPr>
            <w:r>
              <w:rPr>
                <w:rFonts w:ascii="Arial" w:cs="Arial" w:eastAsia="Arial" w:hAnsi="Arial"/>
                <w:sz w:val="18"/>
                <w:szCs w:val="18"/>
                <w:color w:val="auto"/>
              </w:rPr>
              <w:t>See "Net Income and Adjusted Net Income" within section "(II) Year Ended December 31, 2017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380" w:type="dxa"/>
            <w:vAlign w:val="bottom"/>
          </w:tcPr>
          <w:p>
            <w:pPr>
              <w:ind w:left="60"/>
              <w:spacing w:after="0"/>
              <w:rPr>
                <w:sz w:val="20"/>
                <w:szCs w:val="20"/>
                <w:color w:val="auto"/>
              </w:rPr>
            </w:pPr>
            <w:r>
              <w:rPr>
                <w:rFonts w:ascii="Arial" w:cs="Arial" w:eastAsia="Arial" w:hAnsi="Arial"/>
                <w:sz w:val="18"/>
                <w:szCs w:val="18"/>
                <w:color w:val="auto"/>
              </w:rPr>
              <w:t>(Unaudited)" for explanation of adjustments to denominator for per diluted share calculation.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440" w:type="dxa"/>
            <w:vAlign w:val="bottom"/>
          </w:tcPr>
          <w:p>
            <w:pPr>
              <w:spacing w:after="0"/>
              <w:rPr>
                <w:sz w:val="24"/>
                <w:szCs w:val="24"/>
                <w:color w:val="auto"/>
              </w:rPr>
            </w:pPr>
          </w:p>
        </w:tc>
        <w:tc>
          <w:tcPr>
            <w:tcW w:w="83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Emergent BioSolutions Inc. and Subsidiaries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80" w:type="dxa"/>
            <w:vAlign w:val="bottom"/>
          </w:tcPr>
          <w:p>
            <w:pPr>
              <w:jc w:val="center"/>
              <w:ind w:left="197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380" w:type="dxa"/>
            <w:vAlign w:val="bottom"/>
          </w:tcPr>
          <w:p>
            <w:pPr>
              <w:jc w:val="center"/>
              <w:ind w:left="19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380" w:type="dxa"/>
            <w:vAlign w:val="bottom"/>
            <w:vMerge w:val="restart"/>
          </w:tcPr>
          <w:p>
            <w:pPr>
              <w:jc w:val="center"/>
              <w:ind w:right="470"/>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0"/>
              <w:spacing w:after="0" w:line="189" w:lineRule="exact"/>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89"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spacing w:after="0" w:line="203"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178,292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271,513</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138,478</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142,812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74,002</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receivable, net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23"/>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510,218</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407,210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376,448</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33,865</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41,001</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assets, long-term, net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23"/>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1,070,206</w:t>
            </w: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970,111</w:t>
            </w:r>
          </w:p>
        </w:tc>
        <w:tc>
          <w:tcPr>
            <w:tcW w:w="0" w:type="dxa"/>
            <w:vAlign w:val="bottom"/>
          </w:tcPr>
          <w:p>
            <w:pPr>
              <w:spacing w:after="0"/>
              <w:rPr>
                <w:sz w:val="1"/>
                <w:szCs w:val="1"/>
                <w:color w:val="auto"/>
              </w:rPr>
            </w:pPr>
          </w:p>
        </w:tc>
      </w:tr>
      <w:tr>
        <w:trPr>
          <w:trHeight w:val="210"/>
        </w:trPr>
        <w:tc>
          <w:tcPr>
            <w:tcW w:w="440" w:type="dxa"/>
            <w:vAlign w:val="bottom"/>
            <w:tcBorders>
              <w:top w:val="single" w:sz="8" w:color="CCEEFF"/>
            </w:tcBorders>
          </w:tcPr>
          <w:p>
            <w:pPr>
              <w:spacing w:after="0"/>
              <w:rPr>
                <w:sz w:val="18"/>
                <w:szCs w:val="18"/>
                <w:color w:val="auto"/>
              </w:rPr>
            </w:pPr>
          </w:p>
        </w:tc>
        <w:tc>
          <w:tcPr>
            <w:tcW w:w="8380" w:type="dxa"/>
            <w:vAlign w:val="bottom"/>
            <w:tcBorders>
              <w:top w:val="single" w:sz="8" w:color="CCEEFF"/>
            </w:tcBorders>
          </w:tcPr>
          <w:p>
            <w:pPr>
              <w:jc w:val="center"/>
              <w:ind w:right="47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41,751</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34,649</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Contingent consideration, current portion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105,856</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Contingent consideration, net of current portion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Long-term indebtedness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248,094</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payable, net of current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373,906</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20" w:type="dxa"/>
            <w:vAlign w:val="bottom"/>
            <w:gridSpan w:val="2"/>
          </w:tcPr>
          <w:p>
            <w:pPr>
              <w:ind w:left="160"/>
              <w:spacing w:after="0" w:line="135" w:lineRule="exact"/>
              <w:rPr>
                <w:sz w:val="20"/>
                <w:szCs w:val="20"/>
                <w:color w:val="auto"/>
              </w:rPr>
            </w:pPr>
            <w:r>
              <w:rPr>
                <w:rFonts w:ascii="Arial" w:cs="Arial" w:eastAsia="Arial" w:hAnsi="Arial"/>
                <w:sz w:val="15"/>
                <w:szCs w:val="15"/>
                <w:color w:val="auto"/>
              </w:rPr>
              <w:t>Preferred stock, $0.001 par value; 15,000,000 shares authorized, 0 shares issued and outstanding at both December</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820" w:type="dxa"/>
            <w:vAlign w:val="bottom"/>
            <w:gridSpan w:val="2"/>
          </w:tcPr>
          <w:p>
            <w:pPr>
              <w:spacing w:after="0" w:line="189" w:lineRule="exact"/>
              <w:rPr>
                <w:sz w:val="20"/>
                <w:szCs w:val="20"/>
                <w:color w:val="auto"/>
              </w:rPr>
            </w:pPr>
            <w:r>
              <w:rPr>
                <w:rFonts w:ascii="Arial" w:cs="Arial" w:eastAsia="Arial" w:hAnsi="Arial"/>
                <w:sz w:val="18"/>
                <w:szCs w:val="18"/>
                <w:color w:val="auto"/>
              </w:rPr>
              <w:t>31, 2017 and December 31, 2016</w:t>
            </w: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5"/>
                <w:szCs w:val="15"/>
                <w:color w:val="auto"/>
              </w:rPr>
              <w:t>Common stock, $0.001 par value; 200,000,000 shares authorized, 50,619,808 shares issued and 49,405,365 shares</w:t>
            </w:r>
          </w:p>
        </w:tc>
        <w:tc>
          <w:tcPr>
            <w:tcW w:w="100" w:type="dxa"/>
            <w:vAlign w:val="bottom"/>
            <w:shd w:val="clear" w:color="auto" w:fill="CCEEFF"/>
          </w:tcPr>
          <w:p>
            <w:pPr>
              <w:spacing w:after="0"/>
              <w:rPr>
                <w:sz w:val="11"/>
                <w:szCs w:val="11"/>
                <w:color w:val="auto"/>
              </w:rPr>
            </w:pP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9"/>
        </w:trPr>
        <w:tc>
          <w:tcPr>
            <w:tcW w:w="8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1"/>
              </w:rPr>
              <w:t>outstanding at December 31, 2017; 40,996,890 shares issued and 40,574,060 shares outstanding at December 31, 2016</w:t>
            </w:r>
          </w:p>
        </w:tc>
        <w:tc>
          <w:tcPr>
            <w:tcW w:w="100" w:type="dxa"/>
            <w:vAlign w:val="bottom"/>
            <w:shd w:val="clear" w:color="auto" w:fill="CCEEFF"/>
          </w:tcPr>
          <w:p>
            <w:pPr>
              <w:spacing w:after="0"/>
              <w:rPr>
                <w:sz w:val="16"/>
                <w:szCs w:val="16"/>
                <w:color w:val="auto"/>
              </w:rPr>
            </w:pPr>
          </w:p>
        </w:tc>
        <w:tc>
          <w:tcPr>
            <w:tcW w:w="1060" w:type="dxa"/>
            <w:vAlign w:val="bottom"/>
            <w:tcBorders>
              <w:right w:val="single" w:sz="8" w:color="CCEEFF"/>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20" w:type="dxa"/>
            <w:vAlign w:val="bottom"/>
            <w:gridSpan w:val="2"/>
          </w:tcPr>
          <w:p>
            <w:pPr>
              <w:ind w:left="160"/>
              <w:spacing w:after="0" w:line="135" w:lineRule="exact"/>
              <w:rPr>
                <w:sz w:val="20"/>
                <w:szCs w:val="20"/>
                <w:color w:val="auto"/>
              </w:rPr>
            </w:pPr>
            <w:r>
              <w:rPr>
                <w:rFonts w:ascii="Arial" w:cs="Arial" w:eastAsia="Arial" w:hAnsi="Arial"/>
                <w:sz w:val="15"/>
                <w:szCs w:val="15"/>
                <w:color w:val="auto"/>
              </w:rPr>
              <w:t>Treasury stock, at cost, 1,214,443 and 422,830 common shares at December 31, 2017 and December 31, 2016,</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(39,497)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189"/>
        </w:trPr>
        <w:tc>
          <w:tcPr>
            <w:tcW w:w="8820" w:type="dxa"/>
            <w:vAlign w:val="bottom"/>
            <w:gridSpan w:val="2"/>
          </w:tcPr>
          <w:p>
            <w:pPr>
              <w:spacing w:after="0" w:line="189" w:lineRule="exact"/>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352,435</w:t>
            </w:r>
          </w:p>
        </w:tc>
        <w:tc>
          <w:tcPr>
            <w:tcW w:w="0" w:type="dxa"/>
            <w:vAlign w:val="bottom"/>
          </w:tcPr>
          <w:p>
            <w:pPr>
              <w:spacing w:after="0"/>
              <w:rPr>
                <w:sz w:val="1"/>
                <w:szCs w:val="1"/>
                <w:color w:val="auto"/>
              </w:rPr>
            </w:pPr>
          </w:p>
        </w:tc>
      </w:tr>
      <w:tr>
        <w:trPr>
          <w:trHeight w:val="216"/>
        </w:trPr>
        <w:tc>
          <w:tcPr>
            <w:tcW w:w="882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337,074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1,070,206</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970,111</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8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NET INCOME AND EBITDA</w:t>
      </w:r>
    </w:p>
    <w:p>
      <w:pPr>
        <w:sectPr>
          <w:pgSz w:w="11900" w:h="16838" w:orient="portrait"/>
          <w:cols w:equalWidth="0" w:num="1">
            <w:col w:w="11420"/>
          </w:cols>
          <w:pgMar w:left="240" w:top="140" w:right="239" w:bottom="0" w:gutter="0" w:footer="0" w:header="0"/>
          <w:type w:val="continuous"/>
        </w:sectPr>
      </w:pPr>
    </w:p>
    <w:bookmarkStart w:id="8" w:name="page9"/>
    <w:bookmarkEnd w:id="8"/>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This press release contains two financial measures </w:t>
      </w:r>
      <w:r>
        <w:rPr>
          <w:rFonts w:ascii="Arial" w:cs="Arial" w:eastAsia="Arial" w:hAnsi="Arial"/>
          <w:sz w:val="17"/>
          <w:szCs w:val="17"/>
          <w:b w:val="1"/>
          <w:bCs w:val="1"/>
          <w:color w:val="auto"/>
        </w:rPr>
        <w:t>(Adjusted Net Income and EBITDA (Earnings Before Interest, Taxes, Depreciation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Amortization)) </w:t>
      </w:r>
      <w:r>
        <w:rPr>
          <w:rFonts w:ascii="Arial" w:cs="Arial" w:eastAsia="Arial" w:hAnsi="Arial"/>
          <w:sz w:val="17"/>
          <w:szCs w:val="17"/>
          <w:color w:val="auto"/>
        </w:rPr>
        <w:t>that are considered "non-GAAP" financial measures under applicable Securities 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adjusts for specified items that can be highly variable or difficult to predict, or reflect the non-cash impact of charges resulting from purchase accounting. EBITDA reflects net income excluding the impact of depreciation, amortization, interest expense and provision for income taxes.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Adjusted Net Income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0" w:type="dxa"/>
            <w:vAlign w:val="bottom"/>
            <w:tcBorders>
              <w:top w:val="single" w:sz="8" w:color="auto"/>
              <w:left w:val="single" w:sz="8" w:color="auto"/>
            </w:tcBorders>
          </w:tcPr>
          <w:p>
            <w:pPr>
              <w:spacing w:after="0"/>
              <w:rPr>
                <w:sz w:val="15"/>
                <w:szCs w:val="15"/>
                <w:color w:val="auto"/>
              </w:rPr>
            </w:pPr>
          </w:p>
        </w:tc>
        <w:tc>
          <w:tcPr>
            <w:tcW w:w="7020" w:type="dxa"/>
            <w:vAlign w:val="bottom"/>
            <w:tcBorders>
              <w:top w:val="single" w:sz="8" w:color="auto"/>
              <w:right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7"/>
          </w:tcPr>
          <w:p>
            <w:pPr>
              <w:jc w:val="center"/>
              <w:ind w:left="691"/>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left w:val="single" w:sz="8" w:color="auto"/>
              <w:bottom w:val="single" w:sz="8" w:color="auto"/>
            </w:tcBorders>
          </w:tcPr>
          <w:p>
            <w:pPr>
              <w:spacing w:after="0"/>
              <w:rPr>
                <w:sz w:val="18"/>
                <w:szCs w:val="18"/>
                <w:color w:val="auto"/>
              </w:rPr>
            </w:pPr>
          </w:p>
        </w:tc>
        <w:tc>
          <w:tcPr>
            <w:tcW w:w="70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 except per share value)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5"/>
              </w:rPr>
              <w:t>Source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1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4"/>
              </w:rPr>
              <w:t>32.3</w:t>
            </w:r>
          </w:p>
        </w:tc>
        <w:tc>
          <w:tcPr>
            <w:tcW w:w="24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70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auto"/>
            </w:tcBorders>
            <w:gridSpan w:val="2"/>
          </w:tcPr>
          <w:p>
            <w:pPr>
              <w:jc w:val="center"/>
              <w:ind w:right="6390"/>
              <w:spacing w:after="0"/>
              <w:rPr>
                <w:sz w:val="20"/>
                <w:szCs w:val="20"/>
                <w:color w:val="auto"/>
              </w:rPr>
            </w:pPr>
            <w:r>
              <w:rPr>
                <w:rFonts w:ascii="Arial" w:cs="Arial" w:eastAsia="Arial" w:hAnsi="Arial"/>
                <w:sz w:val="18"/>
                <w:szCs w:val="18"/>
                <w:color w:val="auto"/>
                <w:w w:val="90"/>
              </w:rPr>
              <w:t>Adjustments: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costs (transaction &amp; integration)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left w:val="single" w:sz="8" w:color="CCEEFF"/>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SG&amp;A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left w:val="single" w:sz="8" w:color="auto"/>
            </w:tcBorders>
            <w:vMerge w:val="restart"/>
          </w:tcPr>
          <w:p>
            <w:pPr>
              <w:ind w:left="260"/>
              <w:spacing w:after="0"/>
              <w:rPr>
                <w:sz w:val="20"/>
                <w:szCs w:val="20"/>
                <w:color w:val="auto"/>
              </w:rPr>
            </w:pPr>
            <w:r>
              <w:rPr>
                <w:rFonts w:ascii="Arial" w:cs="Arial" w:eastAsia="Arial" w:hAnsi="Arial"/>
                <w:sz w:val="18"/>
                <w:szCs w:val="18"/>
                <w:color w:val="auto"/>
              </w:rPr>
              <w:t>+</w:t>
            </w:r>
          </w:p>
        </w:tc>
        <w:tc>
          <w:tcPr>
            <w:tcW w:w="70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Non-cash amortization charges</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7"/>
                <w:szCs w:val="17"/>
                <w:color w:val="auto"/>
              </w:rPr>
              <w:t>COGS, SG&amp;A,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Borders>
              <w:left w:val="single" w:sz="8" w:color="auto"/>
            </w:tcBorders>
            <w:vMerge w:val="continue"/>
          </w:tcPr>
          <w:p>
            <w:pPr>
              <w:spacing w:after="0"/>
              <w:rPr>
                <w:sz w:val="11"/>
                <w:szCs w:val="11"/>
                <w:color w:val="auto"/>
              </w:rPr>
            </w:pPr>
          </w:p>
        </w:tc>
        <w:tc>
          <w:tcPr>
            <w:tcW w:w="7020" w:type="dxa"/>
            <w:vAlign w:val="bottom"/>
            <w:tcBorders>
              <w:right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vMerge w:val="restart"/>
          </w:tcPr>
          <w:p>
            <w:pPr>
              <w:jc w:val="right"/>
              <w:ind w:right="100"/>
              <w:spacing w:after="0" w:line="202" w:lineRule="exact"/>
              <w:rPr>
                <w:sz w:val="20"/>
                <w:szCs w:val="20"/>
                <w:color w:val="auto"/>
              </w:rPr>
            </w:pPr>
            <w:r>
              <w:rPr>
                <w:rFonts w:ascii="Arial" w:cs="Arial" w:eastAsia="Arial" w:hAnsi="Arial"/>
                <w:sz w:val="18"/>
                <w:szCs w:val="18"/>
                <w:color w:val="auto"/>
                <w:w w:val="91"/>
              </w:rPr>
              <w:t>Other Income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0" w:type="dxa"/>
            <w:vAlign w:val="bottom"/>
            <w:tcBorders>
              <w:left w:val="single" w:sz="8" w:color="auto"/>
              <w:bottom w:val="single" w:sz="8" w:color="auto"/>
            </w:tcBorders>
          </w:tcPr>
          <w:p>
            <w:pPr>
              <w:spacing w:after="0"/>
              <w:rPr>
                <w:sz w:val="6"/>
                <w:szCs w:val="6"/>
                <w:color w:val="auto"/>
              </w:rPr>
            </w:pPr>
          </w:p>
        </w:tc>
        <w:tc>
          <w:tcPr>
            <w:tcW w:w="70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bottom w:val="single" w:sz="8" w:color="auto"/>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 Exit and disposal costs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left w:val="single" w:sz="8" w:color="CCEEFF"/>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SG&amp;A</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 Impact of purchase accounting on inventory step-up</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SG&amp;A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left w:val="single" w:sz="8" w:color="auto"/>
              <w:right w:val="single" w:sz="8" w:color="auto"/>
            </w:tcBorders>
            <w:gridSpan w:val="2"/>
            <w:shd w:val="clear" w:color="auto" w:fill="CCEEFF"/>
          </w:tcPr>
          <w:p>
            <w:pPr>
              <w:jc w:val="center"/>
              <w:ind w:right="6410"/>
              <w:spacing w:after="0"/>
              <w:rPr>
                <w:sz w:val="20"/>
                <w:szCs w:val="20"/>
                <w:color w:val="auto"/>
              </w:rPr>
            </w:pPr>
            <w:r>
              <w:rPr>
                <w:rFonts w:ascii="Arial" w:cs="Arial" w:eastAsia="Arial" w:hAnsi="Arial"/>
                <w:sz w:val="18"/>
                <w:szCs w:val="18"/>
                <w:color w:val="auto"/>
                <w:w w:val="91"/>
              </w:rPr>
              <w:t>Tax effect</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70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Adjustments: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left w:val="single" w:sz="8" w:color="auto"/>
              <w:right w:val="single" w:sz="8" w:color="auto"/>
            </w:tcBorders>
            <w:gridSpan w:val="2"/>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Borders>
              <w:left w:val="single" w:sz="8" w:color="auto"/>
              <w:right w:val="single" w:sz="8" w:color="auto"/>
            </w:tcBorders>
            <w:gridSpan w:val="2"/>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Adjusted Net Income</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rPr>
              <w:t>37.8</w:t>
            </w:r>
          </w:p>
        </w:tc>
        <w:tc>
          <w:tcPr>
            <w:tcW w:w="140" w:type="dxa"/>
            <w:vAlign w:val="bottom"/>
            <w:tcBorders>
              <w:right w:val="single" w:sz="8" w:color="auto"/>
            </w:tcBorders>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line="149" w:lineRule="exact"/>
              <w:rPr>
                <w:sz w:val="20"/>
                <w:szCs w:val="20"/>
                <w:color w:val="auto"/>
              </w:rPr>
            </w:pPr>
            <w:r>
              <w:rPr>
                <w:rFonts w:ascii="Arial" w:cs="Arial" w:eastAsia="Arial" w:hAnsi="Arial"/>
                <w:sz w:val="17"/>
                <w:szCs w:val="17"/>
                <w:color w:val="auto"/>
                <w:w w:val="78"/>
              </w:rPr>
              <w:t>36.6</w:t>
            </w:r>
          </w:p>
        </w:tc>
        <w:tc>
          <w:tcPr>
            <w:tcW w:w="240" w:type="dxa"/>
            <w:vAlign w:val="bottom"/>
            <w:tcBorders>
              <w:left w:val="single" w:sz="8" w:color="CCEEFF"/>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left w:val="single" w:sz="8" w:color="auto"/>
              <w:right w:val="single" w:sz="8" w:color="auto"/>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Adjusted Net Income Per Diluted Share</w:t>
            </w:r>
          </w:p>
        </w:tc>
        <w:tc>
          <w:tcPr>
            <w:tcW w:w="24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0.74</w:t>
            </w:r>
          </w:p>
        </w:tc>
        <w:tc>
          <w:tcPr>
            <w:tcW w:w="1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w w:val="74"/>
              </w:rPr>
              <w:t>0.74</w:t>
            </w:r>
          </w:p>
        </w:tc>
        <w:tc>
          <w:tcPr>
            <w:tcW w:w="24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70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gridSpan w:val="2"/>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7"/>
          </w:tcPr>
          <w:p>
            <w:pPr>
              <w:jc w:val="center"/>
              <w:ind w:left="691"/>
              <w:spacing w:after="0" w:line="149" w:lineRule="exact"/>
              <w:rPr>
                <w:sz w:val="20"/>
                <w:szCs w:val="20"/>
                <w:color w:val="auto"/>
              </w:rPr>
            </w:pPr>
            <w:r>
              <w:rPr>
                <w:rFonts w:ascii="Arial" w:cs="Arial" w:eastAsia="Arial" w:hAnsi="Arial"/>
                <w:sz w:val="17"/>
                <w:szCs w:val="17"/>
                <w:b w:val="1"/>
                <w:bCs w:val="1"/>
                <w:color w:val="auto"/>
                <w:w w:val="96"/>
              </w:rPr>
              <w:t>Twelve Months Ended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left w:val="single" w:sz="8" w:color="auto"/>
              <w:bottom w:val="single" w:sz="8" w:color="auto"/>
            </w:tcBorders>
          </w:tcPr>
          <w:p>
            <w:pPr>
              <w:spacing w:after="0"/>
              <w:rPr>
                <w:sz w:val="18"/>
                <w:szCs w:val="18"/>
                <w:color w:val="auto"/>
              </w:rPr>
            </w:pPr>
          </w:p>
        </w:tc>
        <w:tc>
          <w:tcPr>
            <w:tcW w:w="70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 except per share value)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5"/>
              </w:rPr>
              <w:t>Source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w:t>
            </w:r>
          </w:p>
        </w:tc>
        <w:tc>
          <w:tcPr>
            <w:tcW w:w="1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4"/>
              </w:rPr>
              <w:t>62.5</w:t>
            </w:r>
          </w:p>
        </w:tc>
        <w:tc>
          <w:tcPr>
            <w:tcW w:w="24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70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auto"/>
            </w:tcBorders>
            <w:gridSpan w:val="2"/>
          </w:tcPr>
          <w:p>
            <w:pPr>
              <w:jc w:val="center"/>
              <w:ind w:right="6390"/>
              <w:spacing w:after="0"/>
              <w:rPr>
                <w:sz w:val="20"/>
                <w:szCs w:val="20"/>
                <w:color w:val="auto"/>
              </w:rPr>
            </w:pPr>
            <w:r>
              <w:rPr>
                <w:rFonts w:ascii="Arial" w:cs="Arial" w:eastAsia="Arial" w:hAnsi="Arial"/>
                <w:sz w:val="18"/>
                <w:szCs w:val="18"/>
                <w:color w:val="auto"/>
                <w:w w:val="90"/>
              </w:rPr>
              <w:t>Adjustments: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costs (transaction &amp; integration)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left w:val="single" w:sz="8" w:color="CCEEFF"/>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SG&amp;A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left w:val="single" w:sz="8" w:color="auto"/>
            </w:tcBorders>
            <w:vMerge w:val="restart"/>
          </w:tcPr>
          <w:p>
            <w:pPr>
              <w:ind w:left="260"/>
              <w:spacing w:after="0"/>
              <w:rPr>
                <w:sz w:val="20"/>
                <w:szCs w:val="20"/>
                <w:color w:val="auto"/>
              </w:rPr>
            </w:pPr>
            <w:r>
              <w:rPr>
                <w:rFonts w:ascii="Arial" w:cs="Arial" w:eastAsia="Arial" w:hAnsi="Arial"/>
                <w:sz w:val="18"/>
                <w:szCs w:val="18"/>
                <w:color w:val="auto"/>
              </w:rPr>
              <w:t>+</w:t>
            </w:r>
          </w:p>
        </w:tc>
        <w:tc>
          <w:tcPr>
            <w:tcW w:w="70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Non-cash amortization charges</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7"/>
                <w:szCs w:val="17"/>
                <w:color w:val="auto"/>
              </w:rPr>
              <w:t>COGS, SG&amp;A,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Borders>
              <w:left w:val="single" w:sz="8" w:color="auto"/>
            </w:tcBorders>
            <w:vMerge w:val="continue"/>
          </w:tcPr>
          <w:p>
            <w:pPr>
              <w:spacing w:after="0"/>
              <w:rPr>
                <w:sz w:val="11"/>
                <w:szCs w:val="11"/>
                <w:color w:val="auto"/>
              </w:rPr>
            </w:pPr>
          </w:p>
        </w:tc>
        <w:tc>
          <w:tcPr>
            <w:tcW w:w="7020" w:type="dxa"/>
            <w:vAlign w:val="bottom"/>
            <w:tcBorders>
              <w:right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8.4</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vMerge w:val="restart"/>
          </w:tcPr>
          <w:p>
            <w:pPr>
              <w:jc w:val="right"/>
              <w:ind w:right="100"/>
              <w:spacing w:after="0" w:line="202" w:lineRule="exact"/>
              <w:rPr>
                <w:sz w:val="20"/>
                <w:szCs w:val="20"/>
                <w:color w:val="auto"/>
              </w:rPr>
            </w:pPr>
            <w:r>
              <w:rPr>
                <w:rFonts w:ascii="Arial" w:cs="Arial" w:eastAsia="Arial" w:hAnsi="Arial"/>
                <w:sz w:val="18"/>
                <w:szCs w:val="18"/>
                <w:color w:val="auto"/>
                <w:w w:val="91"/>
              </w:rPr>
              <w:t>Other Income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0" w:type="dxa"/>
            <w:vAlign w:val="bottom"/>
            <w:tcBorders>
              <w:left w:val="single" w:sz="8" w:color="auto"/>
              <w:bottom w:val="single" w:sz="8" w:color="auto"/>
            </w:tcBorders>
          </w:tcPr>
          <w:p>
            <w:pPr>
              <w:spacing w:after="0"/>
              <w:rPr>
                <w:sz w:val="6"/>
                <w:szCs w:val="6"/>
                <w:color w:val="auto"/>
              </w:rPr>
            </w:pPr>
          </w:p>
        </w:tc>
        <w:tc>
          <w:tcPr>
            <w:tcW w:w="702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bottom w:val="single" w:sz="8" w:color="auto"/>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 Exit and disposal costs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4"/>
              </w:rPr>
              <w:t>11.7</w:t>
            </w:r>
          </w:p>
        </w:tc>
        <w:tc>
          <w:tcPr>
            <w:tcW w:w="240" w:type="dxa"/>
            <w:vAlign w:val="bottom"/>
            <w:tcBorders>
              <w:left w:val="single" w:sz="8" w:color="CCEEFF"/>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SG&amp;A</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 Impact of purchase accounting on inventory step-up</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SG&amp;A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left w:val="single" w:sz="8" w:color="auto"/>
              <w:right w:val="single" w:sz="8" w:color="auto"/>
            </w:tcBorders>
            <w:gridSpan w:val="2"/>
            <w:shd w:val="clear" w:color="auto" w:fill="CCEEFF"/>
          </w:tcPr>
          <w:p>
            <w:pPr>
              <w:jc w:val="center"/>
              <w:ind w:right="6410"/>
              <w:spacing w:after="0"/>
              <w:rPr>
                <w:sz w:val="20"/>
                <w:szCs w:val="20"/>
                <w:color w:val="auto"/>
              </w:rPr>
            </w:pPr>
            <w:r>
              <w:rPr>
                <w:rFonts w:ascii="Arial" w:cs="Arial" w:eastAsia="Arial" w:hAnsi="Arial"/>
                <w:sz w:val="18"/>
                <w:szCs w:val="18"/>
                <w:color w:val="auto"/>
                <w:w w:val="91"/>
              </w:rPr>
              <w:t>Tax effect</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70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Adjustments: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w w:val="74"/>
              </w:rPr>
              <w:t>15.0</w:t>
            </w: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Borders>
              <w:left w:val="single" w:sz="8" w:color="auto"/>
              <w:right w:val="single" w:sz="8" w:color="auto"/>
            </w:tcBorders>
            <w:gridSpan w:val="2"/>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Borders>
              <w:left w:val="single" w:sz="8" w:color="auto"/>
              <w:right w:val="single" w:sz="8" w:color="auto"/>
            </w:tcBorders>
            <w:gridSpan w:val="2"/>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Adjusted Net Income</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rPr>
              <w:t>95.7</w:t>
            </w:r>
          </w:p>
        </w:tc>
        <w:tc>
          <w:tcPr>
            <w:tcW w:w="140" w:type="dxa"/>
            <w:vAlign w:val="bottom"/>
            <w:tcBorders>
              <w:right w:val="single" w:sz="8" w:color="auto"/>
            </w:tcBorders>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line="149" w:lineRule="exact"/>
              <w:rPr>
                <w:sz w:val="20"/>
                <w:szCs w:val="20"/>
                <w:color w:val="auto"/>
              </w:rPr>
            </w:pPr>
            <w:r>
              <w:rPr>
                <w:rFonts w:ascii="Arial" w:cs="Arial" w:eastAsia="Arial" w:hAnsi="Arial"/>
                <w:sz w:val="17"/>
                <w:szCs w:val="17"/>
                <w:color w:val="auto"/>
                <w:w w:val="78"/>
              </w:rPr>
              <w:t>77.5</w:t>
            </w:r>
          </w:p>
        </w:tc>
        <w:tc>
          <w:tcPr>
            <w:tcW w:w="240" w:type="dxa"/>
            <w:vAlign w:val="bottom"/>
            <w:tcBorders>
              <w:left w:val="single" w:sz="8" w:color="CCEEFF"/>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left w:val="single" w:sz="8" w:color="auto"/>
              <w:right w:val="single" w:sz="8" w:color="auto"/>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Adjusted Net Income Per Diluted Share</w:t>
            </w:r>
          </w:p>
        </w:tc>
        <w:tc>
          <w:tcPr>
            <w:tcW w:w="240" w:type="dxa"/>
            <w:vAlign w:val="bottom"/>
            <w:vMerge w:val="continue"/>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1.90</w:t>
            </w:r>
          </w:p>
        </w:tc>
        <w:tc>
          <w:tcPr>
            <w:tcW w:w="14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w w:val="74"/>
              </w:rPr>
              <w:t>1.57</w:t>
            </w:r>
          </w:p>
        </w:tc>
        <w:tc>
          <w:tcPr>
            <w:tcW w:w="240" w:type="dxa"/>
            <w:vAlign w:val="bottom"/>
            <w:tcBorders>
              <w:left w:val="single" w:sz="8" w:color="CCEEFF"/>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70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Reconciliation of Net Income to EBITDA (Unaudited)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5"/>
          </w:tcPr>
          <w:p>
            <w:pPr>
              <w:jc w:val="center"/>
              <w:ind w:right="360"/>
              <w:spacing w:after="0" w:line="149" w:lineRule="exact"/>
              <w:rPr>
                <w:sz w:val="20"/>
                <w:szCs w:val="20"/>
                <w:color w:val="auto"/>
              </w:rPr>
            </w:pPr>
            <w:r>
              <w:rPr>
                <w:rFonts w:ascii="Arial" w:cs="Arial" w:eastAsia="Arial" w:hAnsi="Arial"/>
                <w:sz w:val="17"/>
                <w:szCs w:val="17"/>
                <w:b w:val="1"/>
                <w:bCs w:val="1"/>
                <w:color w:val="auto"/>
                <w:w w:val="97"/>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left w:val="single" w:sz="8" w:color="auto"/>
              <w:bottom w:val="single" w:sz="8" w:color="auto"/>
            </w:tcBorders>
          </w:tcPr>
          <w:p>
            <w:pPr>
              <w:spacing w:after="0"/>
              <w:rPr>
                <w:sz w:val="18"/>
                <w:szCs w:val="18"/>
                <w:color w:val="auto"/>
              </w:rPr>
            </w:pPr>
          </w:p>
        </w:tc>
        <w:tc>
          <w:tcPr>
            <w:tcW w:w="7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 except per share value)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w w:val="74"/>
              </w:rPr>
              <w:t>33.9</w:t>
            </w:r>
          </w:p>
        </w:tc>
        <w:tc>
          <w:tcPr>
            <w:tcW w:w="240" w:type="dxa"/>
            <w:vAlign w:val="bottom"/>
            <w:tcBorders>
              <w:left w:val="single" w:sz="8" w:color="CCEEFF"/>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auto"/>
            </w:tcBorders>
            <w:gridSpan w:val="2"/>
          </w:tcPr>
          <w:p>
            <w:pPr>
              <w:ind w:left="140"/>
              <w:spacing w:after="0"/>
              <w:rPr>
                <w:sz w:val="20"/>
                <w:szCs w:val="20"/>
                <w:color w:val="auto"/>
              </w:rPr>
            </w:pPr>
            <w:r>
              <w:rPr>
                <w:rFonts w:ascii="Arial" w:cs="Arial" w:eastAsia="Arial" w:hAnsi="Arial"/>
                <w:sz w:val="18"/>
                <w:szCs w:val="18"/>
                <w:color w:val="auto"/>
              </w:rPr>
              <w:t>Adjustments:</w:t>
            </w:r>
          </w:p>
        </w:tc>
        <w:tc>
          <w:tcPr>
            <w:tcW w:w="240" w:type="dxa"/>
            <w:vAlign w:val="bottom"/>
            <w:tcBorders>
              <w:top w:val="single" w:sz="8" w:color="CCEEFF"/>
              <w:bottom w:val="single" w:sz="8" w:color="auto"/>
            </w:tcBorders>
          </w:tcPr>
          <w:p>
            <w:pPr>
              <w:spacing w:after="0"/>
              <w:rPr>
                <w:sz w:val="19"/>
                <w:szCs w:val="19"/>
                <w:color w:val="auto"/>
              </w:rPr>
            </w:pPr>
          </w:p>
        </w:tc>
        <w:tc>
          <w:tcPr>
            <w:tcW w:w="920" w:type="dxa"/>
            <w:vAlign w:val="bottom"/>
            <w:tcBorders>
              <w:top w:val="single" w:sz="8" w:color="CCEEFF"/>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2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74"/>
              </w:rPr>
              <w:t>12.4</w:t>
            </w:r>
          </w:p>
        </w:tc>
        <w:tc>
          <w:tcPr>
            <w:tcW w:w="240" w:type="dxa"/>
            <w:vAlign w:val="bottom"/>
            <w:tcBorders>
              <w:left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0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4"/>
              </w:rPr>
              <w:t>18.0</w:t>
            </w:r>
          </w:p>
        </w:tc>
        <w:tc>
          <w:tcPr>
            <w:tcW w:w="240" w:type="dxa"/>
            <w:vAlign w:val="bottom"/>
            <w:tcBorders>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2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40" w:type="dxa"/>
            <w:vAlign w:val="bottom"/>
            <w:tcBorders>
              <w:left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Adjustments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4"/>
              </w:rPr>
              <w:t>31.3</w:t>
            </w:r>
          </w:p>
        </w:tc>
        <w:tc>
          <w:tcPr>
            <w:tcW w:w="240" w:type="dxa"/>
            <w:vAlign w:val="bottom"/>
            <w:tcBorders>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Borders>
              <w:left w:val="single" w:sz="8" w:color="auto"/>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EBITDA</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ind w:left="580"/>
              <w:spacing w:after="0" w:line="149" w:lineRule="exact"/>
              <w:rPr>
                <w:sz w:val="20"/>
                <w:szCs w:val="20"/>
                <w:color w:val="auto"/>
              </w:rPr>
            </w:pPr>
            <w:r>
              <w:rPr>
                <w:rFonts w:ascii="Arial" w:cs="Arial" w:eastAsia="Arial" w:hAnsi="Arial"/>
                <w:sz w:val="17"/>
                <w:szCs w:val="17"/>
                <w:b w:val="1"/>
                <w:bCs w:val="1"/>
                <w:color w:val="auto"/>
                <w:w w:val="78"/>
              </w:rPr>
              <w:t>65.2</w:t>
            </w:r>
          </w:p>
        </w:tc>
        <w:tc>
          <w:tcPr>
            <w:tcW w:w="240" w:type="dxa"/>
            <w:vAlign w:val="bottom"/>
            <w:tcBorders>
              <w:left w:val="single" w:sz="8" w:color="CCEEFF"/>
              <w:right w:val="single" w:sz="8" w:color="auto"/>
            </w:tcBorders>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61.3</w:t>
            </w: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left w:val="single" w:sz="8" w:color="auto"/>
              <w:righ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EBITDA per Diluted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w w:val="74"/>
              </w:rPr>
              <w:t>1.28</w:t>
            </w:r>
          </w:p>
        </w:tc>
        <w:tc>
          <w:tcPr>
            <w:tcW w:w="24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top w:val="single" w:sz="8" w:color="CCEEFF"/>
              <w:bottom w:val="single" w:sz="8" w:color="auto"/>
            </w:tcBorders>
          </w:tcPr>
          <w:p>
            <w:pPr>
              <w:spacing w:after="0"/>
              <w:rPr>
                <w:sz w:val="18"/>
                <w:szCs w:val="18"/>
                <w:color w:val="auto"/>
              </w:rPr>
            </w:pPr>
          </w:p>
        </w:tc>
        <w:tc>
          <w:tcPr>
            <w:tcW w:w="70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CCEEFF"/>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5"/>
          </w:tcPr>
          <w:p>
            <w:pPr>
              <w:jc w:val="center"/>
              <w:ind w:right="360"/>
              <w:spacing w:after="0" w:line="149" w:lineRule="exact"/>
              <w:rPr>
                <w:sz w:val="20"/>
                <w:szCs w:val="20"/>
                <w:color w:val="auto"/>
              </w:rPr>
            </w:pPr>
            <w:r>
              <w:rPr>
                <w:rFonts w:ascii="Arial" w:cs="Arial" w:eastAsia="Arial" w:hAnsi="Arial"/>
                <w:sz w:val="17"/>
                <w:szCs w:val="17"/>
                <w:b w:val="1"/>
                <w:bCs w:val="1"/>
                <w:color w:val="auto"/>
                <w:w w:val="96"/>
              </w:rPr>
              <w:t>Twelve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left w:val="single" w:sz="8" w:color="auto"/>
              <w:bottom w:val="single" w:sz="8" w:color="auto"/>
            </w:tcBorders>
          </w:tcPr>
          <w:p>
            <w:pPr>
              <w:spacing w:after="0"/>
              <w:rPr>
                <w:sz w:val="18"/>
                <w:szCs w:val="18"/>
                <w:color w:val="auto"/>
              </w:rPr>
            </w:pPr>
          </w:p>
        </w:tc>
        <w:tc>
          <w:tcPr>
            <w:tcW w:w="7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 except per share value)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w w:val="74"/>
              </w:rPr>
              <w:t>82.6</w:t>
            </w:r>
          </w:p>
        </w:tc>
        <w:tc>
          <w:tcPr>
            <w:tcW w:w="240" w:type="dxa"/>
            <w:vAlign w:val="bottom"/>
            <w:tcBorders>
              <w:left w:val="single" w:sz="8" w:color="CCEEFF"/>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auto"/>
            </w:tcBorders>
            <w:gridSpan w:val="2"/>
          </w:tcPr>
          <w:p>
            <w:pPr>
              <w:ind w:left="140"/>
              <w:spacing w:after="0"/>
              <w:rPr>
                <w:sz w:val="20"/>
                <w:szCs w:val="20"/>
                <w:color w:val="auto"/>
              </w:rPr>
            </w:pPr>
            <w:r>
              <w:rPr>
                <w:rFonts w:ascii="Arial" w:cs="Arial" w:eastAsia="Arial" w:hAnsi="Arial"/>
                <w:sz w:val="18"/>
                <w:szCs w:val="18"/>
                <w:color w:val="auto"/>
              </w:rPr>
              <w:t>Adjustments:</w:t>
            </w:r>
          </w:p>
        </w:tc>
        <w:tc>
          <w:tcPr>
            <w:tcW w:w="240" w:type="dxa"/>
            <w:vAlign w:val="bottom"/>
            <w:tcBorders>
              <w:top w:val="single" w:sz="8" w:color="CCEEFF"/>
              <w:bottom w:val="single" w:sz="8" w:color="auto"/>
            </w:tcBorders>
          </w:tcPr>
          <w:p>
            <w:pPr>
              <w:spacing w:after="0"/>
              <w:rPr>
                <w:sz w:val="19"/>
                <w:szCs w:val="19"/>
                <w:color w:val="auto"/>
              </w:rPr>
            </w:pPr>
          </w:p>
        </w:tc>
        <w:tc>
          <w:tcPr>
            <w:tcW w:w="920" w:type="dxa"/>
            <w:vAlign w:val="bottom"/>
            <w:tcBorders>
              <w:top w:val="single" w:sz="8" w:color="CCEEFF"/>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2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w w:val="74"/>
              </w:rPr>
              <w:t>40.8</w:t>
            </w:r>
          </w:p>
        </w:tc>
        <w:tc>
          <w:tcPr>
            <w:tcW w:w="240" w:type="dxa"/>
            <w:vAlign w:val="bottom"/>
            <w:tcBorders>
              <w:left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0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4"/>
              </w:rPr>
              <w:t>36.0</w:t>
            </w:r>
          </w:p>
        </w:tc>
        <w:tc>
          <w:tcPr>
            <w:tcW w:w="240" w:type="dxa"/>
            <w:vAlign w:val="bottom"/>
            <w:tcBorders>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Borders>
              <w:left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2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40" w:type="dxa"/>
            <w:vAlign w:val="bottom"/>
            <w:tcBorders>
              <w:left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Adjustments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4"/>
              </w:rPr>
              <w:t>83.4</w:t>
            </w:r>
          </w:p>
        </w:tc>
        <w:tc>
          <w:tcPr>
            <w:tcW w:w="240" w:type="dxa"/>
            <w:vAlign w:val="bottom"/>
            <w:tcBorders>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Borders>
              <w:left w:val="single" w:sz="8" w:color="auto"/>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EBITDA</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rPr>
              <w:t>166.0</w:t>
            </w:r>
          </w:p>
        </w:tc>
        <w:tc>
          <w:tcPr>
            <w:tcW w:w="240" w:type="dxa"/>
            <w:vAlign w:val="bottom"/>
            <w:tcBorders>
              <w:left w:val="single" w:sz="8" w:color="CCEEFF"/>
              <w:right w:val="single" w:sz="8" w:color="auto"/>
            </w:tcBorders>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141.7</w:t>
            </w:r>
          </w:p>
        </w:tc>
        <w:tc>
          <w:tcPr>
            <w:tcW w:w="1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left w:val="single" w:sz="8" w:color="auto"/>
              <w:righ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EBITDA per Diluted Share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w w:val="74"/>
              </w:rPr>
              <w:t>3.30</w:t>
            </w:r>
          </w:p>
        </w:tc>
        <w:tc>
          <w:tcPr>
            <w:tcW w:w="240" w:type="dxa"/>
            <w:vAlign w:val="bottom"/>
            <w:tcBorders>
              <w:left w:val="single" w:sz="8" w:color="CCEEFF"/>
              <w:right w:val="single" w:sz="8" w:color="auto"/>
            </w:tcBorders>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Borders>
              <w:left w:val="single" w:sz="8" w:color="auto"/>
            </w:tcBorders>
            <w:shd w:val="clear" w:color="auto" w:fill="CCEEFF"/>
          </w:tcPr>
          <w:p>
            <w:pPr>
              <w:spacing w:after="0"/>
              <w:rPr>
                <w:sz w:val="2"/>
                <w:szCs w:val="2"/>
                <w:color w:val="auto"/>
              </w:rPr>
            </w:pPr>
          </w:p>
        </w:tc>
        <w:tc>
          <w:tcPr>
            <w:tcW w:w="70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83" w:orient="portrait"/>
          <w:cols w:equalWidth="0" w:num="1">
            <w:col w:w="11420"/>
          </w:cols>
          <w:pgMar w:left="240" w:top="121" w:right="239" w:bottom="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STATEMENT OF OPERATIONS</w:t>
      </w:r>
    </w:p>
    <w:p>
      <w:pPr>
        <w:sectPr>
          <w:pgSz w:w="11900" w:h="16883" w:orient="portrait"/>
          <w:cols w:equalWidth="0" w:num="1">
            <w:col w:w="11420"/>
          </w:cols>
          <w:pgMar w:left="240" w:top="121" w:right="239" w:bottom="0" w:gutter="0" w:footer="0" w:header="0"/>
          <w:type w:val="continuous"/>
        </w:sectPr>
      </w:pPr>
    </w:p>
    <w:bookmarkStart w:id="9" w:name="page10"/>
    <w:bookmarkEnd w:id="9"/>
    <w:p>
      <w:pPr>
        <w:ind w:right="240"/>
        <w:spacing w:after="0" w:line="291" w:lineRule="auto"/>
        <w:rPr>
          <w:sz w:val="20"/>
          <w:szCs w:val="20"/>
          <w:color w:val="auto"/>
        </w:rPr>
      </w:pPr>
      <w:r>
        <w:rPr>
          <w:rFonts w:ascii="Arial" w:cs="Arial" w:eastAsia="Arial" w:hAnsi="Arial"/>
          <w:sz w:val="17"/>
          <w:szCs w:val="17"/>
          <w:color w:val="auto"/>
        </w:rPr>
        <w:t>The following table provides a reconciliation of the Company's Statement of Operations for the Twelve Months Ended December 31, 2016 on a continuing operations basis to that on a combined basis, which takes into account the impact of the Aptevo-related discontinued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20"/>
                <w:szCs w:val="20"/>
                <w:color w:val="auto"/>
              </w:rPr>
            </w:pPr>
          </w:p>
        </w:tc>
        <w:tc>
          <w:tcPr>
            <w:tcW w:w="3760" w:type="dxa"/>
            <w:vAlign w:val="bottom"/>
            <w:gridSpan w:val="8"/>
            <w:vMerge w:val="restart"/>
          </w:tcPr>
          <w:p>
            <w:pPr>
              <w:jc w:val="center"/>
              <w:ind w:right="50"/>
              <w:spacing w:after="0"/>
              <w:rPr>
                <w:sz w:val="20"/>
                <w:szCs w:val="20"/>
                <w:color w:val="auto"/>
              </w:rPr>
            </w:pPr>
            <w:r>
              <w:rPr>
                <w:rFonts w:ascii="Arial" w:cs="Arial" w:eastAsia="Arial" w:hAnsi="Arial"/>
                <w:sz w:val="18"/>
                <w:szCs w:val="18"/>
                <w:b w:val="1"/>
                <w:bCs w:val="1"/>
                <w:color w:val="auto"/>
                <w:w w:val="90"/>
              </w:rPr>
              <w:t>Twelve Months Ended December 31, 2016</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8"/>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360"/>
              <w:spacing w:after="0" w:line="135" w:lineRule="exact"/>
              <w:rPr>
                <w:sz w:val="20"/>
                <w:szCs w:val="20"/>
                <w:color w:val="auto"/>
              </w:rPr>
            </w:pPr>
            <w:r>
              <w:rPr>
                <w:rFonts w:ascii="Arial" w:cs="Arial" w:eastAsia="Arial" w:hAnsi="Arial"/>
                <w:sz w:val="15"/>
                <w:szCs w:val="15"/>
                <w:b w:val="1"/>
                <w:bCs w:val="1"/>
                <w:color w:val="auto"/>
              </w:rPr>
              <w:t>Continuing</w:t>
            </w:r>
          </w:p>
        </w:tc>
        <w:tc>
          <w:tcPr>
            <w:tcW w:w="1280" w:type="dxa"/>
            <w:vAlign w:val="bottom"/>
            <w:gridSpan w:val="3"/>
          </w:tcPr>
          <w:p>
            <w:pPr>
              <w:jc w:val="center"/>
              <w:ind w:right="140"/>
              <w:spacing w:after="0" w:line="135" w:lineRule="exact"/>
              <w:rPr>
                <w:sz w:val="20"/>
                <w:szCs w:val="20"/>
                <w:color w:val="auto"/>
              </w:rPr>
            </w:pPr>
            <w:r>
              <w:rPr>
                <w:rFonts w:ascii="Arial" w:cs="Arial" w:eastAsia="Arial" w:hAnsi="Arial"/>
                <w:sz w:val="15"/>
                <w:szCs w:val="15"/>
                <w:b w:val="1"/>
                <w:bCs w:val="1"/>
                <w:color w:val="auto"/>
              </w:rPr>
              <w:t>Discontinuing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w w:val="90"/>
              </w:rPr>
              <w:t>Operations</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0"/>
              </w:rPr>
              <w:t>Operations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sales and contract manufacturing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other expense, net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Income (loss) before provision for (benefit) from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99"/>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2"/>
    </w:lvl>
    <w:lvl w:ilvl="1">
      <w:lvlJc w:val="left"/>
      <w:lvlText w:val="·"/>
      <w:numFmt w:val="bullet"/>
      <w:start w:val="1"/>
    </w:lvl>
  </w:abstractNum>
  <w:abstractNum w:abstractNumId="7">
    <w:nsid w:val="1190CDE7"/>
    <w:multiLevelType w:val="hybridMultilevel"/>
    <w:lvl w:ilvl="0">
      <w:lvlJc w:val="left"/>
      <w:lvlText w:val="(%1)"/>
      <w:numFmt w:val="upperLetter"/>
      <w:start w:val="9"/>
    </w:lvl>
  </w:abstractNum>
  <w:abstractNum w:abstractNumId="8">
    <w:nsid w:val="66EF438D"/>
    <w:multiLevelType w:val="hybridMultilevel"/>
    <w:lvl w:ilvl="0">
      <w:lvlJc w:val="left"/>
      <w:lvlText w:val="(%1)"/>
      <w:numFmt w:val="upperLetter"/>
      <w:start w:val="35"/>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3"/>
    </w:lvl>
    <w:lvl w:ilvl="1">
      <w:lvlJc w:val="left"/>
      <w:lvlText w:val="·"/>
      <w:numFmt w:val="bullet"/>
      <w:start w:val="1"/>
    </w:lvl>
  </w:abstractNum>
  <w:abstractNum w:abstractNumId="14">
    <w:nsid w:val="1BEFD7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2019-12-29T01:08:51Z</dcterms:created>
  <dcterms:modified xsi:type="dcterms:W3CDTF">2019-12-29T01:08:51Z</dcterms:modified>
</cp:coreProperties>
</file>