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SARAN ATUL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20"/>
        <w:spacing w:after="0" w:line="311" w:lineRule="auto"/>
        <w:rPr>
          <w:sz w:val="20"/>
          <w:szCs w:val="20"/>
          <w:color w:val="auto"/>
        </w:rPr>
      </w:pPr>
      <w:r>
        <w:rPr>
          <w:rFonts w:ascii="Times New Roman" w:cs="Times New Roman" w:eastAsia="Times New Roman" w:hAnsi="Times New Roman"/>
          <w:sz w:val="17"/>
          <w:szCs w:val="17"/>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1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Emergent BioSolutions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EBS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02/08/2023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85"/>
        <w:spacing w:after="0"/>
        <w:rPr>
          <w:sz w:val="20"/>
          <w:szCs w:val="20"/>
          <w:color w:val="auto"/>
        </w:rPr>
      </w:pPr>
      <w:r>
        <w:rPr>
          <w:rFonts w:ascii="Times New Roman" w:cs="Times New Roman" w:eastAsia="Times New Roman" w:hAnsi="Times New Roman"/>
          <w:sz w:val="17"/>
          <w:szCs w:val="17"/>
          <w:color w:val="0000FF"/>
        </w:rPr>
        <w:t>EVP, Chief Strat &amp; Dev Officer</w:t>
      </w:r>
    </w:p>
    <w:p>
      <w:pPr>
        <w:spacing w:after="0" w:line="44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6"/>
          </w:tcPr>
          <w:p>
            <w:pPr>
              <w:jc w:val="center"/>
              <w:ind w:left="58"/>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2"/>
                <w:szCs w:val="12"/>
                <w:color w:val="auto"/>
              </w:rPr>
            </w:pPr>
          </w:p>
        </w:tc>
        <w:tc>
          <w:tcPr>
            <w:tcW w:w="3540" w:type="dxa"/>
            <w:vAlign w:val="bottom"/>
            <w:gridSpan w:val="9"/>
          </w:tcPr>
          <w:p>
            <w:pPr>
              <w:ind w:left="20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GAITHERSBURG MD</w:t>
            </w:r>
          </w:p>
        </w:tc>
        <w:tc>
          <w:tcPr>
            <w:tcW w:w="13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20879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02/08/2023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right="77"/>
              <w:spacing w:after="0" w:line="320" w:lineRule="exact"/>
              <w:rPr>
                <w:sz w:val="20"/>
                <w:szCs w:val="20"/>
                <w:color w:val="auto"/>
              </w:rPr>
            </w:pPr>
            <w:r>
              <w:rPr>
                <w:rFonts w:ascii="Times New Roman" w:cs="Times New Roman" w:eastAsia="Times New Roman" w:hAnsi="Times New Roman"/>
                <w:sz w:val="34"/>
                <w:szCs w:val="34"/>
                <w:color w:val="0000FF"/>
                <w:vertAlign w:val="subscript"/>
              </w:rPr>
              <w:t>95</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90,877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02/08/2023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2,051</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88,826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performance stock units granted under the Emergent BioSolutions Inc. Stock Incentive Plan. Each PSU represents a right to receive one share of common stock. The PSUs vest upon achievement with respect to adjusted net income as a percentage of total GAAP revenue for the 2022 fiscal year, as certified by the Compensation Committee following the performance period. On February 08, 2023, the final certification date, the Compensation Committee certified the achievement of the 2020-2022 PSUs at a payout factor of 101.67% of target resulting in the actual award of 5,792 shares of common stock, which is in excess of the 5,697 shares previously reported on February 25, 2020.</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pay taxes.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Lynn Fox,</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02/10/2023</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8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38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91070"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2023-02-10T19:38:30Z</dcterms:created>
  <dcterms:modified xsi:type="dcterms:W3CDTF">2023-02-10T19:38:30Z</dcterms:modified>
</cp:coreProperties>
</file>