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08/28/2008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CEO &amp;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3260" w:type="dxa"/>
            <w:vAlign w:val="bottom"/>
            <w:gridSpan w:val="3"/>
          </w:tcPr>
          <w:p>
            <w:pPr>
              <w:ind w:left="1980"/>
              <w:spacing w:after="0" w:line="170" w:lineRule="exact"/>
              <w:rPr>
                <w:sz w:val="20"/>
                <w:szCs w:val="20"/>
                <w:color w:val="auto"/>
              </w:rPr>
            </w:pPr>
            <w:r>
              <w:rPr>
                <w:rFonts w:ascii="Arial" w:cs="Arial" w:eastAsia="Arial" w:hAnsi="Arial"/>
                <w:sz w:val="18"/>
                <w:szCs w:val="18"/>
                <w:color w:val="0000FF"/>
              </w:rPr>
              <w:t>09/02/2008</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Line)</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ROCKVILLE</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820" w:type="dxa"/>
            <w:vAlign w:val="bottom"/>
          </w:tcPr>
          <w:p>
            <w:pPr>
              <w:ind w:left="560"/>
              <w:spacing w:after="0"/>
              <w:rPr>
                <w:sz w:val="20"/>
                <w:szCs w:val="20"/>
                <w:color w:val="auto"/>
              </w:rPr>
            </w:pPr>
            <w:r>
              <w:rPr>
                <w:rFonts w:ascii="Arial" w:cs="Arial" w:eastAsia="Arial" w:hAnsi="Arial"/>
                <w:sz w:val="18"/>
                <w:szCs w:val="18"/>
                <w:color w:val="0000FF"/>
              </w:rPr>
              <w:t>20850</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20" w:type="dxa"/>
            <w:vAlign w:val="bottom"/>
            <w:gridSpan w:val="4"/>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12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ind w:left="42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4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8"/>
          </w:tcPr>
          <w:p>
            <w:pPr>
              <w:jc w:val="right"/>
              <w:ind w:right="2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20" w:type="dxa"/>
            <w:vAlign w:val="bottom"/>
            <w:gridSpan w:val="2"/>
          </w:tcPr>
          <w:p>
            <w:pPr>
              <w:ind w:left="10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20" w:type="dxa"/>
            <w:vAlign w:val="bottom"/>
            <w:gridSpan w:val="2"/>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20" w:type="dxa"/>
            <w:vAlign w:val="bottom"/>
            <w:gridSpan w:val="2"/>
          </w:tcPr>
          <w:p>
            <w:pPr>
              <w:jc w:val="center"/>
              <w:ind w:left="89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1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4"/>
              </w:rPr>
              <w:t>8,000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14</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7,843,735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14.005</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7,843,535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14.01</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7,843,235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500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14.02</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7,842,735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800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14.03</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7,841,935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14.04</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7,841,835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14.05</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7,841,635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4"/>
              </w:rPr>
              <w:t>3,700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14.06</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7,837,935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4"/>
              </w:rPr>
              <w:t>1,700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14.07</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7,836,235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400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14.08</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7,835,835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14.085</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7,835,735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350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14.09</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7,835,385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600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14.1</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7,834,785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14.11</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7,834,485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600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14.12</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7,833,885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700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14.13</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7,833,185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14.14</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7,832,985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120" w:type="dxa"/>
            <w:vAlign w:val="bottom"/>
            <w:gridSpan w:val="2"/>
            <w:vMerge w:val="restart"/>
          </w:tcPr>
          <w:p>
            <w:pPr>
              <w:jc w:val="center"/>
              <w:ind w:left="916"/>
              <w:spacing w:after="0"/>
              <w:rPr>
                <w:sz w:val="20"/>
                <w:szCs w:val="20"/>
                <w:color w:val="auto"/>
              </w:rPr>
            </w:pPr>
            <w:r>
              <w:rPr>
                <w:rFonts w:ascii="Arial" w:cs="Arial" w:eastAsia="Arial" w:hAnsi="Arial"/>
                <w:sz w:val="18"/>
                <w:szCs w:val="18"/>
                <w:color w:val="0000FF"/>
                <w:w w:val="88"/>
              </w:rPr>
              <w:t>08/28/2008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14.15</w:t>
            </w:r>
          </w:p>
        </w:tc>
        <w:tc>
          <w:tcPr>
            <w:tcW w:w="1140" w:type="dxa"/>
            <w:vAlign w:val="bottom"/>
            <w:vMerge w:val="restart"/>
          </w:tcPr>
          <w:p>
            <w:pPr>
              <w:jc w:val="right"/>
              <w:ind w:right="80"/>
              <w:spacing w:after="0"/>
              <w:rPr>
                <w:sz w:val="20"/>
                <w:szCs w:val="20"/>
                <w:color w:val="auto"/>
              </w:rPr>
            </w:pPr>
            <w:r>
              <w:rPr>
                <w:rFonts w:ascii="Arial" w:cs="Arial" w:eastAsia="Arial" w:hAnsi="Arial"/>
                <w:sz w:val="18"/>
                <w:szCs w:val="18"/>
                <w:color w:val="0000FF"/>
                <w:w w:val="97"/>
              </w:rPr>
              <w:t>7,832,885</w:t>
            </w:r>
            <w:r>
              <w:rPr>
                <w:rFonts w:ascii="Arial" w:cs="Arial" w:eastAsia="Arial" w:hAnsi="Arial"/>
                <w:sz w:val="22"/>
                <w:szCs w:val="22"/>
                <w:color w:val="008000"/>
                <w:w w:val="97"/>
                <w:vertAlign w:val="superscript"/>
              </w:rPr>
              <w:t>(1)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719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7198995"/>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jc w:val="center"/>
              <w:ind w:left="24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7"/>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4"/>
              <w:spacing w:after="0"/>
              <w:rPr>
                <w:sz w:val="20"/>
                <w:szCs w:val="20"/>
                <w:color w:val="auto"/>
              </w:rPr>
            </w:pPr>
            <w:r>
              <w:rPr>
                <w:rFonts w:ascii="Arial" w:cs="Arial" w:eastAsia="Arial" w:hAnsi="Arial"/>
                <w:sz w:val="18"/>
                <w:szCs w:val="18"/>
                <w:color w:val="0000FF"/>
                <w:w w:val="88"/>
              </w:rPr>
              <w:t>08/28/2008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4"/>
              <w:spacing w:after="0"/>
              <w:rPr>
                <w:sz w:val="20"/>
                <w:szCs w:val="20"/>
                <w:color w:val="auto"/>
              </w:rPr>
            </w:pPr>
            <w:r>
              <w:rPr>
                <w:rFonts w:ascii="Arial" w:cs="Arial" w:eastAsia="Arial" w:hAnsi="Arial"/>
                <w:sz w:val="18"/>
                <w:szCs w:val="18"/>
                <w:color w:val="0000FF"/>
                <w:w w:val="89"/>
              </w:rPr>
              <w:t>50</w:t>
            </w:r>
          </w:p>
        </w:tc>
        <w:tc>
          <w:tcPr>
            <w:tcW w:w="500" w:type="dxa"/>
            <w:vAlign w:val="bottom"/>
            <w:vMerge w:val="restart"/>
          </w:tcPr>
          <w:p>
            <w:pPr>
              <w:jc w:val="center"/>
              <w:ind w:right="7"/>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14.16</w:t>
            </w: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7,832,835</w:t>
            </w:r>
            <w:r>
              <w:rPr>
                <w:rFonts w:ascii="Arial" w:cs="Arial" w:eastAsia="Arial" w:hAnsi="Arial"/>
                <w:sz w:val="22"/>
                <w:szCs w:val="22"/>
                <w:color w:val="008000"/>
                <w:w w:val="83"/>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4"/>
              <w:spacing w:after="0"/>
              <w:rPr>
                <w:sz w:val="20"/>
                <w:szCs w:val="20"/>
                <w:color w:val="auto"/>
              </w:rPr>
            </w:pPr>
            <w:r>
              <w:rPr>
                <w:rFonts w:ascii="Arial" w:cs="Arial" w:eastAsia="Arial" w:hAnsi="Arial"/>
                <w:sz w:val="18"/>
                <w:szCs w:val="18"/>
                <w:color w:val="0000FF"/>
                <w:w w:val="88"/>
              </w:rPr>
              <w:t>08/28/2008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4"/>
              <w:spacing w:after="0"/>
              <w:rPr>
                <w:sz w:val="20"/>
                <w:szCs w:val="20"/>
                <w:color w:val="auto"/>
              </w:rPr>
            </w:pPr>
            <w:r>
              <w:rPr>
                <w:rFonts w:ascii="Arial" w:cs="Arial" w:eastAsia="Arial" w:hAnsi="Arial"/>
                <w:sz w:val="18"/>
                <w:szCs w:val="18"/>
                <w:color w:val="0000FF"/>
                <w:w w:val="86"/>
              </w:rPr>
              <w:t>800</w:t>
            </w:r>
          </w:p>
        </w:tc>
        <w:tc>
          <w:tcPr>
            <w:tcW w:w="500" w:type="dxa"/>
            <w:vAlign w:val="bottom"/>
            <w:vMerge w:val="restart"/>
          </w:tcPr>
          <w:p>
            <w:pPr>
              <w:jc w:val="center"/>
              <w:ind w:right="7"/>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14.17</w:t>
            </w: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7,832,035</w:t>
            </w:r>
            <w:r>
              <w:rPr>
                <w:rFonts w:ascii="Arial" w:cs="Arial" w:eastAsia="Arial" w:hAnsi="Arial"/>
                <w:sz w:val="22"/>
                <w:szCs w:val="22"/>
                <w:color w:val="008000"/>
                <w:w w:val="83"/>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4"/>
              <w:spacing w:after="0"/>
              <w:rPr>
                <w:sz w:val="20"/>
                <w:szCs w:val="20"/>
                <w:color w:val="auto"/>
              </w:rPr>
            </w:pPr>
            <w:r>
              <w:rPr>
                <w:rFonts w:ascii="Arial" w:cs="Arial" w:eastAsia="Arial" w:hAnsi="Arial"/>
                <w:sz w:val="18"/>
                <w:szCs w:val="18"/>
                <w:color w:val="0000FF"/>
                <w:w w:val="88"/>
              </w:rPr>
              <w:t>08/28/2008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4"/>
              <w:spacing w:after="0"/>
              <w:rPr>
                <w:sz w:val="20"/>
                <w:szCs w:val="20"/>
                <w:color w:val="auto"/>
              </w:rPr>
            </w:pPr>
            <w:r>
              <w:rPr>
                <w:rFonts w:ascii="Arial" w:cs="Arial" w:eastAsia="Arial" w:hAnsi="Arial"/>
                <w:sz w:val="18"/>
                <w:szCs w:val="18"/>
                <w:color w:val="0000FF"/>
                <w:w w:val="86"/>
              </w:rPr>
              <w:t>400</w:t>
            </w:r>
          </w:p>
        </w:tc>
        <w:tc>
          <w:tcPr>
            <w:tcW w:w="500" w:type="dxa"/>
            <w:vAlign w:val="bottom"/>
            <w:vMerge w:val="restart"/>
          </w:tcPr>
          <w:p>
            <w:pPr>
              <w:jc w:val="center"/>
              <w:ind w:right="7"/>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14.18</w:t>
            </w: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7,831,635</w:t>
            </w:r>
            <w:r>
              <w:rPr>
                <w:rFonts w:ascii="Arial" w:cs="Arial" w:eastAsia="Arial" w:hAnsi="Arial"/>
                <w:sz w:val="22"/>
                <w:szCs w:val="22"/>
                <w:color w:val="008000"/>
                <w:w w:val="83"/>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4"/>
              <w:spacing w:after="0"/>
              <w:rPr>
                <w:sz w:val="20"/>
                <w:szCs w:val="20"/>
                <w:color w:val="auto"/>
              </w:rPr>
            </w:pPr>
            <w:r>
              <w:rPr>
                <w:rFonts w:ascii="Arial" w:cs="Arial" w:eastAsia="Arial" w:hAnsi="Arial"/>
                <w:sz w:val="18"/>
                <w:szCs w:val="18"/>
                <w:color w:val="0000FF"/>
                <w:w w:val="88"/>
              </w:rPr>
              <w:t>08/28/2008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4"/>
              <w:spacing w:after="0"/>
              <w:rPr>
                <w:sz w:val="20"/>
                <w:szCs w:val="20"/>
                <w:color w:val="auto"/>
              </w:rPr>
            </w:pPr>
            <w:r>
              <w:rPr>
                <w:rFonts w:ascii="Arial" w:cs="Arial" w:eastAsia="Arial" w:hAnsi="Arial"/>
                <w:sz w:val="18"/>
                <w:szCs w:val="18"/>
                <w:color w:val="0000FF"/>
                <w:w w:val="84"/>
              </w:rPr>
              <w:t>1,000</w:t>
            </w:r>
          </w:p>
        </w:tc>
        <w:tc>
          <w:tcPr>
            <w:tcW w:w="500" w:type="dxa"/>
            <w:vAlign w:val="bottom"/>
            <w:vMerge w:val="restart"/>
          </w:tcPr>
          <w:p>
            <w:pPr>
              <w:jc w:val="center"/>
              <w:ind w:right="7"/>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14.19</w:t>
            </w: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7,830,635</w:t>
            </w:r>
            <w:r>
              <w:rPr>
                <w:rFonts w:ascii="Arial" w:cs="Arial" w:eastAsia="Arial" w:hAnsi="Arial"/>
                <w:sz w:val="22"/>
                <w:szCs w:val="22"/>
                <w:color w:val="008000"/>
                <w:w w:val="83"/>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4"/>
              <w:spacing w:after="0"/>
              <w:rPr>
                <w:sz w:val="20"/>
                <w:szCs w:val="20"/>
                <w:color w:val="auto"/>
              </w:rPr>
            </w:pPr>
            <w:r>
              <w:rPr>
                <w:rFonts w:ascii="Arial" w:cs="Arial" w:eastAsia="Arial" w:hAnsi="Arial"/>
                <w:sz w:val="18"/>
                <w:szCs w:val="18"/>
                <w:color w:val="0000FF"/>
                <w:w w:val="88"/>
              </w:rPr>
              <w:t>08/28/2008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4"/>
              <w:spacing w:after="0"/>
              <w:rPr>
                <w:sz w:val="20"/>
                <w:szCs w:val="20"/>
                <w:color w:val="auto"/>
              </w:rPr>
            </w:pPr>
            <w:r>
              <w:rPr>
                <w:rFonts w:ascii="Arial" w:cs="Arial" w:eastAsia="Arial" w:hAnsi="Arial"/>
                <w:sz w:val="18"/>
                <w:szCs w:val="18"/>
                <w:color w:val="0000FF"/>
                <w:w w:val="86"/>
              </w:rPr>
              <w:t>500</w:t>
            </w:r>
          </w:p>
        </w:tc>
        <w:tc>
          <w:tcPr>
            <w:tcW w:w="500" w:type="dxa"/>
            <w:vAlign w:val="bottom"/>
            <w:vMerge w:val="restart"/>
          </w:tcPr>
          <w:p>
            <w:pPr>
              <w:jc w:val="center"/>
              <w:ind w:right="7"/>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14.2</w:t>
            </w: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7,830,135</w:t>
            </w:r>
            <w:r>
              <w:rPr>
                <w:rFonts w:ascii="Arial" w:cs="Arial" w:eastAsia="Arial" w:hAnsi="Arial"/>
                <w:sz w:val="22"/>
                <w:szCs w:val="22"/>
                <w:color w:val="008000"/>
                <w:w w:val="83"/>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4"/>
              <w:spacing w:after="0"/>
              <w:rPr>
                <w:sz w:val="20"/>
                <w:szCs w:val="20"/>
                <w:color w:val="auto"/>
              </w:rPr>
            </w:pPr>
            <w:r>
              <w:rPr>
                <w:rFonts w:ascii="Arial" w:cs="Arial" w:eastAsia="Arial" w:hAnsi="Arial"/>
                <w:sz w:val="18"/>
                <w:szCs w:val="18"/>
                <w:color w:val="0000FF"/>
                <w:w w:val="88"/>
              </w:rPr>
              <w:t>08/28/2008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4"/>
              <w:spacing w:after="0"/>
              <w:rPr>
                <w:sz w:val="20"/>
                <w:szCs w:val="20"/>
                <w:color w:val="auto"/>
              </w:rPr>
            </w:pPr>
            <w:r>
              <w:rPr>
                <w:rFonts w:ascii="Arial" w:cs="Arial" w:eastAsia="Arial" w:hAnsi="Arial"/>
                <w:sz w:val="18"/>
                <w:szCs w:val="18"/>
                <w:color w:val="0000FF"/>
                <w:w w:val="86"/>
              </w:rPr>
              <w:t>200</w:t>
            </w:r>
          </w:p>
        </w:tc>
        <w:tc>
          <w:tcPr>
            <w:tcW w:w="500" w:type="dxa"/>
            <w:vAlign w:val="bottom"/>
            <w:vMerge w:val="restart"/>
          </w:tcPr>
          <w:p>
            <w:pPr>
              <w:jc w:val="center"/>
              <w:ind w:right="7"/>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14.21</w:t>
            </w: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7,829,935</w:t>
            </w:r>
            <w:r>
              <w:rPr>
                <w:rFonts w:ascii="Arial" w:cs="Arial" w:eastAsia="Arial" w:hAnsi="Arial"/>
                <w:sz w:val="22"/>
                <w:szCs w:val="22"/>
                <w:color w:val="008000"/>
                <w:w w:val="83"/>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4"/>
              <w:spacing w:after="0"/>
              <w:rPr>
                <w:sz w:val="20"/>
                <w:szCs w:val="20"/>
                <w:color w:val="auto"/>
              </w:rPr>
            </w:pPr>
            <w:r>
              <w:rPr>
                <w:rFonts w:ascii="Arial" w:cs="Arial" w:eastAsia="Arial" w:hAnsi="Arial"/>
                <w:sz w:val="18"/>
                <w:szCs w:val="18"/>
                <w:color w:val="0000FF"/>
                <w:w w:val="88"/>
              </w:rPr>
              <w:t>08/28/2008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4"/>
              <w:spacing w:after="0"/>
              <w:rPr>
                <w:sz w:val="20"/>
                <w:szCs w:val="20"/>
                <w:color w:val="auto"/>
              </w:rPr>
            </w:pPr>
            <w:r>
              <w:rPr>
                <w:rFonts w:ascii="Arial" w:cs="Arial" w:eastAsia="Arial" w:hAnsi="Arial"/>
                <w:sz w:val="18"/>
                <w:szCs w:val="18"/>
                <w:color w:val="0000FF"/>
                <w:w w:val="86"/>
              </w:rPr>
              <w:t>650</w:t>
            </w:r>
          </w:p>
        </w:tc>
        <w:tc>
          <w:tcPr>
            <w:tcW w:w="500" w:type="dxa"/>
            <w:vAlign w:val="bottom"/>
            <w:vMerge w:val="restart"/>
          </w:tcPr>
          <w:p>
            <w:pPr>
              <w:jc w:val="center"/>
              <w:ind w:right="7"/>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14.22</w:t>
            </w: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7,829,285</w:t>
            </w:r>
            <w:r>
              <w:rPr>
                <w:rFonts w:ascii="Arial" w:cs="Arial" w:eastAsia="Arial" w:hAnsi="Arial"/>
                <w:sz w:val="22"/>
                <w:szCs w:val="22"/>
                <w:color w:val="008000"/>
                <w:w w:val="83"/>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4"/>
              <w:spacing w:after="0"/>
              <w:rPr>
                <w:sz w:val="20"/>
                <w:szCs w:val="20"/>
                <w:color w:val="auto"/>
              </w:rPr>
            </w:pPr>
            <w:r>
              <w:rPr>
                <w:rFonts w:ascii="Arial" w:cs="Arial" w:eastAsia="Arial" w:hAnsi="Arial"/>
                <w:sz w:val="18"/>
                <w:szCs w:val="18"/>
                <w:color w:val="0000FF"/>
                <w:w w:val="88"/>
              </w:rPr>
              <w:t>08/28/2008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44"/>
              <w:spacing w:after="0"/>
              <w:rPr>
                <w:sz w:val="20"/>
                <w:szCs w:val="20"/>
                <w:color w:val="auto"/>
              </w:rPr>
            </w:pPr>
            <w:r>
              <w:rPr>
                <w:rFonts w:ascii="Arial" w:cs="Arial" w:eastAsia="Arial" w:hAnsi="Arial"/>
                <w:sz w:val="18"/>
                <w:szCs w:val="18"/>
                <w:color w:val="0000FF"/>
                <w:w w:val="86"/>
              </w:rPr>
              <w:t>100</w:t>
            </w:r>
          </w:p>
        </w:tc>
        <w:tc>
          <w:tcPr>
            <w:tcW w:w="500" w:type="dxa"/>
            <w:vAlign w:val="bottom"/>
            <w:vMerge w:val="restart"/>
          </w:tcPr>
          <w:p>
            <w:pPr>
              <w:jc w:val="center"/>
              <w:ind w:right="7"/>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14.23</w:t>
            </w: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7,829,185</w:t>
            </w:r>
            <w:r>
              <w:rPr>
                <w:rFonts w:ascii="Arial" w:cs="Arial" w:eastAsia="Arial" w:hAnsi="Arial"/>
                <w:sz w:val="22"/>
                <w:szCs w:val="22"/>
                <w:color w:val="008000"/>
                <w:w w:val="83"/>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8"/>
                <w:szCs w:val="18"/>
                <w:color w:val="0000FF"/>
                <w:w w:val="89"/>
              </w:rPr>
              <w:t>246,992</w:t>
            </w:r>
          </w:p>
        </w:tc>
        <w:tc>
          <w:tcPr>
            <w:tcW w:w="300" w:type="dxa"/>
            <w:vAlign w:val="bottom"/>
          </w:tcPr>
          <w:p>
            <w:pPr>
              <w:spacing w:after="0"/>
              <w:rPr>
                <w:sz w:val="23"/>
                <w:szCs w:val="23"/>
                <w:color w:val="auto"/>
              </w:rPr>
            </w:pPr>
          </w:p>
        </w:tc>
        <w:tc>
          <w:tcPr>
            <w:tcW w:w="600" w:type="dxa"/>
            <w:vAlign w:val="bottom"/>
          </w:tcPr>
          <w:p>
            <w:pPr>
              <w:jc w:val="center"/>
              <w:ind w:right="321"/>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0000FF"/>
              </w:rPr>
              <w:t>By</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19"/>
              <w:spacing w:after="0" w:line="217" w:lineRule="exact"/>
              <w:rPr>
                <w:sz w:val="20"/>
                <w:szCs w:val="20"/>
                <w:color w:val="auto"/>
              </w:rPr>
            </w:pPr>
            <w:r>
              <w:rPr>
                <w:rFonts w:ascii="Arial" w:cs="Arial" w:eastAsia="Arial" w:hAnsi="Arial"/>
                <w:sz w:val="18"/>
                <w:szCs w:val="18"/>
                <w:color w:val="0000FF"/>
                <w:w w:val="83"/>
              </w:rPr>
              <w:t>3,665,043</w:t>
            </w:r>
            <w:r>
              <w:rPr>
                <w:rFonts w:ascii="Arial" w:cs="Arial" w:eastAsia="Arial" w:hAnsi="Arial"/>
                <w:sz w:val="22"/>
                <w:szCs w:val="22"/>
                <w:color w:val="008000"/>
                <w:w w:val="83"/>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BioPharm,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3"/>
              </w:rPr>
              <w:t>1,599,155</w:t>
            </w:r>
            <w:r>
              <w:rPr>
                <w:rFonts w:ascii="Arial" w:cs="Arial" w:eastAsia="Arial" w:hAnsi="Arial"/>
                <w:sz w:val="22"/>
                <w:szCs w:val="22"/>
                <w:color w:val="008000"/>
                <w:w w:val="83"/>
                <w:vertAlign w:val="superscript"/>
              </w:rPr>
              <w:t>(3)</w:t>
            </w:r>
          </w:p>
        </w:tc>
        <w:tc>
          <w:tcPr>
            <w:tcW w:w="300" w:type="dxa"/>
            <w:vAlign w:val="bottom"/>
          </w:tcPr>
          <w:p>
            <w:pPr>
              <w:spacing w:after="0"/>
              <w:rPr>
                <w:sz w:val="22"/>
                <w:szCs w:val="22"/>
                <w:color w:val="auto"/>
              </w:rPr>
            </w:pPr>
          </w:p>
        </w:tc>
        <w:tc>
          <w:tcPr>
            <w:tcW w:w="600" w:type="dxa"/>
            <w:vAlign w:val="bottom"/>
            <w:vMerge w:val="restart"/>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Biovac,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19"/>
              <w:spacing w:after="0" w:line="217" w:lineRule="exact"/>
              <w:rPr>
                <w:sz w:val="20"/>
                <w:szCs w:val="20"/>
                <w:color w:val="auto"/>
              </w:rPr>
            </w:pPr>
            <w:r>
              <w:rPr>
                <w:rFonts w:ascii="Arial" w:cs="Arial" w:eastAsia="Arial" w:hAnsi="Arial"/>
                <w:sz w:val="18"/>
                <w:szCs w:val="18"/>
                <w:color w:val="0000FF"/>
                <w:w w:val="84"/>
              </w:rPr>
              <w:t>719,275</w:t>
            </w:r>
            <w:r>
              <w:rPr>
                <w:rFonts w:ascii="Arial" w:cs="Arial" w:eastAsia="Arial" w:hAnsi="Arial"/>
                <w:sz w:val="22"/>
                <w:szCs w:val="22"/>
                <w:color w:val="008000"/>
                <w:w w:val="84"/>
                <w:vertAlign w:val="superscript"/>
              </w:rPr>
              <w:t>(4)</w:t>
            </w:r>
          </w:p>
        </w:tc>
        <w:tc>
          <w:tcPr>
            <w:tcW w:w="300" w:type="dxa"/>
            <w:vAlign w:val="bottom"/>
          </w:tcPr>
          <w:p>
            <w:pPr>
              <w:spacing w:after="0"/>
              <w:rPr>
                <w:sz w:val="18"/>
                <w:szCs w:val="18"/>
                <w:color w:val="auto"/>
              </w:rPr>
            </w:pPr>
          </w:p>
        </w:tc>
        <w:tc>
          <w:tcPr>
            <w:tcW w:w="600" w:type="dxa"/>
            <w:vAlign w:val="bottom"/>
          </w:tcPr>
          <w:p>
            <w:pPr>
              <w:jc w:val="center"/>
              <w:ind w:right="301"/>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Intervac, L.L.C. on June 13, 2008. Intervac, L.L.C. was the direct owner of the shares of Common Stock sold pursuant to the Rule 10b5-1 trading plan, and was or is the direct owner of the shares of Common Stock reported as beneficially owned immediately following each of the reported sales. Both before and after the reported sales, Mr. El-Hibri held, individually and with his wife, as tenants by the entirety, an aggregate 38.0276% equity interest in Intervac, L.L.C. Mr. El-Hibri disclaims beneficial ownership of the shares of Common Stock directly owned by Intervac, L.L.C. for purposes of Section 16, except to the extent of his pecuniary interest therein.</w:t>
      </w:r>
    </w:p>
    <w:p>
      <w:pPr>
        <w:spacing w:after="0" w:line="8"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is the holder of a 40.17% (567,582.3 units) equity interest in BioPharm, L.L.C. BioPharm, L.L.C. is the direct owner of 3,665,043 shares of Common Stock. Mr. El-Hibri disclaims beneficial ownership of these shares for purposes of Section 16, except to the extent of his pecuniary interest in 1,472,248 shares.</w:t>
      </w:r>
    </w:p>
    <w:p>
      <w:pPr>
        <w:spacing w:after="0" w:line="30" w:lineRule="exact"/>
        <w:rPr>
          <w:rFonts w:ascii="Arial" w:cs="Arial" w:eastAsia="Arial" w:hAnsi="Arial"/>
          <w:sz w:val="14"/>
          <w:szCs w:val="14"/>
          <w:color w:val="008000"/>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with his wife, as tenants by the entirety, a 89.2% equity interest in Biovac, L.L.C. Biovac, L.L.C. is the direct owner of 1,599,155 shares of Common Stock. Mr. El-Hibri disclaims beneficial ownership of these shares for purposes of Section 16, except to the extent of his pecuniary interest in 1,426,446 shares.</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with his wife, as tenants by the entirety, a 31.11% equity interest in Intervac Management, L.L.C. Intervac Management, L.L.C. is the direct owner of 719,275 shares of Common Stock. Mr. El-Hibri disclaims beneficial ownership of these shares for purposes of Section 16, except to the extent of his pecuniary interest in 223,766 shares.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Joseph J. Kaufman,</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09/05/2008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88" w:right="239" w:bottom="742" w:gutter="0" w:footer="0" w:header="0"/>
        </w:sectPr>
      </w:pPr>
    </w:p>
    <w:bookmarkStart w:id="2" w:name="page3"/>
    <w:bookmarkEnd w:id="2"/>
    <w:p>
      <w:pPr>
        <w:ind w:left="2960"/>
        <w:spacing w:after="0"/>
        <w:rPr>
          <w:sz w:val="20"/>
          <w:szCs w:val="20"/>
          <w:color w:val="auto"/>
        </w:rPr>
      </w:pPr>
      <w:r>
        <w:rPr>
          <w:rFonts w:ascii="Courier New" w:cs="Courier New" w:eastAsia="Courier New" w:hAnsi="Courier New"/>
          <w:sz w:val="18"/>
          <w:szCs w:val="18"/>
          <w:color w:val="auto"/>
        </w:rPr>
        <w:t>LIMITED POWER OF ATTORNEY</w:t>
      </w:r>
    </w:p>
    <w:p>
      <w:pPr>
        <w:ind w:left="2320"/>
        <w:spacing w:after="0" w:line="238" w:lineRule="auto"/>
        <w:rPr>
          <w:sz w:val="20"/>
          <w:szCs w:val="20"/>
          <w:color w:val="auto"/>
        </w:rPr>
      </w:pPr>
      <w:r>
        <w:rPr>
          <w:rFonts w:ascii="Courier New" w:cs="Courier New" w:eastAsia="Courier New" w:hAnsi="Courier New"/>
          <w:sz w:val="18"/>
          <w:szCs w:val="18"/>
          <w:color w:val="auto"/>
        </w:rPr>
        <w:t>FOR SECTION 16 REPORTING OBLIGATIONS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the lawyers of Thelen LLP, including but not limited to Carl A. Valenstein and Joe Kaufman, signing singly and each acting individually, as the undersigned's true and lawful attorney-in-fact with full power and authority as hereinafter described to:</w:t>
      </w:r>
    </w:p>
    <w:p>
      <w:pPr>
        <w:spacing w:after="0" w:line="209" w:lineRule="exact"/>
        <w:rPr>
          <w:sz w:val="20"/>
          <w:szCs w:val="20"/>
          <w:color w:val="auto"/>
        </w:rPr>
      </w:pPr>
    </w:p>
    <w:p>
      <w:pPr>
        <w:jc w:val="both"/>
        <w:ind w:right="177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Emergent BioSolutions, Inc. (the "Company"), Forms 3, 4, and 5 (including any amendments thereto) in accordance with Section 16(a) of the Securities Exchange Act of 1934 and the rules thereunder (the "Exchange Act");</w:t>
      </w:r>
    </w:p>
    <w:p>
      <w:pPr>
        <w:spacing w:after="0" w:line="208" w:lineRule="exact"/>
        <w:rPr>
          <w:rFonts w:ascii="Courier New" w:cs="Courier New" w:eastAsia="Courier New" w:hAnsi="Courier New"/>
          <w:sz w:val="18"/>
          <w:szCs w:val="18"/>
          <w:color w:val="auto"/>
        </w:rPr>
      </w:pPr>
    </w:p>
    <w:p>
      <w:pPr>
        <w:jc w:val="both"/>
        <w:ind w:right="1779" w:firstLine="535"/>
        <w:spacing w:after="0" w:line="273"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and any stock exchange or similar authority;</w:t>
      </w:r>
    </w:p>
    <w:p>
      <w:pPr>
        <w:spacing w:after="0" w:line="184" w:lineRule="exact"/>
        <w:rPr>
          <w:rFonts w:ascii="Courier New" w:cs="Courier New" w:eastAsia="Courier New" w:hAnsi="Courier New"/>
          <w:sz w:val="16"/>
          <w:szCs w:val="16"/>
          <w:color w:val="auto"/>
        </w:rPr>
      </w:pPr>
    </w:p>
    <w:p>
      <w:pPr>
        <w:jc w:val="both"/>
        <w:ind w:right="177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09"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2" w:lineRule="exact"/>
        <w:rPr>
          <w:sz w:val="20"/>
          <w:szCs w:val="20"/>
          <w:color w:val="auto"/>
        </w:rPr>
      </w:pPr>
    </w:p>
    <w:p>
      <w:pPr>
        <w:jc w:val="both"/>
        <w:ind w:right="1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29th day of August, 2008.</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/s/Yahia Fuad El-Hibri</w:t>
      </w:r>
    </w:p>
    <w:p>
      <w:pPr>
        <w:ind w:left="45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Yahia Fuad El-Hibri</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2019-12-16T13:05:29Z</dcterms:created>
  <dcterms:modified xsi:type="dcterms:W3CDTF">2019-12-16T13:05:29Z</dcterms:modified>
</cp:coreProperties>
</file>