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ind w:left="280"/>
              <w:spacing w:after="0" w:line="155" w:lineRule="exact"/>
              <w:rPr>
                <w:sz w:val="20"/>
                <w:szCs w:val="20"/>
                <w:color w:val="auto"/>
              </w:rPr>
            </w:pPr>
            <w:r>
              <w:rPr>
                <w:rFonts w:ascii="Arial" w:cs="Arial" w:eastAsia="Arial" w:hAnsi="Arial"/>
                <w:sz w:val="14"/>
                <w:szCs w:val="14"/>
                <w:color w:val="auto"/>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0000FF"/>
              </w:rPr>
              <w:t>GAITHERSBURG MD</w:t>
            </w:r>
          </w:p>
        </w:tc>
        <w:tc>
          <w:tcPr>
            <w:tcW w:w="1820" w:type="dxa"/>
            <w:vAlign w:val="bottom"/>
          </w:tcPr>
          <w:p>
            <w:pPr>
              <w:jc w:val="right"/>
              <w:ind w:right="667"/>
              <w:spacing w:after="0"/>
              <w:rPr>
                <w:sz w:val="20"/>
                <w:szCs w:val="20"/>
                <w:color w:val="auto"/>
              </w:rPr>
            </w:pPr>
            <w:r>
              <w:rPr>
                <w:rFonts w:ascii="Arial" w:cs="Arial" w:eastAsia="Arial" w:hAnsi="Arial"/>
                <w:sz w:val="18"/>
                <w:szCs w:val="18"/>
                <w:color w:val="0000FF"/>
              </w:rPr>
              <w:t>20879</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08/31/2017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5,461</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37.5</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1,624,755</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4,344,250</w:t>
            </w:r>
            <w:r>
              <w:rPr>
                <w:rFonts w:ascii="Arial" w:cs="Arial" w:eastAsia="Arial" w:hAnsi="Arial"/>
                <w:sz w:val="22"/>
                <w:szCs w:val="22"/>
                <w:color w:val="008000"/>
                <w:w w:val="85"/>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Intervac,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5"/>
              </w:rPr>
              <w:t>1,524,155</w:t>
            </w:r>
            <w:r>
              <w:rPr>
                <w:rFonts w:ascii="Arial" w:cs="Arial" w:eastAsia="Arial" w:hAnsi="Arial"/>
                <w:sz w:val="22"/>
                <w:szCs w:val="22"/>
                <w:color w:val="008000"/>
                <w:w w:val="85"/>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Biovac,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All sales listed on this Form 4 were made by Mr. El-Hibri pursuant to a trading plan adopted on February 28, 2017 that is intended to comply with Rule 10b5-1(c) under the Exchange Act.</w:t>
      </w:r>
    </w:p>
    <w:p>
      <w:pPr>
        <w:spacing w:after="0" w:line="64"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30"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individually and with his wife, as tenants by the entirety,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09/01/2017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2019-12-04T01:29:17Z</dcterms:created>
  <dcterms:modified xsi:type="dcterms:W3CDTF">2019-12-04T01:29:17Z</dcterms:modified>
</cp:coreProperties>
</file>