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52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52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LINDAHL RICHARD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EVP, Chief Financial Officer</w:t>
      </w:r>
    </w:p>
    <w:p>
      <w:pPr>
        <w:spacing w:after="0" w:line="32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6,103</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27,040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6,104</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33,144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610</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32,534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24,414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02/25/2020</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24,414</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02/24/2027</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44,735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65"/>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EBITDA as a percentage of total GAAP revenue for the three year period 2020 - 2022 fiscal years,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02/27/2020</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63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2020-02-27T20:22:04Z</dcterms:created>
  <dcterms:modified xsi:type="dcterms:W3CDTF">2020-02-27T20:22:04Z</dcterms:modified>
</cp:coreProperties>
</file>