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May 23, 2019</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463" w:right="219" w:bottom="1440" w:gutter="0" w:footer="0" w:header="0"/>
        </w:sectPr>
      </w:pPr>
    </w:p>
    <w:p>
      <w:pPr>
        <w:spacing w:after="0" w:line="367" w:lineRule="exact"/>
        <w:rPr>
          <w:sz w:val="24"/>
          <w:szCs w:val="24"/>
          <w:color w:val="auto"/>
        </w:rPr>
      </w:pPr>
    </w:p>
    <w:p>
      <w:pPr>
        <w:ind w:left="13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620" w:space="720"/>
            <w:col w:w="3100" w:space="720"/>
            <w:col w:w="2280"/>
          </w:cols>
          <w:pgMar w:left="240" w:top="463" w:right="219" w:bottom="1440" w:gutter="0" w:footer="0" w:header="0"/>
          <w:type w:val="continuous"/>
        </w:sect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47" w:lineRule="exact"/>
        <w:rPr>
          <w:sz w:val="24"/>
          <w:szCs w:val="24"/>
          <w:color w:val="auto"/>
        </w:rPr>
      </w:pPr>
    </w:p>
    <w:p>
      <w:pPr>
        <w:sectPr>
          <w:pgSz w:w="11900" w:h="16838" w:orient="portrait"/>
          <w:cols w:equalWidth="0" w:num="3">
            <w:col w:w="4020" w:space="720"/>
            <w:col w:w="3460" w:space="720"/>
            <w:col w:w="2520"/>
          </w:cols>
          <w:pgMar w:left="240" w:top="463" w:right="219" w:bottom="1440" w:gutter="0" w:footer="0" w:header="0"/>
          <w:type w:val="continuous"/>
        </w:sectPr>
      </w:pPr>
    </w:p>
    <w:p>
      <w:pPr>
        <w:ind w:left="4200"/>
        <w:spacing w:after="0"/>
        <w:rPr>
          <w:sz w:val="20"/>
          <w:szCs w:val="20"/>
          <w:color w:val="auto"/>
        </w:rPr>
      </w:pPr>
      <w:r>
        <w:rPr>
          <w:rFonts w:ascii="Arial" w:cs="Arial" w:eastAsia="Arial" w:hAnsi="Arial"/>
          <w:sz w:val="22"/>
          <w:szCs w:val="22"/>
          <w:b w:val="1"/>
          <w:bCs w:val="1"/>
          <w:color w:val="auto"/>
        </w:rPr>
        <w:t>400 Professional Drive, Suite 400,</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Gaithersburg, Maryland 20879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40"/>
          </w:cols>
          <w:pgMar w:left="240" w:top="463" w:right="219" w:bottom="1440" w:gutter="0" w:footer="0" w:header="0"/>
          <w:type w:val="continuous"/>
        </w:sectPr>
      </w:pP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8" w:lineRule="exact"/>
        <w:rPr>
          <w:sz w:val="24"/>
          <w:szCs w:val="24"/>
          <w:color w:val="auto"/>
        </w:rPr>
      </w:pPr>
    </w:p>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Arial" w:cs="Arial" w:eastAsia="Arial" w:hAnsi="Arial"/>
          <w:sz w:val="22"/>
          <w:szCs w:val="22"/>
          <w:color w:val="auto"/>
        </w:rPr>
      </w:pPr>
    </w:p>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7" w:lineRule="exact"/>
        <w:rPr>
          <w:rFonts w:ascii="Arial" w:cs="Arial" w:eastAsia="Arial" w:hAnsi="Arial"/>
          <w:sz w:val="22"/>
          <w:szCs w:val="22"/>
          <w:color w:val="auto"/>
        </w:rPr>
      </w:pPr>
    </w:p>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7" w:lineRule="exact"/>
        <w:rPr>
          <w:rFonts w:ascii="Arial" w:cs="Arial" w:eastAsia="Arial" w:hAnsi="Arial"/>
          <w:sz w:val="22"/>
          <w:szCs w:val="22"/>
          <w:color w:val="auto"/>
        </w:rPr>
      </w:pPr>
    </w:p>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$0.001 per share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4"/>
          <w:szCs w:val="24"/>
          <w:color w:val="auto"/>
        </w:rPr>
      </w:pPr>
    </w:p>
    <w:p>
      <w:pPr>
        <w:ind w:right="80"/>
        <w:spacing w:after="0" w:line="30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ectPr>
          <w:pgSz w:w="11900" w:h="16838" w:orient="portrait"/>
          <w:cols w:equalWidth="0" w:num="1">
            <w:col w:w="11440"/>
          </w:cols>
          <w:pgMar w:left="240" w:top="463" w:right="219" w:bottom="1440" w:gutter="0" w:footer="0" w:header="0"/>
          <w:type w:val="continuous"/>
        </w:sectPr>
      </w:pPr>
    </w:p>
    <w:bookmarkStart w:id="1" w:name="page2"/>
    <w:bookmarkEnd w:id="1"/>
    <w:p>
      <w:pPr>
        <w:ind w:right="160"/>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0"/>
          <w:szCs w:val="20"/>
          <w:color w:val="auto"/>
        </w:rPr>
      </w:pPr>
    </w:p>
    <w:p>
      <w:pPr>
        <w:spacing w:after="0" w:line="204"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jc w:val="both"/>
        <w:ind w:right="20" w:firstLine="716"/>
        <w:spacing w:after="0" w:line="282" w:lineRule="auto"/>
        <w:rPr>
          <w:sz w:val="20"/>
          <w:szCs w:val="20"/>
          <w:color w:val="auto"/>
        </w:rPr>
      </w:pPr>
      <w:r>
        <w:rPr>
          <w:rFonts w:ascii="Arial" w:cs="Arial" w:eastAsia="Arial" w:hAnsi="Arial"/>
          <w:sz w:val="18"/>
          <w:szCs w:val="18"/>
          <w:color w:val="auto"/>
        </w:rPr>
        <w:t>The 2019 annual meeting of stockholders of Emergent BioSolutions Inc. (“Emergent”) was held on May 23, 2019. A total of 47,878,139 shares of Emergent’s common stock were present or represented by proxy, which represented approximately 93.17% of Emergent’s 51,382,454 shares of common stock that were outstanding and entitled to vote at the annual meeting as of the record date of March 28, 2019. Stockholders considered the three proposals outlined below, each of which is described in more detail in the proxy statement.</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To elect three Class I directors to hold office for a term expiring at our 2022 annual meeting of stockholders and one Class</w:t>
      </w:r>
    </w:p>
    <w:p>
      <w:pPr>
        <w:spacing w:after="0" w:line="39" w:lineRule="exact"/>
        <w:rPr>
          <w:sz w:val="20"/>
          <w:szCs w:val="20"/>
          <w:color w:val="auto"/>
        </w:rPr>
      </w:pPr>
    </w:p>
    <w:p>
      <w:pPr>
        <w:ind w:right="20" w:firstLine="8"/>
        <w:spacing w:after="0" w:line="244" w:lineRule="auto"/>
        <w:tabs>
          <w:tab w:leader="none" w:pos="194" w:val="left"/>
        </w:tabs>
        <w:numPr>
          <w:ilvl w:val="0"/>
          <w:numId w:val="2"/>
        </w:numPr>
        <w:rPr>
          <w:rFonts w:ascii="Arial" w:cs="Arial" w:eastAsia="Arial" w:hAnsi="Arial"/>
          <w:sz w:val="20"/>
          <w:szCs w:val="20"/>
          <w:color w:val="auto"/>
        </w:rPr>
      </w:pPr>
      <w:r>
        <w:rPr>
          <w:rFonts w:ascii="Arial" w:cs="Arial" w:eastAsia="Arial" w:hAnsi="Arial"/>
          <w:sz w:val="20"/>
          <w:szCs w:val="20"/>
          <w:color w:val="auto"/>
        </w:rPr>
        <w:t>director to hold office for a term expiring at our 2020 annual meeting of stockholders and until their respective successors are duly elected and qualified. All director nominees were elected. The voting results were as follows:</w:t>
      </w: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40" w:type="dxa"/>
            <w:vAlign w:val="bottom"/>
            <w:tcBorders>
              <w:top w:val="single" w:sz="8" w:color="auto"/>
              <w:left w:val="single" w:sz="8" w:color="auto"/>
            </w:tcBorders>
          </w:tcPr>
          <w:p>
            <w:pPr>
              <w:spacing w:after="0"/>
              <w:rPr>
                <w:sz w:val="19"/>
                <w:szCs w:val="19"/>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Director Nominee</w:t>
            </w:r>
          </w:p>
        </w:tc>
        <w:tc>
          <w:tcPr>
            <w:tcW w:w="84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6"/>
              </w:rPr>
              <w:t>For</w:t>
            </w:r>
          </w:p>
        </w:tc>
        <w:tc>
          <w:tcPr>
            <w:tcW w:w="2060" w:type="dxa"/>
            <w:vAlign w:val="bottom"/>
            <w:tcBorders>
              <w:top w:val="single" w:sz="8" w:color="auto"/>
              <w:right w:val="single" w:sz="8" w:color="auto"/>
            </w:tcBorders>
            <w:gridSpan w:val="3"/>
          </w:tcPr>
          <w:p>
            <w:pPr>
              <w:ind w:left="720"/>
              <w:spacing w:after="0"/>
              <w:rPr>
                <w:sz w:val="20"/>
                <w:szCs w:val="20"/>
                <w:color w:val="auto"/>
              </w:rPr>
            </w:pPr>
            <w:r>
              <w:rPr>
                <w:rFonts w:ascii="Arial" w:cs="Arial" w:eastAsia="Arial" w:hAnsi="Arial"/>
                <w:sz w:val="20"/>
                <w:szCs w:val="20"/>
                <w:color w:val="auto"/>
              </w:rPr>
              <w:t>Against</w:t>
            </w:r>
          </w:p>
        </w:tc>
        <w:tc>
          <w:tcPr>
            <w:tcW w:w="20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4"/>
              </w:rPr>
              <w:t>Abstaining</w:t>
            </w:r>
          </w:p>
        </w:tc>
        <w:tc>
          <w:tcPr>
            <w:tcW w:w="52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gridSpan w:val="2"/>
          </w:tcPr>
          <w:p>
            <w:pPr>
              <w:jc w:val="center"/>
              <w:ind w:right="500"/>
              <w:spacing w:after="0"/>
              <w:rPr>
                <w:sz w:val="20"/>
                <w:szCs w:val="20"/>
                <w:color w:val="auto"/>
              </w:rPr>
            </w:pPr>
            <w:r>
              <w:rPr>
                <w:rFonts w:ascii="Arial" w:cs="Arial" w:eastAsia="Arial" w:hAnsi="Arial"/>
                <w:sz w:val="20"/>
                <w:szCs w:val="20"/>
                <w:color w:val="auto"/>
                <w:w w:val="90"/>
              </w:rPr>
              <w:t>Broker Non-Votes</w:t>
            </w:r>
          </w:p>
        </w:tc>
      </w:tr>
      <w:tr>
        <w:trPr>
          <w:trHeight w:val="48"/>
        </w:trPr>
        <w:tc>
          <w:tcPr>
            <w:tcW w:w="740" w:type="dxa"/>
            <w:vAlign w:val="bottom"/>
            <w:tcBorders>
              <w:left w:val="single" w:sz="8" w:color="auto"/>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81"/>
        </w:trPr>
        <w:tc>
          <w:tcPr>
            <w:tcW w:w="29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Fuad El-Hibri</w:t>
            </w:r>
          </w:p>
        </w:tc>
        <w:tc>
          <w:tcPr>
            <w:tcW w:w="194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43,422,085</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2,460,532</w:t>
            </w:r>
          </w:p>
        </w:tc>
        <w:tc>
          <w:tcPr>
            <w:tcW w:w="1460" w:type="dxa"/>
            <w:vAlign w:val="bottom"/>
            <w:gridSpan w:val="2"/>
          </w:tcPr>
          <w:p>
            <w:pPr>
              <w:jc w:val="center"/>
              <w:ind w:left="501"/>
              <w:spacing w:after="0"/>
              <w:rPr>
                <w:sz w:val="20"/>
                <w:szCs w:val="20"/>
                <w:color w:val="auto"/>
              </w:rPr>
            </w:pPr>
            <w:r>
              <w:rPr>
                <w:rFonts w:ascii="Arial" w:cs="Arial" w:eastAsia="Arial" w:hAnsi="Arial"/>
                <w:sz w:val="20"/>
                <w:szCs w:val="20"/>
                <w:color w:val="auto"/>
                <w:w w:val="88"/>
              </w:rPr>
              <w:t>11,491</w:t>
            </w:r>
          </w:p>
        </w:tc>
        <w:tc>
          <w:tcPr>
            <w:tcW w:w="580" w:type="dxa"/>
            <w:vAlign w:val="bottom"/>
            <w:tcBorders>
              <w:right w:val="single" w:sz="8" w:color="auto"/>
            </w:tcBorders>
          </w:tcPr>
          <w:p>
            <w:pPr>
              <w:spacing w:after="0"/>
              <w:rPr>
                <w:sz w:val="24"/>
                <w:szCs w:val="24"/>
                <w:color w:val="auto"/>
              </w:rPr>
            </w:pPr>
          </w:p>
        </w:tc>
        <w:tc>
          <w:tcPr>
            <w:tcW w:w="198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1,984,031</w:t>
            </w:r>
          </w:p>
        </w:tc>
        <w:tc>
          <w:tcPr>
            <w:tcW w:w="520" w:type="dxa"/>
            <w:vAlign w:val="bottom"/>
            <w:tcBorders>
              <w:right w:val="single" w:sz="8" w:color="auto"/>
            </w:tcBorders>
          </w:tcPr>
          <w:p>
            <w:pPr>
              <w:spacing w:after="0"/>
              <w:rPr>
                <w:sz w:val="24"/>
                <w:szCs w:val="24"/>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Ronald B. Richard</w:t>
            </w:r>
          </w:p>
        </w:tc>
        <w:tc>
          <w:tcPr>
            <w:tcW w:w="194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45,110,043</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771,046</w:t>
            </w:r>
          </w:p>
        </w:tc>
        <w:tc>
          <w:tcPr>
            <w:tcW w:w="1460" w:type="dxa"/>
            <w:vAlign w:val="bottom"/>
            <w:gridSpan w:val="2"/>
          </w:tcPr>
          <w:p>
            <w:pPr>
              <w:jc w:val="center"/>
              <w:ind w:left="481"/>
              <w:spacing w:after="0"/>
              <w:rPr>
                <w:sz w:val="20"/>
                <w:szCs w:val="20"/>
                <w:color w:val="auto"/>
              </w:rPr>
            </w:pPr>
            <w:r>
              <w:rPr>
                <w:rFonts w:ascii="Arial" w:cs="Arial" w:eastAsia="Arial" w:hAnsi="Arial"/>
                <w:sz w:val="20"/>
                <w:szCs w:val="20"/>
                <w:color w:val="auto"/>
                <w:w w:val="91"/>
              </w:rPr>
              <w:t>13,019</w:t>
            </w:r>
          </w:p>
        </w:tc>
        <w:tc>
          <w:tcPr>
            <w:tcW w:w="580" w:type="dxa"/>
            <w:vAlign w:val="bottom"/>
            <w:tcBorders>
              <w:right w:val="single" w:sz="8" w:color="auto"/>
            </w:tcBorders>
          </w:tcPr>
          <w:p>
            <w:pPr>
              <w:spacing w:after="0"/>
              <w:rPr>
                <w:sz w:val="22"/>
                <w:szCs w:val="22"/>
                <w:color w:val="auto"/>
              </w:rPr>
            </w:pPr>
          </w:p>
        </w:tc>
        <w:tc>
          <w:tcPr>
            <w:tcW w:w="198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1,984,031</w:t>
            </w:r>
          </w:p>
        </w:tc>
        <w:tc>
          <w:tcPr>
            <w:tcW w:w="520" w:type="dxa"/>
            <w:vAlign w:val="bottom"/>
            <w:tcBorders>
              <w:right w:val="single" w:sz="8" w:color="auto"/>
            </w:tcBorders>
          </w:tcPr>
          <w:p>
            <w:pPr>
              <w:spacing w:after="0"/>
              <w:rPr>
                <w:sz w:val="22"/>
                <w:szCs w:val="22"/>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Kathryn C. Zoon, Ph.D.</w:t>
            </w:r>
          </w:p>
        </w:tc>
        <w:tc>
          <w:tcPr>
            <w:tcW w:w="194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45,689,636</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193,950</w:t>
            </w:r>
          </w:p>
        </w:tc>
        <w:tc>
          <w:tcPr>
            <w:tcW w:w="1460" w:type="dxa"/>
            <w:vAlign w:val="bottom"/>
            <w:gridSpan w:val="2"/>
          </w:tcPr>
          <w:p>
            <w:pPr>
              <w:jc w:val="center"/>
              <w:ind w:left="481"/>
              <w:spacing w:after="0"/>
              <w:rPr>
                <w:sz w:val="20"/>
                <w:szCs w:val="20"/>
                <w:color w:val="auto"/>
              </w:rPr>
            </w:pPr>
            <w:r>
              <w:rPr>
                <w:rFonts w:ascii="Arial" w:cs="Arial" w:eastAsia="Arial" w:hAnsi="Arial"/>
                <w:sz w:val="20"/>
                <w:szCs w:val="20"/>
                <w:color w:val="auto"/>
                <w:w w:val="91"/>
              </w:rPr>
              <w:t>10,522</w:t>
            </w:r>
          </w:p>
        </w:tc>
        <w:tc>
          <w:tcPr>
            <w:tcW w:w="580" w:type="dxa"/>
            <w:vAlign w:val="bottom"/>
            <w:tcBorders>
              <w:right w:val="single" w:sz="8" w:color="auto"/>
            </w:tcBorders>
          </w:tcPr>
          <w:p>
            <w:pPr>
              <w:spacing w:after="0"/>
              <w:rPr>
                <w:sz w:val="22"/>
                <w:szCs w:val="22"/>
                <w:color w:val="auto"/>
              </w:rPr>
            </w:pPr>
          </w:p>
        </w:tc>
        <w:tc>
          <w:tcPr>
            <w:tcW w:w="198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1,984,031</w:t>
            </w:r>
          </w:p>
        </w:tc>
        <w:tc>
          <w:tcPr>
            <w:tcW w:w="520" w:type="dxa"/>
            <w:vAlign w:val="bottom"/>
            <w:tcBorders>
              <w:right w:val="single" w:sz="8" w:color="auto"/>
            </w:tcBorders>
          </w:tcPr>
          <w:p>
            <w:pPr>
              <w:spacing w:after="0"/>
              <w:rPr>
                <w:sz w:val="22"/>
                <w:szCs w:val="22"/>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Seamus Mulligan</w:t>
            </w:r>
          </w:p>
        </w:tc>
        <w:tc>
          <w:tcPr>
            <w:tcW w:w="194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43,489,886</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2,393,365</w:t>
            </w:r>
          </w:p>
        </w:tc>
        <w:tc>
          <w:tcPr>
            <w:tcW w:w="1460" w:type="dxa"/>
            <w:vAlign w:val="bottom"/>
            <w:gridSpan w:val="2"/>
          </w:tcPr>
          <w:p>
            <w:pPr>
              <w:jc w:val="center"/>
              <w:ind w:left="481"/>
              <w:spacing w:after="0"/>
              <w:rPr>
                <w:sz w:val="20"/>
                <w:szCs w:val="20"/>
                <w:color w:val="auto"/>
              </w:rPr>
            </w:pPr>
            <w:r>
              <w:rPr>
                <w:rFonts w:ascii="Arial" w:cs="Arial" w:eastAsia="Arial" w:hAnsi="Arial"/>
                <w:sz w:val="20"/>
                <w:szCs w:val="20"/>
                <w:color w:val="auto"/>
                <w:w w:val="91"/>
              </w:rPr>
              <w:t>10,857</w:t>
            </w:r>
          </w:p>
        </w:tc>
        <w:tc>
          <w:tcPr>
            <w:tcW w:w="580" w:type="dxa"/>
            <w:vAlign w:val="bottom"/>
            <w:tcBorders>
              <w:right w:val="single" w:sz="8" w:color="auto"/>
            </w:tcBorders>
          </w:tcPr>
          <w:p>
            <w:pPr>
              <w:spacing w:after="0"/>
              <w:rPr>
                <w:sz w:val="22"/>
                <w:szCs w:val="22"/>
                <w:color w:val="auto"/>
              </w:rPr>
            </w:pPr>
          </w:p>
        </w:tc>
        <w:tc>
          <w:tcPr>
            <w:tcW w:w="198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1,984,031</w:t>
            </w:r>
          </w:p>
        </w:tc>
        <w:tc>
          <w:tcPr>
            <w:tcW w:w="520" w:type="dxa"/>
            <w:vAlign w:val="bottom"/>
            <w:tcBorders>
              <w:right w:val="single" w:sz="8" w:color="auto"/>
            </w:tcBorders>
          </w:tcPr>
          <w:p>
            <w:pPr>
              <w:spacing w:after="0"/>
              <w:rPr>
                <w:sz w:val="22"/>
                <w:szCs w:val="22"/>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53" w:lineRule="exact"/>
        <w:rPr>
          <w:sz w:val="20"/>
          <w:szCs w:val="20"/>
          <w:color w:val="auto"/>
        </w:rPr>
      </w:pPr>
    </w:p>
    <w:p>
      <w:pPr>
        <w:ind w:right="900" w:firstLine="716"/>
        <w:spacing w:after="0" w:line="316" w:lineRule="auto"/>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To ratify the appointment by the Audit Committee of Ernst &amp; Young LLP as our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fiscal year ending December 31, 2019. Proposal 2 was approved. The voting results were as follows:</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3"/>
              </w:rPr>
              <w:t>For</w:t>
            </w:r>
          </w:p>
        </w:tc>
        <w:tc>
          <w:tcPr>
            <w:tcW w:w="112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Against</w:t>
            </w:r>
          </w:p>
        </w:tc>
        <w:tc>
          <w:tcPr>
            <w:tcW w:w="940" w:type="dxa"/>
            <w:vAlign w:val="bottom"/>
            <w:tcBorders>
              <w:top w:val="single" w:sz="8" w:color="auto"/>
            </w:tcBorders>
          </w:tcPr>
          <w:p>
            <w:pPr>
              <w:spacing w:after="0"/>
              <w:rPr>
                <w:sz w:val="19"/>
                <w:szCs w:val="19"/>
                <w:color w:val="auto"/>
              </w:rPr>
            </w:pPr>
          </w:p>
        </w:tc>
        <w:tc>
          <w:tcPr>
            <w:tcW w:w="1800" w:type="dxa"/>
            <w:vAlign w:val="bottom"/>
            <w:tcBorders>
              <w:top w:val="single" w:sz="8" w:color="auto"/>
              <w:right w:val="single" w:sz="8" w:color="auto"/>
            </w:tcBorders>
            <w:gridSpan w:val="2"/>
          </w:tcPr>
          <w:p>
            <w:pPr>
              <w:jc w:val="center"/>
              <w:ind w:right="940"/>
              <w:spacing w:after="0"/>
              <w:rPr>
                <w:sz w:val="20"/>
                <w:szCs w:val="20"/>
                <w:color w:val="auto"/>
              </w:rPr>
            </w:pPr>
            <w:r>
              <w:rPr>
                <w:rFonts w:ascii="Arial" w:cs="Arial" w:eastAsia="Arial" w:hAnsi="Arial"/>
                <w:sz w:val="20"/>
                <w:szCs w:val="20"/>
                <w:color w:val="auto"/>
                <w:w w:val="92"/>
              </w:rPr>
              <w:t>Abstaining</w:t>
            </w:r>
          </w:p>
        </w:tc>
        <w:tc>
          <w:tcPr>
            <w:tcW w:w="70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0"/>
              </w:rPr>
              <w:t>Broker Non-Votes</w:t>
            </w: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254"/>
        </w:trPr>
        <w:tc>
          <w:tcPr>
            <w:tcW w:w="3000" w:type="dxa"/>
            <w:vAlign w:val="bottom"/>
            <w:tcBorders>
              <w:left w:val="single" w:sz="8" w:color="auto"/>
              <w:right w:val="single" w:sz="8" w:color="auto"/>
            </w:tcBorders>
            <w:gridSpan w:val="3"/>
          </w:tcPr>
          <w:p>
            <w:pPr>
              <w:jc w:val="right"/>
              <w:ind w:right="1040"/>
              <w:spacing w:after="0"/>
              <w:rPr>
                <w:sz w:val="20"/>
                <w:szCs w:val="20"/>
                <w:color w:val="auto"/>
              </w:rPr>
            </w:pPr>
            <w:r>
              <w:rPr>
                <w:rFonts w:ascii="Arial" w:cs="Arial" w:eastAsia="Arial" w:hAnsi="Arial"/>
                <w:sz w:val="20"/>
                <w:szCs w:val="20"/>
                <w:color w:val="auto"/>
              </w:rPr>
              <w:t>47,455,542</w:t>
            </w:r>
          </w:p>
        </w:tc>
        <w:tc>
          <w:tcPr>
            <w:tcW w:w="2860" w:type="dxa"/>
            <w:vAlign w:val="bottom"/>
            <w:tcBorders>
              <w:right w:val="single" w:sz="8" w:color="auto"/>
            </w:tcBorders>
            <w:gridSpan w:val="3"/>
          </w:tcPr>
          <w:p>
            <w:pPr>
              <w:ind w:left="1100"/>
              <w:spacing w:after="0"/>
              <w:rPr>
                <w:sz w:val="20"/>
                <w:szCs w:val="20"/>
                <w:color w:val="auto"/>
              </w:rPr>
            </w:pPr>
            <w:r>
              <w:rPr>
                <w:rFonts w:ascii="Arial" w:cs="Arial" w:eastAsia="Arial" w:hAnsi="Arial"/>
                <w:sz w:val="20"/>
                <w:szCs w:val="20"/>
                <w:color w:val="auto"/>
              </w:rPr>
              <w:t>410,331</w:t>
            </w:r>
          </w:p>
        </w:tc>
        <w:tc>
          <w:tcPr>
            <w:tcW w:w="1800" w:type="dxa"/>
            <w:vAlign w:val="bottom"/>
            <w:gridSpan w:val="2"/>
          </w:tcPr>
          <w:p>
            <w:pPr>
              <w:jc w:val="right"/>
              <w:ind w:right="61"/>
              <w:spacing w:after="0"/>
              <w:rPr>
                <w:sz w:val="20"/>
                <w:szCs w:val="20"/>
                <w:color w:val="auto"/>
              </w:rPr>
            </w:pPr>
            <w:r>
              <w:rPr>
                <w:rFonts w:ascii="Arial" w:cs="Arial" w:eastAsia="Arial" w:hAnsi="Arial"/>
                <w:sz w:val="20"/>
                <w:szCs w:val="20"/>
                <w:color w:val="auto"/>
              </w:rPr>
              <w:t>12,266</w:t>
            </w:r>
          </w:p>
        </w:tc>
        <w:tc>
          <w:tcPr>
            <w:tcW w:w="94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14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20"/>
                <w:szCs w:val="20"/>
                <w:color w:val="auto"/>
              </w:rPr>
              <w:t>N/A</w:t>
            </w:r>
          </w:p>
        </w:tc>
      </w:tr>
      <w:tr>
        <w:trPr>
          <w:trHeight w:val="23"/>
        </w:trPr>
        <w:tc>
          <w:tcPr>
            <w:tcW w:w="13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right="40" w:firstLine="716"/>
        <w:spacing w:after="0" w:line="260" w:lineRule="auto"/>
        <w:rPr>
          <w:sz w:val="20"/>
          <w:szCs w:val="20"/>
          <w:color w:val="auto"/>
        </w:rPr>
      </w:pPr>
      <w:r>
        <w:rPr>
          <w:rFonts w:ascii="Arial" w:cs="Arial" w:eastAsia="Arial" w:hAnsi="Arial"/>
          <w:sz w:val="20"/>
          <w:szCs w:val="20"/>
          <w:i w:val="1"/>
          <w:iCs w:val="1"/>
          <w:color w:val="auto"/>
        </w:rPr>
        <w:t>Proposal 3</w:t>
      </w:r>
      <w:r>
        <w:rPr>
          <w:rFonts w:ascii="Arial" w:cs="Arial" w:eastAsia="Arial" w:hAnsi="Arial"/>
          <w:sz w:val="20"/>
          <w:szCs w:val="20"/>
          <w:color w:val="auto"/>
        </w:rPr>
        <w:t>. To approve, on an advisory basis, the compensation of our named executive officers. Proposal 3 was approved. The voting</w:t>
      </w:r>
      <w:r>
        <w:rPr>
          <w:rFonts w:ascii="Arial" w:cs="Arial" w:eastAsia="Arial" w:hAnsi="Arial"/>
          <w:sz w:val="20"/>
          <w:szCs w:val="20"/>
          <w:i w:val="1"/>
          <w:iCs w:val="1"/>
          <w:color w:val="auto"/>
        </w:rPr>
        <w:t xml:space="preserve"> </w:t>
      </w:r>
      <w:r>
        <w:rPr>
          <w:rFonts w:ascii="Arial" w:cs="Arial" w:eastAsia="Arial" w:hAnsi="Arial"/>
          <w:sz w:val="20"/>
          <w:szCs w:val="20"/>
          <w:color w:val="auto"/>
        </w:rPr>
        <w:t>results were as follows:</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3"/>
              </w:rPr>
              <w:t>For</w:t>
            </w:r>
          </w:p>
        </w:tc>
        <w:tc>
          <w:tcPr>
            <w:tcW w:w="112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2"/>
          </w:tcPr>
          <w:p>
            <w:pPr>
              <w:jc w:val="center"/>
              <w:ind w:right="1120"/>
              <w:spacing w:after="0"/>
              <w:rPr>
                <w:sz w:val="20"/>
                <w:szCs w:val="20"/>
                <w:color w:val="auto"/>
              </w:rPr>
            </w:pPr>
            <w:r>
              <w:rPr>
                <w:rFonts w:ascii="Arial" w:cs="Arial" w:eastAsia="Arial" w:hAnsi="Arial"/>
                <w:sz w:val="20"/>
                <w:szCs w:val="20"/>
                <w:color w:val="auto"/>
                <w:w w:val="92"/>
              </w:rPr>
              <w:t>Against</w:t>
            </w:r>
          </w:p>
        </w:tc>
        <w:tc>
          <w:tcPr>
            <w:tcW w:w="940" w:type="dxa"/>
            <w:vAlign w:val="bottom"/>
            <w:tcBorders>
              <w:top w:val="single" w:sz="8" w:color="auto"/>
            </w:tcBorders>
          </w:tcPr>
          <w:p>
            <w:pPr>
              <w:spacing w:after="0"/>
              <w:rPr>
                <w:sz w:val="19"/>
                <w:szCs w:val="19"/>
                <w:color w:val="auto"/>
              </w:rPr>
            </w:pPr>
          </w:p>
        </w:tc>
        <w:tc>
          <w:tcPr>
            <w:tcW w:w="1800" w:type="dxa"/>
            <w:vAlign w:val="bottom"/>
            <w:tcBorders>
              <w:top w:val="single" w:sz="8" w:color="auto"/>
              <w:right w:val="single" w:sz="8" w:color="auto"/>
            </w:tcBorders>
            <w:gridSpan w:val="2"/>
          </w:tcPr>
          <w:p>
            <w:pPr>
              <w:jc w:val="center"/>
              <w:ind w:right="940"/>
              <w:spacing w:after="0"/>
              <w:rPr>
                <w:sz w:val="20"/>
                <w:szCs w:val="20"/>
                <w:color w:val="auto"/>
              </w:rPr>
            </w:pPr>
            <w:r>
              <w:rPr>
                <w:rFonts w:ascii="Arial" w:cs="Arial" w:eastAsia="Arial" w:hAnsi="Arial"/>
                <w:sz w:val="20"/>
                <w:szCs w:val="20"/>
                <w:color w:val="auto"/>
                <w:w w:val="92"/>
              </w:rPr>
              <w:t>Abstaining</w:t>
            </w:r>
          </w:p>
        </w:tc>
        <w:tc>
          <w:tcPr>
            <w:tcW w:w="70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0"/>
              </w:rPr>
              <w:t>Broker Non-Votes</w:t>
            </w: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254"/>
        </w:trPr>
        <w:tc>
          <w:tcPr>
            <w:tcW w:w="3000" w:type="dxa"/>
            <w:vAlign w:val="bottom"/>
            <w:tcBorders>
              <w:left w:val="single" w:sz="8" w:color="auto"/>
              <w:right w:val="single" w:sz="8" w:color="auto"/>
            </w:tcBorders>
            <w:gridSpan w:val="3"/>
          </w:tcPr>
          <w:p>
            <w:pPr>
              <w:jc w:val="right"/>
              <w:ind w:right="1040"/>
              <w:spacing w:after="0"/>
              <w:rPr>
                <w:sz w:val="20"/>
                <w:szCs w:val="20"/>
                <w:color w:val="auto"/>
              </w:rPr>
            </w:pPr>
            <w:r>
              <w:rPr>
                <w:rFonts w:ascii="Arial" w:cs="Arial" w:eastAsia="Arial" w:hAnsi="Arial"/>
                <w:sz w:val="20"/>
                <w:szCs w:val="20"/>
                <w:color w:val="auto"/>
              </w:rPr>
              <w:t>44,801,685</w:t>
            </w:r>
          </w:p>
        </w:tc>
        <w:tc>
          <w:tcPr>
            <w:tcW w:w="2860" w:type="dxa"/>
            <w:vAlign w:val="bottom"/>
            <w:tcBorders>
              <w:right w:val="single" w:sz="8" w:color="auto"/>
            </w:tcBorders>
            <w:gridSpan w:val="3"/>
          </w:tcPr>
          <w:p>
            <w:pPr>
              <w:jc w:val="right"/>
              <w:ind w:right="1040"/>
              <w:spacing w:after="0"/>
              <w:rPr>
                <w:sz w:val="20"/>
                <w:szCs w:val="20"/>
                <w:color w:val="auto"/>
              </w:rPr>
            </w:pPr>
            <w:r>
              <w:rPr>
                <w:rFonts w:ascii="Arial" w:cs="Arial" w:eastAsia="Arial" w:hAnsi="Arial"/>
                <w:sz w:val="20"/>
                <w:szCs w:val="20"/>
                <w:color w:val="auto"/>
              </w:rPr>
              <w:t>1,061,264</w:t>
            </w:r>
          </w:p>
        </w:tc>
        <w:tc>
          <w:tcPr>
            <w:tcW w:w="1800" w:type="dxa"/>
            <w:vAlign w:val="bottom"/>
            <w:gridSpan w:val="2"/>
          </w:tcPr>
          <w:p>
            <w:pPr>
              <w:jc w:val="right"/>
              <w:ind w:right="61"/>
              <w:spacing w:after="0"/>
              <w:rPr>
                <w:sz w:val="20"/>
                <w:szCs w:val="20"/>
                <w:color w:val="auto"/>
              </w:rPr>
            </w:pPr>
            <w:r>
              <w:rPr>
                <w:rFonts w:ascii="Arial" w:cs="Arial" w:eastAsia="Arial" w:hAnsi="Arial"/>
                <w:sz w:val="20"/>
                <w:szCs w:val="20"/>
                <w:color w:val="auto"/>
              </w:rPr>
              <w:t>31,159</w:t>
            </w:r>
          </w:p>
        </w:tc>
        <w:tc>
          <w:tcPr>
            <w:tcW w:w="940" w:type="dxa"/>
            <w:vAlign w:val="bottom"/>
            <w:tcBorders>
              <w:right w:val="single" w:sz="8" w:color="auto"/>
            </w:tcBorders>
          </w:tcPr>
          <w:p>
            <w:pPr>
              <w:spacing w:after="0"/>
              <w:rPr>
                <w:sz w:val="22"/>
                <w:szCs w:val="22"/>
                <w:color w:val="auto"/>
              </w:rPr>
            </w:pPr>
          </w:p>
        </w:tc>
        <w:tc>
          <w:tcPr>
            <w:tcW w:w="2140" w:type="dxa"/>
            <w:vAlign w:val="bottom"/>
            <w:gridSpan w:val="2"/>
          </w:tcPr>
          <w:p>
            <w:pPr>
              <w:jc w:val="right"/>
              <w:ind w:right="221"/>
              <w:spacing w:after="0"/>
              <w:rPr>
                <w:sz w:val="20"/>
                <w:szCs w:val="20"/>
                <w:color w:val="auto"/>
              </w:rPr>
            </w:pPr>
            <w:r>
              <w:rPr>
                <w:rFonts w:ascii="Arial" w:cs="Arial" w:eastAsia="Arial" w:hAnsi="Arial"/>
                <w:sz w:val="20"/>
                <w:szCs w:val="20"/>
                <w:color w:val="auto"/>
              </w:rPr>
              <w:t>1,984,031</w:t>
            </w:r>
          </w:p>
        </w:tc>
        <w:tc>
          <w:tcPr>
            <w:tcW w:w="700" w:type="dxa"/>
            <w:vAlign w:val="bottom"/>
            <w:tcBorders>
              <w:right w:val="single" w:sz="8" w:color="auto"/>
            </w:tcBorders>
          </w:tcPr>
          <w:p>
            <w:pPr>
              <w:spacing w:after="0"/>
              <w:rPr>
                <w:sz w:val="22"/>
                <w:szCs w:val="22"/>
                <w:color w:val="auto"/>
              </w:rPr>
            </w:pPr>
          </w:p>
        </w:tc>
      </w:tr>
      <w:tr>
        <w:trPr>
          <w:trHeight w:val="23"/>
        </w:trPr>
        <w:tc>
          <w:tcPr>
            <w:tcW w:w="13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8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Arial" w:cs="Arial" w:eastAsia="Arial" w:hAnsi="Arial"/>
          <w:sz w:val="20"/>
          <w:szCs w:val="20"/>
          <w:b w:val="1"/>
          <w:bCs w:val="1"/>
          <w:color w:val="auto"/>
        </w:rPr>
        <w:t>EMERGENT BIOSOLUTIONS INC.</w:t>
      </w:r>
    </w:p>
    <w:p>
      <w:pPr>
        <w:spacing w:after="0" w:line="357"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20"/>
          <w:szCs w:val="20"/>
          <w:color w:val="auto"/>
        </w:rPr>
        <w:t>By:</w:t>
        <w:tab/>
        <w:t>/s/ RICHARD S. LINDAHL</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May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1"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 Richard S. Lindahl</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9"/>
          <w:szCs w:val="19"/>
          <w:color w:val="auto"/>
        </w:rPr>
        <w:t>Title: Executive Vice President, Chief Financial Officer and</w:t>
      </w:r>
    </w:p>
    <w:p>
      <w:pPr>
        <w:spacing w:after="0" w:line="11"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Treasurer</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upperLetter"/>
      <w:start w:val="3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2019-12-02T15:08:05Z</dcterms:created>
  <dcterms:modified xsi:type="dcterms:W3CDTF">2019-12-02T15:08:05Z</dcterms:modified>
</cp:coreProperties>
</file>