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60"/>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29089Q 10 5</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14, 2007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582930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“A” Limited Partnership</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6"/>
              </w:rPr>
              <w:t>925,537 (includes both 468,355 shares of common stock owned individually by Advent Private Equity Fund III “A”</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89"/>
              </w:rPr>
              <w:t>Limited Partnership and 457,182 shares of common stock issued to other investment funds affiliated with Advent Venture</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Partners LLP)</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7" w:right="239" w:bottom="333" w:gutter="0" w:footer="0" w:header="0"/>
        </w:sectPr>
      </w:pPr>
    </w:p>
    <w:bookmarkStart w:id="1" w:name="page2"/>
    <w:bookmarkEnd w:id="1"/>
    <w:p>
      <w:pPr>
        <w:ind w:left="2700" w:hanging="1091"/>
        <w:spacing w:after="0"/>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right="67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468,355</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-2840990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“B” Limited Partnership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6"/>
              </w:rPr>
              <w:t>925,537 (includes both 229,497 shares of common stock owned individually by Advent Private Equity Fund III “B”</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Limited Partnership and 696,040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LLP)</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229,497</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-531495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79" w:right="239" w:bottom="0" w:gutter="0" w:footer="0" w:header="0"/>
        </w:sectPr>
      </w:pPr>
    </w:p>
    <w:p>
      <w:pPr>
        <w:spacing w:after="0" w:line="390"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o</w:t>
      </w:r>
    </w:p>
    <w:p>
      <w:pPr>
        <w:sectPr>
          <w:pgSz w:w="11900" w:h="16838" w:orient="portrait"/>
          <w:cols w:equalWidth="0" w:num="1">
            <w:col w:w="11360"/>
          </w:cols>
          <w:pgMar w:left="300" w:top="179" w:right="239" w:bottom="0" w:gutter="0" w:footer="0" w:header="0"/>
          <w:type w:val="continuous"/>
        </w:sectPr>
      </w:pPr>
    </w:p>
    <w:bookmarkStart w:id="2" w:name="page3"/>
    <w:bookmarkEnd w:id="2"/>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791845</wp:posOffset>
            </wp:positionH>
            <wp:positionV relativeFrom="page">
              <wp:posOffset>88900</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“C” Limited Partnership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7"/>
              </w:rPr>
              <w:t>925,537 (includes both 64,018 shares of common stock owned individually by Advent Private Equity Fund III “C”</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Limited Partnership and 861,519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LLP)</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 64,018</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300" w:top="503"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“D” Limited Partnership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5"/>
              </w:rPr>
              <w:t>925,537 (includes both 125,921 shares of common stock owned individually by Advent Private Equity Fund III “D”</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9"/>
              </w:rPr>
              <w:t>Limited Partnership and 799,616 shares of common stock issued to other investment funds affiliated with Advent Venture</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LLP)</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 125,921</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GmbH &amp; CO KG</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-782320</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787" w:right="239" w:bottom="0" w:gutter="0" w:footer="0" w:header="0"/>
        </w:sectPr>
      </w:pPr>
    </w:p>
    <w:bookmarkStart w:id="4" w:name="page5"/>
    <w:bookmarkEnd w:id="4"/>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Germany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2"/>
              </w:rPr>
              <w:t>925,537 (includes both 18,118 shares of common stock owned individually by Advent Private Equity Fund III GmbH &amp;</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2"/>
              </w:rPr>
              <w:t>CO KG and 907,419 shares of common stock issued to other investment funds affiliated with Advent Venture Partners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LLP)</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 18,118</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Private Equity Fund III Affiliates</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spacing w:after="0"/>
        <w:tabs>
          <w:tab w:leader="none" w:pos="1580" w:val="left"/>
          <w:tab w:leader="none" w:pos="268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-96520</wp:posOffset>
            </wp:positionV>
            <wp:extent cx="5531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ectPr>
          <w:pgSz w:w="11900" w:h="16838" w:orient="portrait"/>
          <w:cols w:equalWidth="0" w:num="1">
            <w:col w:w="11360"/>
          </w:cols>
          <w:pgMar w:left="300" w:top="49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940" w:type="dxa"/>
            <w:vAlign w:val="bottom"/>
          </w:tcPr>
          <w:p>
            <w:pPr>
              <w:ind w:left="480"/>
              <w:spacing w:after="0"/>
              <w:rPr>
                <w:sz w:val="20"/>
                <w:szCs w:val="20"/>
                <w:color w:val="auto"/>
              </w:rPr>
            </w:pPr>
            <w:r>
              <w:rPr>
                <w:rFonts w:ascii="Arial" w:cs="Arial" w:eastAsia="Arial" w:hAnsi="Arial"/>
                <w:sz w:val="18"/>
                <w:szCs w:val="18"/>
                <w:color w:val="auto"/>
              </w:rPr>
              <w:t>Shared Voting Power</w:t>
            </w:r>
          </w:p>
        </w:tc>
      </w:tr>
      <w:tr>
        <w:trPr>
          <w:trHeight w:val="268"/>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Pr>
          <w:p>
            <w:pPr>
              <w:spacing w:after="0"/>
              <w:rPr>
                <w:sz w:val="23"/>
                <w:szCs w:val="23"/>
                <w:color w:val="auto"/>
              </w:rPr>
            </w:pPr>
          </w:p>
        </w:tc>
        <w:tc>
          <w:tcPr>
            <w:tcW w:w="8940" w:type="dxa"/>
            <w:vAlign w:val="bottom"/>
          </w:tcPr>
          <w:p>
            <w:pPr>
              <w:ind w:left="480"/>
              <w:spacing w:after="0"/>
              <w:rPr>
                <w:sz w:val="20"/>
                <w:szCs w:val="20"/>
                <w:color w:val="auto"/>
              </w:rPr>
            </w:pPr>
            <w:r>
              <w:rPr>
                <w:rFonts w:ascii="Arial" w:cs="Arial" w:eastAsia="Arial" w:hAnsi="Arial"/>
                <w:sz w:val="18"/>
                <w:szCs w:val="18"/>
                <w:color w:val="auto"/>
                <w:w w:val="90"/>
              </w:rPr>
              <w:t>925,537 (includes both 15,098 shares of common stock owned individually by Advent Private Equity Fund III Affiliates</w:t>
            </w:r>
          </w:p>
        </w:tc>
      </w:tr>
    </w:tbl>
    <w:p>
      <w:pPr>
        <w:ind w:left="2700"/>
        <w:spacing w:after="0"/>
        <w:rPr>
          <w:sz w:val="20"/>
          <w:szCs w:val="20"/>
          <w:color w:val="auto"/>
        </w:rPr>
      </w:pPr>
      <w:r>
        <w:rPr>
          <w:rFonts w:ascii="Arial" w:cs="Arial" w:eastAsia="Arial" w:hAnsi="Arial"/>
          <w:sz w:val="16"/>
          <w:szCs w:val="16"/>
          <w:color w:val="auto"/>
        </w:rPr>
        <w:t>and 910,439 shares of common stock issued to other investment funds affiliated with Advent Venture Partners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55880</wp:posOffset>
            </wp:positionV>
            <wp:extent cx="553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700" w:hanging="1091"/>
        <w:spacing w:after="0"/>
        <w:tabs>
          <w:tab w:leader="none" w:pos="2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700" w:right="6780" w:hanging="1091"/>
        <w:spacing w:after="0" w:line="277" w:lineRule="auto"/>
        <w:tabs>
          <w:tab w:leader="none" w:pos="2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 15,098</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925,537</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-2840990</wp:posOffset>
            </wp:positionV>
            <wp:extent cx="5531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Advent Management III Limited Partnership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Scotland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925,537 (includes both 4,530 shares of common stock owned individually by Advent Management III Limited</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88"/>
              </w:rPr>
              <w:t>Partnership and 921,007 shares of common stock issued to other investment funds affiliated with Advent Venture Partners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LLP)</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300" w:top="125" w:right="239" w:bottom="0" w:gutter="0" w:footer="0" w:header="0"/>
        </w:sectPr>
      </w:pPr>
    </w:p>
    <w:p>
      <w:pPr>
        <w:spacing w:after="0" w:line="150" w:lineRule="exact"/>
        <w:rPr>
          <w:sz w:val="20"/>
          <w:szCs w:val="20"/>
          <w:color w:val="auto"/>
        </w:rPr>
      </w:pPr>
    </w:p>
    <w:p>
      <w:pPr>
        <w:ind w:left="1000" w:hanging="620"/>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ectPr>
          <w:pgSz w:w="11900" w:h="16838" w:orient="portrait"/>
          <w:cols w:equalWidth="0" w:num="1">
            <w:col w:w="11360"/>
          </w:cols>
          <w:pgMar w:left="300" w:top="125" w:right="239" w:bottom="0" w:gutter="0" w:footer="0" w:header="0"/>
          <w:type w:val="continuous"/>
        </w:sectPr>
      </w:pPr>
    </w:p>
    <w:bookmarkStart w:id="6" w:name="page7"/>
    <w:bookmarkEnd w:id="6"/>
    <w:p>
      <w:pPr>
        <w:ind w:left="1000"/>
        <w:spacing w:after="0"/>
        <w:rPr>
          <w:sz w:val="20"/>
          <w:szCs w:val="20"/>
          <w:color w:val="auto"/>
        </w:rPr>
      </w:pPr>
      <w:r>
        <w:rPr>
          <w:rFonts w:ascii="Arial" w:cs="Arial" w:eastAsia="Arial" w:hAnsi="Arial"/>
          <w:sz w:val="18"/>
          <w:szCs w:val="18"/>
          <w:color w:val="auto"/>
        </w:rPr>
        <w:t>925,537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45085</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160"/>
        <w:spacing w:after="0" w:line="258" w:lineRule="auto"/>
        <w:rPr>
          <w:rFonts w:ascii="Arial" w:cs="Arial" w:eastAsia="Arial" w:hAnsi="Arial"/>
          <w:sz w:val="18"/>
          <w:szCs w:val="18"/>
          <w:color w:val="auto"/>
        </w:rPr>
      </w:pPr>
      <w:r>
        <w:rPr>
          <w:rFonts w:ascii="Arial" w:cs="Arial" w:eastAsia="Arial" w:hAnsi="Arial"/>
          <w:sz w:val="18"/>
          <w:szCs w:val="18"/>
          <w:color w:val="auto"/>
        </w:rPr>
        <w:t>3.3%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Merlin Biosciences Fund Limited Partnership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339"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Jersey, Channel Islands</w:t>
      </w:r>
    </w:p>
    <w:p>
      <w:pPr>
        <w:spacing w:after="0" w:line="358" w:lineRule="exact"/>
        <w:rPr>
          <w:rFonts w:ascii="Arial" w:cs="Arial" w:eastAsia="Arial" w:hAnsi="Arial"/>
          <w:sz w:val="16"/>
          <w:szCs w:val="16"/>
          <w:color w:val="auto"/>
        </w:rPr>
      </w:pPr>
    </w:p>
    <w:p>
      <w:pPr>
        <w:ind w:left="2700" w:hanging="1091"/>
        <w:spacing w:after="0"/>
        <w:tabs>
          <w:tab w:leader="none" w:pos="27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6"/>
              </w:rPr>
              <w:t>528,694 (includes both 498,722 shares of common stock owned individually by Merlin Biosciences Fund Limited</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Partnership and 29,972 shares of common stock owned by Merlin Biosciences Fund GbR, both of which are effectively</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by controlled Merlin General Partner II Limited)</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Dispositive Power 498,722</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528,694</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1.88%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31" w:right="239" w:bottom="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Merlin Biosciences Fund GbR</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Germany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6"/>
              </w:rPr>
              <w:t>528,694 (includes both 29,972 shares of common stock owned individually by Merlin Biosciences Fund GbR and</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1"/>
              </w:rPr>
              <w:t>498,722 shares of common stock owned by Merlin Biosciences Fund Limited Partnership, both of which are effectively</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controlled by Merlin General Partner II Limited)</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Dispositive Power 29,972</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528,694</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1.88%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(BHCA),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773" w:right="239" w:bottom="0" w:gutter="0" w:footer="0" w:header="0"/>
        </w:sectPr>
      </w:pPr>
    </w:p>
    <w:bookmarkStart w:id="8" w:name="page9"/>
    <w:bookmarkEnd w:id="8"/>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727,209 (includes both 415,381 shares of common stock owned individually by J.P. Morgan Partners (BHCA), L.P. and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311,828 shares of common stock issued to other investment funds affiliated with J.P. Morgan Partners, LLC)</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Shared Dispositive Power 415,381</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449" w:right="239" w:bottom="17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89"/>
              </w:rPr>
              <w:t>727,209 (includes both 94,399 shares of common stock owned individually by J.P. Morgan Partners Global Investors, L.P.</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6"/>
              </w:rPr>
              <w:t>and 632,810 shares of common stock issued to other investment funds affiliated with J.P. Morgan Partners, LLC)</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Dispositive Power 94,399</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(Cayman),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727,209 (includes both 47,652 shares of common stock owned individually by J.P. Morgan Partners Global Investors</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(Cayman), L.P. and 679,557 shares of common stock issued to other investment funds affiliated with J.P. Morgan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Partners, LLC)</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2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79" w:right="239" w:bottom="198" w:gutter="0" w:footer="0" w:header="0"/>
        </w:sectPr>
      </w:pPr>
    </w:p>
    <w:bookmarkStart w:id="10" w:name="page11"/>
    <w:bookmarkEnd w:id="10"/>
    <w:p>
      <w:pPr>
        <w:spacing w:after="0" w:line="31" w:lineRule="exact"/>
        <w:rPr>
          <w:sz w:val="20"/>
          <w:szCs w:val="20"/>
          <w:color w:val="auto"/>
        </w:rPr>
      </w:pPr>
    </w:p>
    <w:p>
      <w:pPr>
        <w:ind w:left="2700" w:right="6780" w:hanging="1091"/>
        <w:spacing w:after="0" w:line="277" w:lineRule="auto"/>
        <w:tabs>
          <w:tab w:leader="none" w:pos="2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Shared Dispositive Power 47,652</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A,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727,209 (includes both 13,689 shares of common stock owned individually by J.P. Morgan Partners Global Investors A,</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L.P. and 713,520 shares of common stock issued to other investment funds affiliated with J.P. Morgan Partners, LLC)</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Dispositive Power 13,689</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-659130</wp:posOffset>
            </wp:positionV>
            <wp:extent cx="6612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-1208405</wp:posOffset>
            </wp:positionV>
            <wp:extent cx="6612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-1757045</wp:posOffset>
            </wp:positionV>
            <wp:extent cx="5531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70" w:orient="portrait"/>
          <w:cols w:equalWidth="0" w:num="1">
            <w:col w:w="11360"/>
          </w:cols>
          <w:pgMar w:left="300" w:top="179" w:right="239" w:bottom="0" w:gutter="0" w:footer="0" w:header="0"/>
        </w:sectPr>
      </w:pPr>
    </w:p>
    <w:bookmarkStart w:id="11" w:name="page12"/>
    <w:bookmarkEnd w:id="11"/>
    <w:p>
      <w:pPr>
        <w:ind w:left="1000" w:hanging="620"/>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791845</wp:posOffset>
            </wp:positionH>
            <wp:positionV relativeFrom="page">
              <wp:posOffset>88900</wp:posOffset>
            </wp:positionV>
            <wp:extent cx="6612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8255"/>
                    </a:xfrm>
                    <a:prstGeom prst="rect">
                      <a:avLst/>
                    </a:prstGeom>
                    <a:noFill/>
                  </pic:spPr>
                </pic:pic>
              </a:graphicData>
            </a:graphic>
          </wp:anchor>
        </w:drawing>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(Cayman) II,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727,209 (includes both 5,320 shares of common stock owned individually by J.P. Morgan Partners Global Investors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4"/>
              </w:rPr>
              <w:t>(Cayman) II, L.P. and 721,889 shares of common stock issued to other investment funds affiliated with J.P. Morgan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Shared Dispositive Power 5,320</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503" w:right="239" w:bottom="0" w:gutter="0" w:footer="0" w:header="0"/>
        </w:sectPr>
      </w:pPr>
    </w:p>
    <w:bookmarkStart w:id="12" w:name="page13"/>
    <w:bookmarkEnd w:id="12"/>
    <w:p>
      <w:pPr>
        <w:ind w:left="1000" w:right="4040" w:hanging="620"/>
        <w:spacing w:after="0" w:line="275"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(Selldown),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5"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-919480</wp:posOffset>
            </wp:positionV>
            <wp:extent cx="6612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-1330960</wp:posOffset>
            </wp:positionV>
            <wp:extent cx="58743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-1545590</wp:posOffset>
            </wp:positionV>
            <wp:extent cx="58743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-2162810</wp:posOffset>
            </wp:positionV>
            <wp:extent cx="6612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3"/>
              </w:rPr>
              <w:t>727,209 (includes both 33,714 shares of common stock owned individually by J.P. Morgan Partners Global Investors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5"/>
              </w:rPr>
              <w:t>(Selldown), L.P. and 693,495 shares of common stock issued to other investment funds affiliated with J.P. Morgan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Shared Dispositive Power 33,714</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4040" w:hanging="620"/>
        <w:spacing w:after="0" w:line="275"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J.P. Morgan Partners Global Investors (Selldown II),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-361950</wp:posOffset>
            </wp:positionV>
            <wp:extent cx="58743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-575945</wp:posOffset>
            </wp:positionV>
            <wp:extent cx="58743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-1193800</wp:posOffset>
            </wp:positionV>
            <wp:extent cx="6612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449" w:right="239" w:bottom="5" w:gutter="0" w:footer="0" w:header="0"/>
        </w:sectPr>
      </w:pPr>
    </w:p>
    <w:bookmarkStart w:id="13" w:name="page14"/>
    <w:bookmarkEnd w:id="13"/>
    <w:p>
      <w:pPr>
        <w:ind w:left="1000" w:right="7740" w:hanging="620"/>
        <w:spacing w:after="0" w:line="275"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700" w:hanging="1091"/>
        <w:spacing w:after="0"/>
        <w:tabs>
          <w:tab w:leader="none" w:pos="2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-370205</wp:posOffset>
            </wp:positionV>
            <wp:extent cx="6612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2"/>
              </w:rPr>
              <w:t>727,209 (includes both 117,054 shares of common stock owned individually by J.P. Morgan Partners Global Investors</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w w:val="95"/>
              </w:rPr>
              <w:t>(Selldown), L.P. and 610,155 shares of common stock issued to other investment funds affiliated with J.P. Morgan</w:t>
            </w:r>
          </w:p>
        </w:tc>
        <w:tc>
          <w:tcPr>
            <w:tcW w:w="0" w:type="dxa"/>
            <w:vAlign w:val="bottom"/>
          </w:tcPr>
          <w:p>
            <w:pPr>
              <w:spacing w:after="0"/>
              <w:rPr>
                <w:sz w:val="1"/>
                <w:szCs w:val="1"/>
                <w:color w:val="auto"/>
              </w:rPr>
            </w:pPr>
          </w:p>
        </w:tc>
      </w:tr>
      <w:tr>
        <w:trPr>
          <w:trHeight w:val="114"/>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Partners, LLC)</w:t>
            </w:r>
          </w:p>
        </w:tc>
        <w:tc>
          <w:tcPr>
            <w:tcW w:w="0" w:type="dxa"/>
            <w:vAlign w:val="bottom"/>
          </w:tcPr>
          <w:p>
            <w:pPr>
              <w:spacing w:after="0"/>
              <w:rPr>
                <w:sz w:val="1"/>
                <w:szCs w:val="1"/>
                <w:color w:val="auto"/>
              </w:rPr>
            </w:pPr>
          </w:p>
        </w:tc>
      </w:tr>
      <w:tr>
        <w:trPr>
          <w:trHeight w:val="120"/>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right="6780" w:hanging="1091"/>
        <w:spacing w:after="0" w:line="277" w:lineRule="auto"/>
        <w:tabs>
          <w:tab w:leader="none" w:pos="2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Shared Dispositive Power 117,054</w:t>
      </w:r>
    </w:p>
    <w:p>
      <w:pPr>
        <w:spacing w:after="0" w:line="386"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727,209</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hanging="620"/>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60"/>
        <w:spacing w:after="0" w:line="258" w:lineRule="auto"/>
        <w:rPr>
          <w:rFonts w:ascii="Arial" w:cs="Arial" w:eastAsia="Arial" w:hAnsi="Arial"/>
          <w:sz w:val="18"/>
          <w:szCs w:val="18"/>
          <w:color w:val="auto"/>
        </w:rPr>
      </w:pPr>
      <w:r>
        <w:rPr>
          <w:rFonts w:ascii="Arial" w:cs="Arial" w:eastAsia="Arial" w:hAnsi="Arial"/>
          <w:sz w:val="18"/>
          <w:szCs w:val="18"/>
          <w:color w:val="auto"/>
        </w:rPr>
        <w:t>2.58% (based on 28,172,392 shares of common stock outstanding as of April 30, 2007, as reported in the Issuer’s Quarterly Report on Form 10-Q, dated May 10, 2007)</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00" w:hanging="620"/>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-1743075</wp:posOffset>
            </wp:positionV>
            <wp:extent cx="6612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-2291715</wp:posOffset>
            </wp:positionV>
            <wp:extent cx="55314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60" w:hanging="499"/>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Emergent BioSolutions Inc.</w:t>
      </w:r>
    </w:p>
    <w:p>
      <w:pPr>
        <w:spacing w:after="0" w:line="116" w:lineRule="exact"/>
        <w:rPr>
          <w:rFonts w:ascii="Arial" w:cs="Arial" w:eastAsia="Arial" w:hAnsi="Arial"/>
          <w:sz w:val="18"/>
          <w:szCs w:val="18"/>
          <w:color w:val="auto"/>
        </w:rPr>
      </w:pPr>
    </w:p>
    <w:p>
      <w:pPr>
        <w:ind w:left="1460" w:right="6480" w:hanging="499"/>
        <w:spacing w:after="0" w:line="258"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Professional Drive</w:t>
      </w:r>
    </w:p>
    <w:p>
      <w:pPr>
        <w:spacing w:after="0" w:line="1"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Suite 250</w:t>
      </w:r>
    </w:p>
    <w:p>
      <w:pPr>
        <w:spacing w:after="0" w:line="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-585470</wp:posOffset>
            </wp:positionV>
            <wp:extent cx="63201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60" w:hanging="499"/>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right="5780"/>
        <w:spacing w:after="0" w:line="265" w:lineRule="auto"/>
        <w:rPr>
          <w:rFonts w:ascii="Arial" w:cs="Arial" w:eastAsia="Arial" w:hAnsi="Arial"/>
          <w:sz w:val="18"/>
          <w:szCs w:val="18"/>
          <w:color w:val="auto"/>
        </w:rPr>
      </w:pPr>
      <w:r>
        <w:rPr>
          <w:rFonts w:ascii="Arial" w:cs="Arial" w:eastAsia="Arial" w:hAnsi="Arial"/>
          <w:sz w:val="17"/>
          <w:szCs w:val="17"/>
          <w:color w:val="auto"/>
        </w:rPr>
        <w:t>Advent Private Equity Fund III “A” Limited Partnership; Advent Private Equity Fund III “B” Limited Partnership; Advent Private Equity Fund III “C” Limited Partnership; Advent Private Equity Fund III “D” Limited Partnership; Advent Private Equity Fund III GMBH &amp; CO KG; Advent Private Equity Fund III Affiliates;</w:t>
      </w:r>
    </w:p>
    <w:p>
      <w:pPr>
        <w:spacing w:after="0" w:line="1" w:lineRule="exact"/>
        <w:rPr>
          <w:rFonts w:ascii="Arial" w:cs="Arial" w:eastAsia="Arial" w:hAnsi="Arial"/>
          <w:sz w:val="18"/>
          <w:szCs w:val="18"/>
          <w:color w:val="auto"/>
        </w:rPr>
      </w:pPr>
    </w:p>
    <w:p>
      <w:pPr>
        <w:ind w:left="1460" w:right="6560"/>
        <w:spacing w:after="0" w:line="265" w:lineRule="auto"/>
        <w:rPr>
          <w:rFonts w:ascii="Arial" w:cs="Arial" w:eastAsia="Arial" w:hAnsi="Arial"/>
          <w:sz w:val="18"/>
          <w:szCs w:val="18"/>
          <w:color w:val="auto"/>
        </w:rPr>
      </w:pPr>
      <w:r>
        <w:rPr>
          <w:rFonts w:ascii="Arial" w:cs="Arial" w:eastAsia="Arial" w:hAnsi="Arial"/>
          <w:sz w:val="17"/>
          <w:szCs w:val="17"/>
          <w:color w:val="auto"/>
        </w:rPr>
        <w:t>Advent Management III Limited Partnership; Merlin Biosciences Fund Limited Partnership; Merlin Biosciences Fund GbR;</w:t>
      </w:r>
    </w:p>
    <w:p>
      <w:pPr>
        <w:ind w:left="1460"/>
        <w:spacing w:after="0"/>
        <w:rPr>
          <w:rFonts w:ascii="Arial" w:cs="Arial" w:eastAsia="Arial" w:hAnsi="Arial"/>
          <w:sz w:val="18"/>
          <w:szCs w:val="18"/>
          <w:color w:val="auto"/>
        </w:rPr>
      </w:pPr>
      <w:r>
        <w:rPr>
          <w:rFonts w:ascii="Arial" w:cs="Arial" w:eastAsia="Arial" w:hAnsi="Arial"/>
          <w:sz w:val="18"/>
          <w:szCs w:val="18"/>
          <w:color w:val="auto"/>
        </w:rPr>
        <w:t>J.P. Morgan Partners (BHCA), L.P.*;</w:t>
      </w:r>
    </w:p>
    <w:p>
      <w:pPr>
        <w:spacing w:after="0" w:line="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J.P. Morgan Partners Global Investors, L.P.*;</w:t>
      </w:r>
    </w:p>
    <w:p>
      <w:pPr>
        <w:spacing w:after="0" w:line="9" w:lineRule="exact"/>
        <w:rPr>
          <w:rFonts w:ascii="Arial" w:cs="Arial" w:eastAsia="Arial" w:hAnsi="Arial"/>
          <w:sz w:val="18"/>
          <w:szCs w:val="18"/>
          <w:color w:val="auto"/>
        </w:rPr>
      </w:pPr>
    </w:p>
    <w:p>
      <w:pPr>
        <w:ind w:left="1460" w:right="5900"/>
        <w:spacing w:after="0" w:line="281"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L.P.*; J.P. Morgan Partners Global Investors A, L.P.*;</w:t>
      </w:r>
    </w:p>
    <w:p>
      <w:pPr>
        <w:spacing w:after="0" w:line="1" w:lineRule="exact"/>
        <w:rPr>
          <w:rFonts w:ascii="Arial" w:cs="Arial" w:eastAsia="Arial" w:hAnsi="Arial"/>
          <w:sz w:val="18"/>
          <w:szCs w:val="18"/>
          <w:color w:val="auto"/>
        </w:rPr>
      </w:pPr>
    </w:p>
    <w:p>
      <w:pPr>
        <w:ind w:left="1460" w:right="5520"/>
        <w:spacing w:after="0" w:line="302" w:lineRule="auto"/>
        <w:rPr>
          <w:rFonts w:ascii="Arial" w:cs="Arial" w:eastAsia="Arial" w:hAnsi="Arial"/>
          <w:sz w:val="18"/>
          <w:szCs w:val="18"/>
          <w:color w:val="auto"/>
        </w:rPr>
      </w:pPr>
      <w:r>
        <w:rPr>
          <w:rFonts w:ascii="Arial" w:cs="Arial" w:eastAsia="Arial" w:hAnsi="Arial"/>
          <w:sz w:val="16"/>
          <w:szCs w:val="16"/>
          <w:color w:val="auto"/>
        </w:rPr>
        <w:t>J.P. Morgan Partners Global Investors (Cayman) II, L.P.*; J.P. Morgan Partners Global Investors (Selldown), L.P.*; and J.P. Morgan Partners Global Investors (Selldown II), L.P.</w:t>
      </w:r>
    </w:p>
    <w:p>
      <w:pPr>
        <w:spacing w:after="0" w:line="60" w:lineRule="exact"/>
        <w:rPr>
          <w:rFonts w:ascii="Arial" w:cs="Arial" w:eastAsia="Arial" w:hAnsi="Arial"/>
          <w:sz w:val="18"/>
          <w:szCs w:val="18"/>
          <w:color w:val="auto"/>
        </w:rPr>
      </w:pPr>
    </w:p>
    <w:p>
      <w:pPr>
        <w:ind w:left="1460" w:hanging="499"/>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-164465</wp:posOffset>
            </wp:positionV>
            <wp:extent cx="63201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838" w:orient="portrait"/>
          <w:cols w:equalWidth="0" w:num="1">
            <w:col w:w="11360"/>
          </w:cols>
          <w:pgMar w:left="300" w:top="139" w:right="239" w:bottom="0" w:gutter="0" w:footer="0" w:header="0"/>
        </w:sectPr>
      </w:pPr>
    </w:p>
    <w:bookmarkStart w:id="14" w:name="page15"/>
    <w:bookmarkEnd w:id="14"/>
    <w:p>
      <w:pPr>
        <w:spacing w:after="0" w:line="50"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“A”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“B”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wp:posOffset>
            </wp:positionV>
            <wp:extent cx="63201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13893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left="5612" w:hanging="5612"/>
        <w:spacing w:after="0" w:line="778" w:lineRule="auto"/>
        <w:tabs>
          <w:tab w:leader="none" w:pos="1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Supplemental information relating to the ownership and control of the J.P. Morgan Funds filing this statement is included in Exhibit 1 attached hereto.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“C”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“D”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GMBH &amp; CO KG</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Theresienstrasse 6</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Munich 80333</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Germany</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Private Equity Fund III Affiliates</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25 Buckingham Gate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London SW1E 6LD</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Advent Management III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50 Lothian Road, Festival Square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Edinburgh EH3 9WJ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Merlin Biosciences Fund Limited Partnership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Chambers</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Street</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Jersey JE1 1BJ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Channel Islands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Merlin Biosciences Fund GbR</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Chambers</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La Motte Street</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Jersey JE1 1BJ</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Channel Islands</w:t>
      </w:r>
    </w:p>
    <w:p>
      <w:pPr>
        <w:spacing w:after="0" w:line="211"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J.P. Morgan Partners (BHCA), L.P.**</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wp:posOffset>
            </wp:positionV>
            <wp:extent cx="63201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13893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12" w:right="2640" w:hanging="5612"/>
        <w:spacing w:after="0" w:line="778" w:lineRule="auto"/>
        <w:tabs>
          <w:tab w:leader="none" w:pos="2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 also supplemental information relating to the principal business office included in Exhibit 1 attached hereto.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8" w:orient="portrait"/>
          <w:cols w:equalWidth="0" w:num="1">
            <w:col w:w="10952"/>
          </w:cols>
          <w:pgMar w:left="248" w:top="125" w:right="699"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1512"/>
        <w:spacing w:after="0"/>
        <w:rPr>
          <w:sz w:val="20"/>
          <w:szCs w:val="20"/>
          <w:color w:val="auto"/>
        </w:rPr>
      </w:pPr>
      <w:r>
        <w:rPr>
          <w:rFonts w:ascii="Arial" w:cs="Arial" w:eastAsia="Arial" w:hAnsi="Arial"/>
          <w:sz w:val="16"/>
          <w:szCs w:val="16"/>
          <w:color w:val="auto"/>
        </w:rPr>
        <w:t>J.P. Morgan Partners Global Investors, L.P.**</w:t>
      </w:r>
    </w:p>
    <w:p>
      <w:pPr>
        <w:spacing w:after="0" w:line="46"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c/o J.P. Morgan Partners, L.L.C.</w:t>
      </w:r>
    </w:p>
    <w:p>
      <w:pPr>
        <w:sectPr>
          <w:pgSz w:w="11900" w:h="16888" w:orient="portrait"/>
          <w:cols w:equalWidth="0" w:num="1">
            <w:col w:w="10952"/>
          </w:cols>
          <w:pgMar w:left="248" w:top="125" w:right="699" w:bottom="0" w:gutter="0" w:footer="0" w:header="0"/>
          <w:type w:val="continuous"/>
        </w:sectPr>
      </w:pPr>
    </w:p>
    <w:bookmarkStart w:id="15" w:name="page16"/>
    <w:bookmarkEnd w:id="15"/>
    <w:p>
      <w:pPr>
        <w:ind w:left="1460"/>
        <w:spacing w:after="0"/>
        <w:rPr>
          <w:sz w:val="20"/>
          <w:szCs w:val="20"/>
          <w:color w:val="auto"/>
        </w:rPr>
      </w:pPr>
      <w:r>
        <w:rPr>
          <w:rFonts w:ascii="Arial" w:cs="Arial" w:eastAsia="Arial" w:hAnsi="Arial"/>
          <w:sz w:val="18"/>
          <w:szCs w:val="18"/>
          <w:color w:val="auto"/>
        </w:rPr>
        <w:t>270 Park Avenue</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J.P. Morgan Partners Global Investors (Cayman),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J.P. Morgan Partners Global Investors A,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J.P. Morgan Partners Global Investors (Cayman) II,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J.P. Morgan Partners Global Investors (Selldown),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J.P. Morgan Partners Global Investors (Selldown II),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1460" w:hanging="499"/>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Citizenship/Place of Organization:</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The citizenship of each of the funds is as follows:</w:t>
      </w:r>
    </w:p>
    <w:p>
      <w:pPr>
        <w:spacing w:after="0" w:line="210" w:lineRule="exact"/>
        <w:rPr>
          <w:rFonts w:ascii="Arial" w:cs="Arial" w:eastAsia="Arial" w:hAnsi="Arial"/>
          <w:sz w:val="18"/>
          <w:szCs w:val="18"/>
          <w:color w:val="auto"/>
        </w:rPr>
      </w:pPr>
    </w:p>
    <w:p>
      <w:pPr>
        <w:jc w:val="both"/>
        <w:ind w:left="1460" w:right="3819"/>
        <w:spacing w:after="0" w:line="308" w:lineRule="auto"/>
        <w:rPr>
          <w:rFonts w:ascii="Arial" w:cs="Arial" w:eastAsia="Arial" w:hAnsi="Arial"/>
          <w:sz w:val="18"/>
          <w:szCs w:val="18"/>
          <w:color w:val="auto"/>
        </w:rPr>
      </w:pPr>
      <w:r>
        <w:rPr>
          <w:rFonts w:ascii="Arial" w:cs="Arial" w:eastAsia="Arial" w:hAnsi="Arial"/>
          <w:sz w:val="17"/>
          <w:szCs w:val="17"/>
          <w:color w:val="auto"/>
        </w:rPr>
        <w:t>Advent Private Equity Fund III “A” Limited Partnership (England); Advent Private Equity Fund III “B” Limited Partnership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0</wp:posOffset>
            </wp:positionV>
            <wp:extent cx="63201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Advent Private Equity Fund III “C” Limited Partnership (England);</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Advent Private Equity Fund III “D” Limited Partnership (England);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Advent Private Equity Fund III GMBH &amp; CO KG (Germany);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Advent Private Equity Fund III Affiliates (England);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Advent Management III Limited Partnership (Scotland);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Merlin Biosciences Fund Limited Partnership (Jersey);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Merlin Biosciences Fund GbR (Germany);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(BHCA), L.P. (Delaware);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L.P. (Delaware);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(Cayman), L.P. (Cayman Islands);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A, L.P. (Delaware);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(Cayman) II, L.P. (Cayman Islands);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(Selldown), L.P. (Delaware); and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J.P. Morgan Partners Global Investors (Selldown II), L.P.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40005</wp:posOffset>
            </wp:positionV>
            <wp:extent cx="6037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96" w:lineRule="exact"/>
        <w:rPr>
          <w:sz w:val="20"/>
          <w:szCs w:val="20"/>
          <w:color w:val="auto"/>
        </w:rPr>
      </w:pPr>
    </w:p>
    <w:p>
      <w:pPr>
        <w:ind w:left="1900" w:hanging="953"/>
        <w:spacing w:after="0"/>
        <w:tabs>
          <w:tab w:leader="none" w:pos="1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Common Stock, $0.001 par value (“Common Stock”)</w:t>
      </w:r>
    </w:p>
    <w:p>
      <w:pPr>
        <w:spacing w:after="0" w:line="116" w:lineRule="exact"/>
        <w:rPr>
          <w:rFonts w:ascii="Arial" w:cs="Arial" w:eastAsia="Arial" w:hAnsi="Arial"/>
          <w:sz w:val="18"/>
          <w:szCs w:val="18"/>
          <w:color w:val="auto"/>
        </w:rPr>
      </w:pPr>
    </w:p>
    <w:p>
      <w:pPr>
        <w:ind w:left="1900" w:right="7099" w:hanging="953"/>
        <w:spacing w:after="0" w:line="342" w:lineRule="auto"/>
        <w:tabs>
          <w:tab w:leader="none" w:pos="1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CUSIP Number 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-14605</wp:posOffset>
            </wp:positionV>
            <wp:extent cx="6037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-366395</wp:posOffset>
            </wp:positionV>
            <wp:extent cx="6037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(a)</w:t>
            </w:r>
          </w:p>
        </w:tc>
        <w:tc>
          <w:tcPr>
            <w:tcW w:w="860" w:type="dxa"/>
            <w:vAlign w:val="bottom"/>
          </w:tcPr>
          <w:p>
            <w:pPr>
              <w:ind w:left="360"/>
              <w:spacing w:after="0"/>
              <w:rPr>
                <w:sz w:val="20"/>
                <w:szCs w:val="20"/>
                <w:color w:val="auto"/>
              </w:rPr>
            </w:pPr>
            <w:r>
              <w:rPr>
                <w:rFonts w:ascii="Arial" w:cs="Arial" w:eastAsia="Arial" w:hAnsi="Arial"/>
                <w:sz w:val="18"/>
                <w:szCs w:val="18"/>
                <w:color w:val="auto"/>
              </w:rPr>
              <w:t>o</w:t>
            </w:r>
          </w:p>
        </w:tc>
        <w:tc>
          <w:tcPr>
            <w:tcW w:w="5940" w:type="dxa"/>
            <w:vAlign w:val="bottom"/>
          </w:tcPr>
          <w:p>
            <w:pPr>
              <w:ind w:left="400"/>
              <w:spacing w:after="0"/>
              <w:rPr>
                <w:sz w:val="20"/>
                <w:szCs w:val="20"/>
                <w:color w:val="auto"/>
              </w:rPr>
            </w:pPr>
            <w:r>
              <w:rPr>
                <w:rFonts w:ascii="Arial" w:cs="Arial" w:eastAsia="Arial" w:hAnsi="Arial"/>
                <w:sz w:val="18"/>
                <w:szCs w:val="18"/>
                <w:color w:val="auto"/>
                <w:w w:val="97"/>
              </w:rPr>
              <w:t>Broker or dealer registered under section 15 of the Act (15 U.S.C. 78o).</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w:t>
            </w:r>
          </w:p>
        </w:tc>
        <w:tc>
          <w:tcPr>
            <w:tcW w:w="860" w:type="dxa"/>
            <w:vAlign w:val="bottom"/>
          </w:tcPr>
          <w:p>
            <w:pPr>
              <w:ind w:left="360"/>
              <w:spacing w:after="0"/>
              <w:rPr>
                <w:sz w:val="20"/>
                <w:szCs w:val="20"/>
                <w:color w:val="auto"/>
              </w:rPr>
            </w:pPr>
            <w:r>
              <w:rPr>
                <w:rFonts w:ascii="Arial" w:cs="Arial" w:eastAsia="Arial" w:hAnsi="Arial"/>
                <w:sz w:val="18"/>
                <w:szCs w:val="18"/>
                <w:color w:val="auto"/>
              </w:rPr>
              <w:t>o</w:t>
            </w:r>
          </w:p>
        </w:tc>
        <w:tc>
          <w:tcPr>
            <w:tcW w:w="5940" w:type="dxa"/>
            <w:vAlign w:val="bottom"/>
          </w:tcPr>
          <w:p>
            <w:pPr>
              <w:ind w:left="40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(c)</w:t>
            </w:r>
          </w:p>
        </w:tc>
        <w:tc>
          <w:tcPr>
            <w:tcW w:w="860" w:type="dxa"/>
            <w:vAlign w:val="bottom"/>
          </w:tcPr>
          <w:p>
            <w:pPr>
              <w:ind w:left="360"/>
              <w:spacing w:after="0"/>
              <w:rPr>
                <w:sz w:val="20"/>
                <w:szCs w:val="20"/>
                <w:color w:val="auto"/>
              </w:rPr>
            </w:pPr>
            <w:r>
              <w:rPr>
                <w:rFonts w:ascii="Arial" w:cs="Arial" w:eastAsia="Arial" w:hAnsi="Arial"/>
                <w:sz w:val="18"/>
                <w:szCs w:val="18"/>
                <w:color w:val="auto"/>
              </w:rPr>
              <w:t>o</w:t>
            </w:r>
          </w:p>
        </w:tc>
        <w:tc>
          <w:tcPr>
            <w:tcW w:w="5940" w:type="dxa"/>
            <w:vAlign w:val="bottom"/>
          </w:tcPr>
          <w:p>
            <w:pPr>
              <w:ind w:left="400"/>
              <w:spacing w:after="0"/>
              <w:rPr>
                <w:sz w:val="20"/>
                <w:szCs w:val="20"/>
                <w:color w:val="auto"/>
              </w:rPr>
            </w:pPr>
            <w:r>
              <w:rPr>
                <w:rFonts w:ascii="Arial" w:cs="Arial" w:eastAsia="Arial" w:hAnsi="Arial"/>
                <w:sz w:val="18"/>
                <w:szCs w:val="18"/>
                <w:color w:val="auto"/>
                <w:w w:val="90"/>
              </w:rPr>
              <w:t>Insurance company as defined in section 3(a)(19) of the Act (15 U.S.C. 78c).</w:t>
            </w:r>
          </w:p>
        </w:tc>
      </w:tr>
    </w:tbl>
    <w:p>
      <w:pPr>
        <w:sectPr>
          <w:pgSz w:w="11900" w:h="16838" w:orient="portrait"/>
          <w:cols w:equalWidth="0" w:num="1">
            <w:col w:w="10159"/>
          </w:cols>
          <w:pgMar w:left="300" w:top="125" w:right="1440" w:bottom="0" w:gutter="0" w:footer="0" w:header="0"/>
        </w:sectPr>
      </w:pPr>
    </w:p>
    <w:bookmarkStart w:id="16" w:name="page17"/>
    <w:bookmarkEnd w:id="16"/>
    <w:p>
      <w:pPr>
        <w:spacing w:after="0" w:line="6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300" w:type="dxa"/>
            <w:vAlign w:val="bottom"/>
          </w:tcPr>
          <w:p>
            <w:pPr>
              <w:ind w:left="940"/>
              <w:spacing w:after="0"/>
              <w:rPr>
                <w:sz w:val="20"/>
                <w:szCs w:val="20"/>
                <w:color w:val="auto"/>
              </w:rPr>
            </w:pPr>
            <w:r>
              <w:rPr>
                <w:rFonts w:ascii="Arial" w:cs="Arial" w:eastAsia="Arial" w:hAnsi="Arial"/>
                <w:sz w:val="18"/>
                <w:szCs w:val="18"/>
                <w:color w:val="auto"/>
              </w:rPr>
              <w:t>(d)</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300" w:type="dxa"/>
            <w:vAlign w:val="bottom"/>
          </w:tcPr>
          <w:p>
            <w:pPr>
              <w:ind w:left="940"/>
              <w:spacing w:after="0"/>
              <w:rPr>
                <w:sz w:val="20"/>
                <w:szCs w:val="20"/>
                <w:color w:val="auto"/>
              </w:rPr>
            </w:pPr>
            <w:r>
              <w:rPr>
                <w:rFonts w:ascii="Arial" w:cs="Arial" w:eastAsia="Arial" w:hAnsi="Arial"/>
                <w:sz w:val="18"/>
                <w:szCs w:val="18"/>
                <w:color w:val="auto"/>
              </w:rPr>
              <w:t>(e)</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32"/>
        </w:trPr>
        <w:tc>
          <w:tcPr>
            <w:tcW w:w="1300" w:type="dxa"/>
            <w:vAlign w:val="bottom"/>
          </w:tcPr>
          <w:p>
            <w:pPr>
              <w:ind w:left="940"/>
              <w:spacing w:after="0"/>
              <w:rPr>
                <w:sz w:val="20"/>
                <w:szCs w:val="20"/>
                <w:color w:val="auto"/>
              </w:rPr>
            </w:pPr>
            <w:r>
              <w:rPr>
                <w:rFonts w:ascii="Arial" w:cs="Arial" w:eastAsia="Arial" w:hAnsi="Arial"/>
                <w:sz w:val="18"/>
                <w:szCs w:val="18"/>
                <w:color w:val="auto"/>
              </w:rPr>
              <w:t>(f)</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32"/>
        </w:trPr>
        <w:tc>
          <w:tcPr>
            <w:tcW w:w="1300" w:type="dxa"/>
            <w:vAlign w:val="bottom"/>
          </w:tcPr>
          <w:p>
            <w:pPr>
              <w:ind w:left="940"/>
              <w:spacing w:after="0"/>
              <w:rPr>
                <w:sz w:val="20"/>
                <w:szCs w:val="20"/>
                <w:color w:val="auto"/>
              </w:rPr>
            </w:pPr>
            <w:r>
              <w:rPr>
                <w:rFonts w:ascii="Arial" w:cs="Arial" w:eastAsia="Arial" w:hAnsi="Arial"/>
                <w:sz w:val="18"/>
                <w:szCs w:val="18"/>
                <w:color w:val="auto"/>
              </w:rPr>
              <w:t>(g)</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32"/>
        </w:trPr>
        <w:tc>
          <w:tcPr>
            <w:tcW w:w="1300" w:type="dxa"/>
            <w:vAlign w:val="bottom"/>
          </w:tcPr>
          <w:p>
            <w:pPr>
              <w:ind w:left="940"/>
              <w:spacing w:after="0"/>
              <w:rPr>
                <w:sz w:val="20"/>
                <w:szCs w:val="20"/>
                <w:color w:val="auto"/>
              </w:rPr>
            </w:pPr>
            <w:r>
              <w:rPr>
                <w:rFonts w:ascii="Arial" w:cs="Arial" w:eastAsia="Arial" w:hAnsi="Arial"/>
                <w:sz w:val="18"/>
                <w:szCs w:val="18"/>
                <w:color w:val="auto"/>
              </w:rPr>
              <w:t>(h)</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418"/>
        </w:trPr>
        <w:tc>
          <w:tcPr>
            <w:tcW w:w="1300" w:type="dxa"/>
            <w:vAlign w:val="bottom"/>
          </w:tcPr>
          <w:p>
            <w:pPr>
              <w:ind w:left="940"/>
              <w:spacing w:after="0"/>
              <w:rPr>
                <w:sz w:val="20"/>
                <w:szCs w:val="20"/>
                <w:color w:val="auto"/>
              </w:rPr>
            </w:pPr>
            <w:r>
              <w:rPr>
                <w:rFonts w:ascii="Arial" w:cs="Arial" w:eastAsia="Arial" w:hAnsi="Arial"/>
                <w:sz w:val="18"/>
                <w:szCs w:val="18"/>
                <w:color w:val="auto"/>
              </w:rPr>
              <w:t>(i)</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30"/>
        </w:trPr>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1300" w:type="dxa"/>
            <w:vAlign w:val="bottom"/>
          </w:tcPr>
          <w:p>
            <w:pPr>
              <w:ind w:left="940"/>
              <w:spacing w:after="0"/>
              <w:rPr>
                <w:sz w:val="20"/>
                <w:szCs w:val="20"/>
                <w:color w:val="auto"/>
              </w:rPr>
            </w:pPr>
            <w:r>
              <w:rPr>
                <w:rFonts w:ascii="Arial" w:cs="Arial" w:eastAsia="Arial" w:hAnsi="Arial"/>
                <w:sz w:val="18"/>
                <w:szCs w:val="18"/>
                <w:color w:val="auto"/>
              </w:rPr>
              <w:t>(j)</w:t>
            </w:r>
          </w:p>
        </w:tc>
        <w:tc>
          <w:tcPr>
            <w:tcW w:w="1220" w:type="dxa"/>
            <w:vAlign w:val="bottom"/>
          </w:tcPr>
          <w:p>
            <w:pPr>
              <w:ind w:left="600"/>
              <w:spacing w:after="0"/>
              <w:rPr>
                <w:sz w:val="20"/>
                <w:szCs w:val="20"/>
                <w:color w:val="auto"/>
              </w:rPr>
            </w:pPr>
            <w:r>
              <w:rPr>
                <w:rFonts w:ascii="Arial" w:cs="Arial" w:eastAsia="Arial" w:hAnsi="Arial"/>
                <w:sz w:val="18"/>
                <w:szCs w:val="18"/>
                <w:color w:val="auto"/>
              </w:rPr>
              <w:t>o</w:t>
            </w:r>
          </w:p>
        </w:tc>
        <w:tc>
          <w:tcPr>
            <w:tcW w:w="8780" w:type="dxa"/>
            <w:vAlign w:val="bottom"/>
          </w:tcPr>
          <w:p>
            <w:pPr>
              <w:ind w:left="280"/>
              <w:spacing w:after="0"/>
              <w:rPr>
                <w:sz w:val="20"/>
                <w:szCs w:val="20"/>
                <w:color w:val="auto"/>
              </w:rPr>
            </w:pPr>
            <w:r>
              <w:rPr>
                <w:rFonts w:ascii="Arial" w:cs="Arial" w:eastAsia="Arial" w:hAnsi="Arial"/>
                <w:sz w:val="18"/>
                <w:szCs w:val="18"/>
                <w:color w:val="auto"/>
              </w:rPr>
              <w:t>Group, in accordance with §240.13d-1(b)(1)(ii)(J).</w:t>
            </w:r>
          </w:p>
        </w:tc>
      </w:tr>
      <w:tr>
        <w:trPr>
          <w:trHeight w:val="432"/>
        </w:trPr>
        <w:tc>
          <w:tcPr>
            <w:tcW w:w="1300" w:type="dxa"/>
            <w:vAlign w:val="bottom"/>
          </w:tcPr>
          <w:p>
            <w:pPr>
              <w:spacing w:after="0"/>
              <w:rPr>
                <w:sz w:val="24"/>
                <w:szCs w:val="24"/>
                <w:color w:val="auto"/>
              </w:rPr>
            </w:pPr>
          </w:p>
        </w:tc>
        <w:tc>
          <w:tcPr>
            <w:tcW w:w="10000" w:type="dxa"/>
            <w:vAlign w:val="bottom"/>
            <w:gridSpan w:val="2"/>
          </w:tcPr>
          <w:p>
            <w:pPr>
              <w:ind w:left="600"/>
              <w:spacing w:after="0"/>
              <w:rPr>
                <w:sz w:val="20"/>
                <w:szCs w:val="20"/>
                <w:color w:val="auto"/>
              </w:rPr>
            </w:pPr>
            <w:r>
              <w:rPr>
                <w:rFonts w:ascii="Arial" w:cs="Arial" w:eastAsia="Arial" w:hAnsi="Arial"/>
                <w:sz w:val="18"/>
                <w:szCs w:val="18"/>
                <w:color w:val="auto"/>
              </w:rPr>
              <w:t>Not applicable.</w:t>
            </w:r>
          </w:p>
        </w:tc>
      </w:tr>
      <w:tr>
        <w:trPr>
          <w:trHeight w:val="378"/>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220" w:type="dxa"/>
            <w:vAlign w:val="bottom"/>
          </w:tcPr>
          <w:p>
            <w:pPr>
              <w:ind w:left="140"/>
              <w:spacing w:after="0"/>
              <w:rPr>
                <w:sz w:val="20"/>
                <w:szCs w:val="20"/>
                <w:color w:val="auto"/>
              </w:rPr>
            </w:pPr>
            <w:r>
              <w:rPr>
                <w:rFonts w:ascii="Arial" w:cs="Arial" w:eastAsia="Arial" w:hAnsi="Arial"/>
                <w:sz w:val="18"/>
                <w:szCs w:val="18"/>
                <w:color w:val="auto"/>
              </w:rPr>
              <w:t>Ownership</w:t>
            </w:r>
          </w:p>
        </w:tc>
        <w:tc>
          <w:tcPr>
            <w:tcW w:w="8780" w:type="dxa"/>
            <w:vAlign w:val="bottom"/>
          </w:tcPr>
          <w:p>
            <w:pPr>
              <w:spacing w:after="0"/>
              <w:rPr>
                <w:sz w:val="24"/>
                <w:szCs w:val="24"/>
                <w:color w:val="auto"/>
              </w:rPr>
            </w:pPr>
          </w:p>
        </w:tc>
      </w:tr>
    </w:tbl>
    <w:p>
      <w:pPr>
        <w:spacing w:after="0" w:line="94" w:lineRule="exact"/>
        <w:rPr>
          <w:sz w:val="20"/>
          <w:szCs w:val="20"/>
          <w:color w:val="auto"/>
        </w:rPr>
      </w:pPr>
    </w:p>
    <w:p>
      <w:pPr>
        <w:ind w:left="52"/>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2452" w:hanging="627"/>
        <w:spacing w:after="0"/>
        <w:tabs>
          <w:tab w:leader="none" w:pos="245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2452" w:right="40"/>
        <w:spacing w:after="0" w:line="257" w:lineRule="auto"/>
        <w:rPr>
          <w:rFonts w:ascii="Arial" w:cs="Arial" w:eastAsia="Arial" w:hAnsi="Arial"/>
          <w:sz w:val="18"/>
          <w:szCs w:val="18"/>
          <w:color w:val="auto"/>
        </w:rPr>
      </w:pPr>
      <w:r>
        <w:rPr>
          <w:rFonts w:ascii="Arial" w:cs="Arial" w:eastAsia="Arial" w:hAnsi="Arial"/>
          <w:sz w:val="18"/>
          <w:szCs w:val="18"/>
          <w:color w:val="auto"/>
        </w:rPr>
        <w:t>Due to the relationship between Advent Private Equity Fund III “A” Limited Partnership, Advent Private Equity Fund III “B” Limited Partnership, Advent Private Equity Fund III “C” Limited Partnership, Advent Private Equity Fund III “D” Limited Partnership, Advent Private Equity Fund III GMBH &amp; CO KG., Advent Private Equity Fund III Affiliates, and Advent Management III Limited Partnership (collectively, the “</w:t>
      </w:r>
      <w:r>
        <w:rPr>
          <w:rFonts w:ascii="Arial" w:cs="Arial" w:eastAsia="Arial" w:hAnsi="Arial"/>
          <w:sz w:val="18"/>
          <w:szCs w:val="18"/>
          <w:u w:val="single" w:color="auto"/>
          <w:color w:val="auto"/>
        </w:rPr>
        <w:t>Advent Funds</w:t>
      </w:r>
      <w:r>
        <w:rPr>
          <w:rFonts w:ascii="Arial" w:cs="Arial" w:eastAsia="Arial" w:hAnsi="Arial"/>
          <w:sz w:val="18"/>
          <w:szCs w:val="18"/>
          <w:color w:val="auto"/>
        </w:rPr>
        <w:t>”), the Advent Funds may be deemed to have beneficial ownership of 925,537 shares of Common Stock.(1)</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8" w:right="40" w:firstLine="8"/>
        <w:spacing w:after="0" w:line="255" w:lineRule="auto"/>
        <w:tabs>
          <w:tab w:leader="none" w:pos="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Advent Venture Partners LLP owns 100% of Advent Management III Limited, which is General Partner of Advent Management III Limited Partnership, which is General Partner of each of Advent Private Equity Fund III “A”, Advent Private Equity Fund III “B”, Advent Private Equity Fund III “C”, Advent Private Equity Fund III “D” and Advent Private Equity Fund III Affiliates. Advent Venture Partners LLP also owns 100% of Advent Limited. Advent Limited owns 100% of Advent Private Equity GmbH, which is General Partner of Advent Private Equity Fund III GmbH &amp; Co. KG. Voting and investment power over the shares held by each of the partnerships constituting Advent Private Equity Fund III is exercised by Advent Venture Partners LLP in its role as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-1085215</wp:posOffset>
            </wp:positionV>
            <wp:extent cx="57200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20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-905510</wp:posOffset>
            </wp:positionV>
            <wp:extent cx="13893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632" w:right="280"/>
        <w:spacing w:after="0" w:line="286" w:lineRule="auto"/>
        <w:rPr>
          <w:sz w:val="20"/>
          <w:szCs w:val="20"/>
          <w:color w:val="auto"/>
        </w:rPr>
      </w:pPr>
      <w:r>
        <w:rPr>
          <w:rFonts w:ascii="Arial" w:cs="Arial" w:eastAsia="Arial" w:hAnsi="Arial"/>
          <w:sz w:val="17"/>
          <w:szCs w:val="17"/>
          <w:color w:val="auto"/>
        </w:rPr>
        <w:t>Due to the relationship between Merlin Biosciences Fund Limited Partnership and Merlin Biosciences Fund GbR (collectively, the “</w:t>
      </w:r>
      <w:r>
        <w:rPr>
          <w:rFonts w:ascii="Arial" w:cs="Arial" w:eastAsia="Arial" w:hAnsi="Arial"/>
          <w:sz w:val="17"/>
          <w:szCs w:val="17"/>
          <w:u w:val="single" w:color="auto"/>
          <w:color w:val="auto"/>
        </w:rPr>
        <w:t>Merlin Biosciences Fund</w:t>
      </w:r>
      <w:r>
        <w:rPr>
          <w:rFonts w:ascii="Arial" w:cs="Arial" w:eastAsia="Arial" w:hAnsi="Arial"/>
          <w:sz w:val="17"/>
          <w:szCs w:val="17"/>
          <w:color w:val="auto"/>
        </w:rPr>
        <w:t>”), both of which are effectively controlled by Merlin General Partner II Limited, the Merlin Biosciences Fund may be deemed to have beneficial ownership of 528,694 shares of Common Stock.</w:t>
      </w:r>
    </w:p>
    <w:p>
      <w:pPr>
        <w:spacing w:after="0" w:line="274" w:lineRule="exact"/>
        <w:rPr>
          <w:sz w:val="20"/>
          <w:szCs w:val="20"/>
          <w:color w:val="auto"/>
        </w:rPr>
      </w:pPr>
    </w:p>
    <w:p>
      <w:pPr>
        <w:ind w:left="1632" w:right="100"/>
        <w:spacing w:after="0" w:line="257" w:lineRule="auto"/>
        <w:rPr>
          <w:sz w:val="20"/>
          <w:szCs w:val="20"/>
          <w:color w:val="auto"/>
        </w:rPr>
      </w:pPr>
      <w:r>
        <w:rPr>
          <w:rFonts w:ascii="Arial" w:cs="Arial" w:eastAsia="Arial" w:hAnsi="Arial"/>
          <w:sz w:val="18"/>
          <w:szCs w:val="18"/>
          <w:color w:val="auto"/>
        </w:rPr>
        <w:t>Due to the relationship between J.P. Morgan Partners (BHCA), L.P., J.P. Morgan Partners Global Investors, L.P., J.P. Morgan Partners Global Investors (Cayman), L.P., J.P. Morgan Partners Global Investors A, L.P., J.P. Morgan Partners Global Investors (Cayman) II, L.P., J.P. Morgan Partners Global Investors (Selldown), L.P., and J.P. Morgan Partners Global Investors (Selldown II), L.P. (collectively, the “</w:t>
      </w:r>
      <w:r>
        <w:rPr>
          <w:rFonts w:ascii="Arial" w:cs="Arial" w:eastAsia="Arial" w:hAnsi="Arial"/>
          <w:sz w:val="18"/>
          <w:szCs w:val="18"/>
          <w:u w:val="single" w:color="auto"/>
          <w:color w:val="auto"/>
        </w:rPr>
        <w:t>J.P. Morgan Funds</w:t>
      </w:r>
      <w:r>
        <w:rPr>
          <w:rFonts w:ascii="Arial" w:cs="Arial" w:eastAsia="Arial" w:hAnsi="Arial"/>
          <w:sz w:val="18"/>
          <w:szCs w:val="18"/>
          <w:color w:val="auto"/>
        </w:rPr>
        <w:t>”), the J.P. Morgan Funds may be deemed to have beneficial ownership of 727,209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60325</wp:posOffset>
            </wp:positionV>
            <wp:extent cx="6243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205740</wp:posOffset>
            </wp:positionV>
            <wp:extent cx="62344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52" w:hanging="400"/>
        <w:spacing w:after="0"/>
        <w:tabs>
          <w:tab w:leader="none" w:pos="16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The Advent Funds beneficially own 3.3%.</w:t>
      </w:r>
    </w:p>
    <w:p>
      <w:pPr>
        <w:spacing w:after="0" w:line="63" w:lineRule="exact"/>
        <w:rPr>
          <w:rFonts w:ascii="Arial" w:cs="Arial" w:eastAsia="Arial" w:hAnsi="Arial"/>
          <w:sz w:val="18"/>
          <w:szCs w:val="18"/>
          <w:color w:val="auto"/>
        </w:rPr>
      </w:pPr>
    </w:p>
    <w:p>
      <w:pPr>
        <w:ind w:left="1652" w:right="5700"/>
        <w:spacing w:after="0" w:line="412" w:lineRule="auto"/>
        <w:rPr>
          <w:rFonts w:ascii="Arial" w:cs="Arial" w:eastAsia="Arial" w:hAnsi="Arial"/>
          <w:sz w:val="18"/>
          <w:szCs w:val="18"/>
          <w:color w:val="auto"/>
        </w:rPr>
      </w:pPr>
      <w:r>
        <w:rPr>
          <w:rFonts w:ascii="Arial" w:cs="Arial" w:eastAsia="Arial" w:hAnsi="Arial"/>
          <w:sz w:val="16"/>
          <w:szCs w:val="16"/>
          <w:color w:val="auto"/>
        </w:rPr>
        <w:t>The Merlin Biosciences Fund beneficially owns 1.88%. The J.P. Morgan Funds beneficially own 2.58%.</w:t>
      </w:r>
    </w:p>
    <w:p>
      <w:pPr>
        <w:spacing w:after="0" w:line="84" w:lineRule="exact"/>
        <w:rPr>
          <w:rFonts w:ascii="Arial" w:cs="Arial" w:eastAsia="Arial" w:hAnsi="Arial"/>
          <w:sz w:val="18"/>
          <w:szCs w:val="18"/>
          <w:color w:val="auto"/>
        </w:rPr>
      </w:pPr>
    </w:p>
    <w:p>
      <w:pPr>
        <w:ind w:left="1652" w:hanging="394"/>
        <w:spacing w:after="0"/>
        <w:tabs>
          <w:tab w:leader="none" w:pos="16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255270</wp:posOffset>
            </wp:positionV>
            <wp:extent cx="62344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-198755</wp:posOffset>
            </wp:positionV>
            <wp:extent cx="62344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right="6280" w:hanging="453"/>
        <w:spacing w:after="0" w:line="340" w:lineRule="auto"/>
        <w:tabs>
          <w:tab w:leader="none" w:pos="22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Sole power to vote or to direct the vote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72" w:hanging="478"/>
        <w:spacing w:after="0"/>
        <w:tabs>
          <w:tab w:leader="none" w:pos="22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The Advent Funds may be deemed to share voting power over 925,537 shares of Common Stock.</w:t>
      </w:r>
    </w:p>
    <w:p>
      <w:pPr>
        <w:spacing w:after="0" w:line="333" w:lineRule="exact"/>
        <w:rPr>
          <w:rFonts w:ascii="Arial" w:cs="Arial" w:eastAsia="Arial" w:hAnsi="Arial"/>
          <w:sz w:val="18"/>
          <w:szCs w:val="18"/>
          <w:color w:val="auto"/>
        </w:rPr>
      </w:pPr>
    </w:p>
    <w:p>
      <w:pPr>
        <w:ind w:left="2272" w:right="1260"/>
        <w:spacing w:after="0" w:line="706" w:lineRule="auto"/>
        <w:rPr>
          <w:rFonts w:ascii="Arial" w:cs="Arial" w:eastAsia="Arial" w:hAnsi="Arial"/>
          <w:sz w:val="18"/>
          <w:szCs w:val="18"/>
          <w:color w:val="auto"/>
        </w:rPr>
      </w:pPr>
      <w:r>
        <w:rPr>
          <w:rFonts w:ascii="Arial" w:cs="Arial" w:eastAsia="Arial" w:hAnsi="Arial"/>
          <w:sz w:val="17"/>
          <w:szCs w:val="17"/>
          <w:color w:val="auto"/>
        </w:rPr>
        <w:t>The Merlin Biosciences Fund may be deemed to share voting power over 528,694 shares of Common Stock. The J.P. Morgan Funds may be to share voting power over 727,209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-171450</wp:posOffset>
            </wp:positionV>
            <wp:extent cx="58400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ectPr>
          <w:pgSz w:w="11900" w:h="16899" w:orient="portrait"/>
          <w:cols w:equalWidth="0" w:num="1">
            <w:col w:w="11352"/>
          </w:cols>
          <w:pgMar w:left="248" w:top="125" w:right="299" w:bottom="0" w:gutter="0" w:footer="0" w:header="0"/>
        </w:sectPr>
      </w:pPr>
    </w:p>
    <w:bookmarkStart w:id="17" w:name="page18"/>
    <w:bookmarkEnd w:id="17"/>
    <w:p>
      <w:pPr>
        <w:ind w:left="2220" w:right="5340" w:hanging="503"/>
        <w:spacing w:after="0" w:line="340" w:lineRule="auto"/>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Not applicable.</w:t>
      </w:r>
    </w:p>
    <w:p>
      <w:pPr>
        <w:spacing w:after="0" w:line="129" w:lineRule="exact"/>
        <w:rPr>
          <w:rFonts w:ascii="Arial" w:cs="Arial" w:eastAsia="Arial" w:hAnsi="Arial"/>
          <w:sz w:val="18"/>
          <w:szCs w:val="18"/>
          <w:color w:val="auto"/>
        </w:rPr>
      </w:pPr>
    </w:p>
    <w:p>
      <w:pPr>
        <w:ind w:left="2220" w:hanging="498"/>
        <w:spacing w:after="0"/>
        <w:tabs>
          <w:tab w:leader="none" w:pos="2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The Advent Funds may be deemed to have shared dispositive power over 925,537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-370205</wp:posOffset>
            </wp:positionV>
            <wp:extent cx="58400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The Merlin Biosciences Fund may be deemed to share dispositive power over 528,694 shares of Common Stock.</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J.P. Morgan Funds may be to share dispositive power over 727,209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Reporting Persons have ceased to be reporting persons as a result of the termination of the “group” described in item 9.</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jc w:val="center"/>
        <w:ind w:right="79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20" w:right="180"/>
        <w:spacing w:after="0" w:line="264" w:lineRule="auto"/>
        <w:rPr>
          <w:sz w:val="20"/>
          <w:szCs w:val="20"/>
          <w:color w:val="auto"/>
        </w:rPr>
      </w:pPr>
      <w:r>
        <w:rPr>
          <w:rFonts w:ascii="Arial" w:cs="Arial" w:eastAsia="Arial" w:hAnsi="Arial"/>
          <w:sz w:val="18"/>
          <w:szCs w:val="18"/>
          <w:color w:val="auto"/>
        </w:rPr>
        <w:t>All of the Reporting Persons and APAX WW Nominees LTD, as managed by Apax Europe IV GP Co. Limited, were members of a voting agreement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whereby the parties had agreed to vote all shares of Emergent BioSolutions Inc.’s Common Stock owned by the parties in the same manner and to the same extent as BioPharm, L.L.C.</w:t>
      </w:r>
    </w:p>
    <w:p>
      <w:pPr>
        <w:spacing w:after="0" w:line="181" w:lineRule="exact"/>
        <w:rPr>
          <w:sz w:val="20"/>
          <w:szCs w:val="20"/>
          <w:color w:val="auto"/>
        </w:rPr>
      </w:pPr>
    </w:p>
    <w:p>
      <w:pPr>
        <w:jc w:val="both"/>
        <w:ind w:left="1120" w:right="160"/>
        <w:spacing w:after="0" w:line="302" w:lineRule="auto"/>
        <w:rPr>
          <w:sz w:val="20"/>
          <w:szCs w:val="20"/>
          <w:color w:val="auto"/>
        </w:rPr>
      </w:pPr>
      <w:r>
        <w:rPr>
          <w:rFonts w:ascii="Arial" w:cs="Arial" w:eastAsia="Arial" w:hAnsi="Arial"/>
          <w:sz w:val="16"/>
          <w:szCs w:val="16"/>
          <w:color w:val="auto"/>
        </w:rPr>
        <w:t>On June 14, 2007, Emergent BioSolutions Inc. held its first annual meeting of stockholders. Under the terms of the Voting Agreement, the Voting Agreement automatically terminated upon the conclusion of the first annual meeting of stockholders. Due to the termination of the Voting Agreement on June 14, 2007, the Reporting Persons are no longer deemed a group in respect of holdings of the Common Stock for purposes of Section 13(d)(3) and Rule 13d-5(b)(1)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20" w:right="380"/>
        <w:spacing w:after="0" w:line="277" w:lineRule="auto"/>
        <w:rPr>
          <w:sz w:val="20"/>
          <w:szCs w:val="20"/>
          <w:color w:val="auto"/>
        </w:rPr>
      </w:pPr>
      <w:r>
        <w:rPr>
          <w:rFonts w:ascii="Arial" w:cs="Arial" w:eastAsia="Arial" w:hAnsi="Arial"/>
          <w:sz w:val="18"/>
          <w:szCs w:val="18"/>
          <w:color w:val="auto"/>
        </w:rPr>
        <w:t>Because no Reporting Persons beneficially own more than five percent of the Common Stock, none of the Reporting Persons will make further reports or amendments to this Statement.</w:t>
      </w:r>
    </w:p>
    <w:p>
      <w:pPr>
        <w:spacing w:after="0" w:line="170" w:lineRule="exact"/>
        <w:rPr>
          <w:sz w:val="20"/>
          <w:szCs w:val="20"/>
          <w:color w:val="auto"/>
        </w:rPr>
      </w:pPr>
    </w:p>
    <w:p>
      <w:pPr>
        <w:ind w:left="1120" w:right="120"/>
        <w:spacing w:after="0" w:line="277" w:lineRule="auto"/>
        <w:rPr>
          <w:sz w:val="20"/>
          <w:szCs w:val="20"/>
          <w:color w:val="auto"/>
        </w:rPr>
      </w:pPr>
      <w:r>
        <w:rPr>
          <w:rFonts w:ascii="Arial" w:cs="Arial" w:eastAsia="Arial" w:hAnsi="Arial"/>
          <w:sz w:val="18"/>
          <w:szCs w:val="18"/>
          <w:color w:val="auto"/>
        </w:rPr>
        <w:t>All further transactions with respect to such shares of Common Stock will be filed, if required, by the former members of the group in their individual capacities.</w:t>
      </w:r>
    </w:p>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80"/>
          </w:cols>
          <w:pgMar w:left="300" w:top="12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300" w:top="125" w:right="319" w:bottom="0" w:gutter="0" w:footer="0" w:header="0"/>
          <w:type w:val="continuous"/>
        </w:sectPr>
      </w:pPr>
    </w:p>
    <w:bookmarkStart w:id="18" w:name="page19"/>
    <w:bookmarkEnd w:id="18"/>
    <w:p>
      <w:pPr>
        <w:jc w:val="center"/>
        <w:ind w:right="-3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1322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“A” LIMITED PARTNERSHIP</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“B”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“C”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“D”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GMBH &amp; CO. KG</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ADVENT PRIVATE EQUITY FUND III AFFILIATES</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ADVENT MANAGEMENT III LIMITED PARTNERSHIP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 LIMITED PARTNERSHIP</w:t>
      </w:r>
    </w:p>
    <w:p>
      <w:pPr>
        <w:sectPr>
          <w:pgSz w:w="11900" w:h="16838" w:orient="portrait"/>
          <w:cols w:equalWidth="0" w:num="1">
            <w:col w:w="11120"/>
          </w:cols>
          <w:pgMar w:left="240" w:top="513" w:right="5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29210</wp:posOffset>
            </wp:positionV>
            <wp:extent cx="30270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ectPr>
          <w:pgSz w:w="11900" w:h="16838" w:orient="portrait"/>
          <w:cols w:equalWidth="0" w:num="1">
            <w:col w:w="11120"/>
          </w:cols>
          <w:pgMar w:left="240" w:top="513" w:right="539" w:bottom="0" w:gutter="0" w:footer="0" w:header="0"/>
          <w:type w:val="continuous"/>
        </w:sectPr>
      </w:pPr>
    </w:p>
    <w:bookmarkStart w:id="19" w:name="page20"/>
    <w:bookmarkEnd w:id="19"/>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-130175</wp:posOffset>
            </wp:positionV>
            <wp:extent cx="6972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7230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MERLIN BIOSCIENCES FUND GBR</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(BHCA),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A,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(CAYMAN) II,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J.P. MORGAN PARTNERS GLOBAL INVESTORS (SELLDOWN),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J.P. MORGAN PARTNERS GLOBAL INVESTORS (SELLDOWN II), L.P.</w:t>
      </w:r>
    </w:p>
    <w:p>
      <w:pPr>
        <w:sectPr>
          <w:pgSz w:w="11900" w:h="16838" w:orient="portrait"/>
          <w:cols w:equalWidth="0" w:num="1">
            <w:col w:w="10219"/>
          </w:cols>
          <w:pgMar w:left="240" w:top="139" w:right="1440" w:bottom="125" w:gutter="0" w:footer="0" w:header="0"/>
        </w:sectPr>
      </w:pPr>
    </w:p>
    <w:bookmarkStart w:id="20" w:name="page21"/>
    <w:bookmarkEnd w:id="20"/>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Shahzad Malik</w:t>
      </w:r>
    </w:p>
    <w:p>
      <w:pPr>
        <w:spacing w:after="0" w:line="2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Name:</w:t>
        <w:tab/>
        <w:t>Shahzad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69723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 w:name="page22"/>
    <w:bookmarkEnd w:id="21"/>
    <w:p>
      <w:pPr>
        <w:ind w:left="10720"/>
        <w:spacing w:after="0"/>
        <w:rPr>
          <w:sz w:val="20"/>
          <w:szCs w:val="20"/>
          <w:color w:val="auto"/>
        </w:rPr>
      </w:pPr>
      <w:r>
        <w:rPr>
          <w:rFonts w:ascii="Arial" w:cs="Arial" w:eastAsia="Arial" w:hAnsi="Arial"/>
          <w:sz w:val="16"/>
          <w:szCs w:val="16"/>
          <w:b w:val="1"/>
          <w:bCs w:val="1"/>
          <w:color w:val="auto"/>
        </w:rPr>
        <w:t>Exhibit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Identity and Background.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statement is being filed by J.P. Morgan Partners (BHCA), L.P., a Delaware limited partnership (hereinafter referred to as “JPMP (BHCA)”), whose principal business office is located 270 Park Avenue, New York, New York 10017. JPMP (BHCA) is engaged in the venture capital, private equity and leveraged buyout business. The general partner of JPMP (BHCA) is JPMP Master Fund Manager, L.P., a Delaware limited partnership (hereinafter referred to as “JPMP Master Fund”), whose principal business office is located at the same address as JPMP (BHCA), and is also engaged directly and indirectly (through affiliates) in the venture capital, private equity and leveraged buyout business. As general partner of JPMP (BHCA), JPMP Master Fund may be deemed to beneficially own the shares held by JPMP (BHCA).</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statement is also being filed by J.P. Morgan Partners Global Investors, L.P., a Delaware limited partnership (“JPMP Global”), whose principal place of business is located at the same address as JPMP (BHCA); J.P. Morgan Partners Global Investors “A”, L.P., a Delaware limited partnership (“JPMP Global A”), whose principal place of business is located at the same address as JPMP (BHCA); J.P. Morgan Partners Global Investors (Cayman), L.P., a limited partnership organized under the laws of the Cayman Islands (“JPMP Cayman”), whose principal place of business is located at the same address as JPMP (BHCA); J.P. Morgan Partners Global Investors (Cayman) II, L.P., a limited partnership organized under the laws of the Cayman Islands (“JPMP Cayman II”), whose principal place of business is located at the same address as JPMP (BHCA), J.P. Morgan Partners Global Investors (Selldown), L.P., a Delaware limited partnership, whose principal place of business is located at the same address as JPMP (BHCA) and J.P. Morgan Partners Global Investors (Selldown) II, L.P., a Delaware limited partnership (“JPMP Selldown II” and collectively with JPMP Global, JPMP Global A, JPMP Cayman, JPMP Cayman II, JPMP Selldown and JPMP Selldown II, the “Global Fund Entities”), whose principal place of business is located at the same address as JPMP (BHCA). Each of the Global Fund Entities is also engaged in the venture capital, private equity and leveraged buyout business. The general partner of each of the Global Fund Entities is J.P. Morgan Partners Global Investors, L.P., a Delaware limited partnership (“JPMP Investors”), whose principal place of business is located at the same address as JPMP (BHCA). JPMP Investors is engaged indirectly in the venture capital, private equity and leveraged buyout business as general partner of each of the Global Fund Entities. As general partner of each of the Global Fund Entities, JPMP Investors may be deemed to beneficially own the shares held by the Global Fund Entities.</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general partner of each of JPMP Master Fund and JPMP Investors is JPMP Capital Corp., a New York corporation (hereinafter referred to as “JPMP Capital Corp.”), whose principal business office is located at the same address as JPMP (BHCA), and is also engaged directly and indirectly (through affiliates) in the venture capital, private equity and leveraged buyout business. Set forth in Schedule A hereto and incorporated herein by reference are the names, business addresses, principal occupations and employments of each executive officer and director of JPMP Capital Corp. As the general partner of each of JPMP Master Fund and JPMP Investors, JPMP Capital Corp. may be deemed to beneficially own the shares held by JPMP (BHCA) and the Global Fund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JPMP Capital Corp. is a wholly owned subsidiary of JPMorgan Chase &amp; Co., a Delaware corporation (hereinafter referred to as “JPMorgan Chase”) which is engaged (primarily through subsidiaries) in the commercial banking business with its principal office located at 270 Park Avenue, New York, New York 10017. Set forth in Schedule B hereto and incorporated herein by reference are the names, business addresses, principal occupations and employments of each executive officer and director of JPMorgan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260"/>
        <w:spacing w:after="0"/>
        <w:rPr>
          <w:sz w:val="20"/>
          <w:szCs w:val="20"/>
          <w:color w:val="auto"/>
        </w:rPr>
      </w:pPr>
      <w:r>
        <w:rPr>
          <w:rFonts w:ascii="Arial" w:cs="Arial" w:eastAsia="Arial" w:hAnsi="Arial"/>
          <w:sz w:val="17"/>
          <w:szCs w:val="17"/>
          <w:b w:val="1"/>
          <w:bCs w:val="1"/>
          <w:u w:val="single" w:color="auto"/>
          <w:color w:val="auto"/>
        </w:rPr>
        <w:t>SCHEDULE 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100" w:type="dxa"/>
            <w:vAlign w:val="bottom"/>
            <w:gridSpan w:val="2"/>
          </w:tcPr>
          <w:p>
            <w:pPr>
              <w:jc w:val="center"/>
              <w:ind w:right="2110"/>
              <w:spacing w:after="0"/>
              <w:rPr>
                <w:sz w:val="20"/>
                <w:szCs w:val="20"/>
                <w:color w:val="auto"/>
              </w:rPr>
            </w:pPr>
            <w:r>
              <w:rPr>
                <w:rFonts w:ascii="Arial" w:cs="Arial" w:eastAsia="Arial" w:hAnsi="Arial"/>
                <w:sz w:val="18"/>
                <w:szCs w:val="18"/>
                <w:b w:val="1"/>
                <w:bCs w:val="1"/>
                <w:color w:val="auto"/>
                <w:w w:val="97"/>
              </w:rPr>
              <w:t>JPMP CAPITAL CORP.</w:t>
            </w:r>
          </w:p>
        </w:tc>
      </w:tr>
      <w:tr>
        <w:trPr>
          <w:trHeight w:val="453"/>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Executive Officers (1)</w:t>
            </w:r>
          </w:p>
        </w:tc>
        <w:tc>
          <w:tcPr>
            <w:tcW w:w="2200" w:type="dxa"/>
            <w:vAlign w:val="bottom"/>
          </w:tcPr>
          <w:p>
            <w:pPr>
              <w:spacing w:after="0"/>
              <w:rPr>
                <w:sz w:val="24"/>
                <w:szCs w:val="24"/>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Ina R. Drew*</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Joseph S. Bonocore*</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w w:val="91"/>
              </w:rPr>
              <w:t>Ana Capella Gomez-Acebo*</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John C. Wilmot*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Managing Director and Treasurer</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Richard Madsen*</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Vice President</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William T. Williams Jr*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Vice President and Secretary</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Judah Shechter*</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Elizabeth De Guzman*</w:t>
            </w:r>
          </w:p>
        </w:tc>
      </w:tr>
      <w:tr>
        <w:trPr>
          <w:trHeight w:val="472"/>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00" w:type="dxa"/>
            <w:vAlign w:val="bottom"/>
            <w:gridSpan w:val="2"/>
          </w:tcPr>
          <w:p>
            <w:pPr>
              <w:jc w:val="center"/>
              <w:ind w:right="2090"/>
              <w:spacing w:after="0"/>
              <w:rPr>
                <w:sz w:val="20"/>
                <w:szCs w:val="20"/>
                <w:color w:val="auto"/>
              </w:rPr>
            </w:pPr>
            <w:r>
              <w:rPr>
                <w:rFonts w:ascii="Arial" w:cs="Arial" w:eastAsia="Arial" w:hAnsi="Arial"/>
                <w:sz w:val="18"/>
                <w:szCs w:val="18"/>
                <w:color w:val="auto"/>
                <w:w w:val="92"/>
              </w:rPr>
              <w:t>Directors (1)</w:t>
            </w: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100" w:type="dxa"/>
            <w:vAlign w:val="bottom"/>
            <w:gridSpan w:val="2"/>
          </w:tcPr>
          <w:p>
            <w:pPr>
              <w:jc w:val="center"/>
              <w:ind w:right="2110"/>
              <w:spacing w:after="0"/>
              <w:rPr>
                <w:sz w:val="20"/>
                <w:szCs w:val="20"/>
                <w:color w:val="auto"/>
              </w:rPr>
            </w:pPr>
            <w:r>
              <w:rPr>
                <w:rFonts w:ascii="Arial" w:cs="Arial" w:eastAsia="Arial" w:hAnsi="Arial"/>
                <w:sz w:val="18"/>
                <w:szCs w:val="18"/>
                <w:color w:val="auto"/>
                <w:w w:val="96"/>
              </w:rPr>
              <w:t>Ina R. Drew*</w:t>
            </w:r>
          </w:p>
        </w:tc>
      </w:tr>
      <w:tr>
        <w:trPr>
          <w:trHeight w:val="230"/>
        </w:trPr>
        <w:tc>
          <w:tcPr>
            <w:tcW w:w="3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00" w:type="dxa"/>
            <w:vAlign w:val="bottom"/>
            <w:gridSpan w:val="2"/>
          </w:tcPr>
          <w:p>
            <w:pPr>
              <w:jc w:val="center"/>
              <w:ind w:right="2110"/>
              <w:spacing w:after="0"/>
              <w:rPr>
                <w:sz w:val="20"/>
                <w:szCs w:val="20"/>
                <w:color w:val="auto"/>
              </w:rPr>
            </w:pPr>
            <w:r>
              <w:rPr>
                <w:rFonts w:ascii="Arial" w:cs="Arial" w:eastAsia="Arial" w:hAnsi="Arial"/>
                <w:sz w:val="18"/>
                <w:szCs w:val="18"/>
                <w:color w:val="auto"/>
                <w:w w:val="94"/>
              </w:rPr>
              <w:t>John C. Wilmot*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893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Each of whom is a United States citizen, except for Ana Capella Gomez-Acebo who is a citizen of Spain.</w:t>
      </w:r>
    </w:p>
    <w:p>
      <w:pPr>
        <w:spacing w:after="0" w:line="225" w:lineRule="exact"/>
        <w:rPr>
          <w:sz w:val="20"/>
          <w:szCs w:val="20"/>
          <w:color w:val="auto"/>
        </w:rPr>
      </w:pPr>
    </w:p>
    <w:p>
      <w:pPr>
        <w:ind w:right="60" w:firstLine="656"/>
        <w:spacing w:after="0" w:line="27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Principal occupation is employee and/or officer of JPMorgan Chase &amp; Co. Business address is c/o JPMorgan Chase &amp; Co., 270 Park Avenue,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B</w:t>
      </w:r>
    </w:p>
    <w:p>
      <w:pPr>
        <w:sectPr>
          <w:pgSz w:w="11900" w:h="16838" w:orient="portrait"/>
          <w:cols w:equalWidth="0" w:num="1">
            <w:col w:w="11420"/>
          </w:cols>
          <w:pgMar w:left="240" w:top="121" w:right="239" w:bottom="144"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940" w:type="dxa"/>
            <w:vAlign w:val="bottom"/>
            <w:gridSpan w:val="3"/>
          </w:tcPr>
          <w:p>
            <w:pPr>
              <w:jc w:val="center"/>
              <w:ind w:right="1070"/>
              <w:spacing w:after="0"/>
              <w:rPr>
                <w:sz w:val="20"/>
                <w:szCs w:val="20"/>
                <w:color w:val="auto"/>
              </w:rPr>
            </w:pPr>
            <w:r>
              <w:rPr>
                <w:rFonts w:ascii="Arial" w:cs="Arial" w:eastAsia="Arial" w:hAnsi="Arial"/>
                <w:sz w:val="18"/>
                <w:szCs w:val="18"/>
                <w:b w:val="1"/>
                <w:bCs w:val="1"/>
                <w:color w:val="auto"/>
                <w:w w:val="99"/>
              </w:rPr>
              <w:t>JPMORGAN CHASE &amp; CO.</w:t>
            </w:r>
          </w:p>
        </w:tc>
      </w:tr>
      <w:tr>
        <w:trPr>
          <w:trHeight w:val="194"/>
        </w:trPr>
        <w:tc>
          <w:tcPr>
            <w:tcW w:w="4320" w:type="dxa"/>
            <w:vAlign w:val="bottom"/>
          </w:tcPr>
          <w:p>
            <w:pPr>
              <w:spacing w:after="0"/>
              <w:rPr>
                <w:sz w:val="16"/>
                <w:szCs w:val="16"/>
                <w:color w:val="auto"/>
              </w:rPr>
            </w:pPr>
          </w:p>
        </w:tc>
        <w:tc>
          <w:tcPr>
            <w:tcW w:w="3940" w:type="dxa"/>
            <w:vAlign w:val="bottom"/>
            <w:gridSpan w:val="3"/>
          </w:tcPr>
          <w:p>
            <w:pPr>
              <w:jc w:val="center"/>
              <w:ind w:right="1070"/>
              <w:spacing w:after="0" w:line="194" w:lineRule="exact"/>
              <w:rPr>
                <w:sz w:val="20"/>
                <w:szCs w:val="20"/>
                <w:color w:val="auto"/>
              </w:rPr>
            </w:pPr>
            <w:r>
              <w:rPr>
                <w:rFonts w:ascii="Arial" w:cs="Arial" w:eastAsia="Arial" w:hAnsi="Arial"/>
                <w:sz w:val="18"/>
                <w:szCs w:val="18"/>
                <w:b w:val="1"/>
                <w:bCs w:val="1"/>
                <w:color w:val="auto"/>
                <w:w w:val="90"/>
              </w:rPr>
              <w:t>Executive Officers (1)</w:t>
            </w:r>
          </w:p>
        </w:tc>
      </w:tr>
      <w:tr>
        <w:trPr>
          <w:trHeight w:val="438"/>
        </w:trPr>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James Dimon*</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Chief Administrative Officer</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Frank Bisignano*</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Co-Chief Executive Officer, Investment Bank</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Steven D. Black*</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w w:val="90"/>
              </w:rPr>
              <w:t>Michael J. Cavanagh*</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Director of Human Resources</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John F. Bradley*</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Ina R. Drew*</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Head, Commercial Banking</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w w:val="92"/>
              </w:rPr>
              <w:t>Samuel Todd Maclin*</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Head, Strategy and Business Development</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Jay Mandelbaum*</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Chief Executive Officer, Treasury &amp; Securities Services</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Heidi Miller*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Head, Retail Financial Services</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Charles W. Scharf*</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Co-Chief Executive Officer, Card Services</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w w:val="94"/>
              </w:rPr>
              <w:t>Richard J. Srednicki*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Co-Chief Executive Officer, Card Services</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Gordon A. Smith</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Global Head, Asset &amp; Wealth Management</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James E. Staley*</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Co-Chief Executive Officer, Investment Bank</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William T. Winters*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General Counsel</w:t>
            </w: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Stephen M. Cutler*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Each of whom is a United States citizen.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Principal occupation is employee or officer of JPMorgan Chase &amp; 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 address is c/o JPMorgan Chase &amp; Co., 270 Park Avenue, New York, New York 10017.</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Directors (1)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4"/>
                <w:szCs w:val="14"/>
                <w:color w:val="auto"/>
              </w:rPr>
            </w:pPr>
          </w:p>
        </w:tc>
        <w:tc>
          <w:tcPr>
            <w:tcW w:w="7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 or Employment;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Business or Residence Address</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Crandall C. Bowles</w:t>
            </w:r>
          </w:p>
        </w:tc>
        <w:tc>
          <w:tcPr>
            <w:tcW w:w="360" w:type="dxa"/>
            <w:vAlign w:val="bottom"/>
            <w:shd w:val="clear" w:color="auto" w:fill="CCEEFF"/>
          </w:tcPr>
          <w:p>
            <w:pPr>
              <w:spacing w:after="0"/>
              <w:rPr>
                <w:sz w:val="16"/>
                <w:szCs w:val="16"/>
                <w:color w:val="auto"/>
              </w:rPr>
            </w:pPr>
          </w:p>
        </w:tc>
        <w:tc>
          <w:tcPr>
            <w:tcW w:w="7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Spring Global US, Inc.</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 JPMorgan Chase &amp; Co.</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Stephen B. Burke</w:t>
            </w:r>
          </w:p>
        </w:tc>
        <w:tc>
          <w:tcPr>
            <w:tcW w:w="76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640" w:type="dxa"/>
            <w:vAlign w:val="bottom"/>
            <w:gridSpan w:val="2"/>
          </w:tcPr>
          <w:p>
            <w:pPr>
              <w:ind w:left="360"/>
              <w:spacing w:after="0"/>
              <w:rPr>
                <w:sz w:val="20"/>
                <w:szCs w:val="20"/>
                <w:color w:val="auto"/>
              </w:rPr>
            </w:pPr>
            <w:r>
              <w:rPr>
                <w:rFonts w:ascii="Arial" w:cs="Arial" w:eastAsia="Arial" w:hAnsi="Arial"/>
                <w:sz w:val="18"/>
                <w:szCs w:val="18"/>
                <w:color w:val="auto"/>
              </w:rPr>
              <w:t>Comcast Cable Communications, Inc.</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640" w:type="dxa"/>
            <w:vAlign w:val="bottom"/>
            <w:gridSpan w:val="2"/>
          </w:tcPr>
          <w:p>
            <w:pPr>
              <w:ind w:left="360"/>
              <w:spacing w:after="0"/>
              <w:rPr>
                <w:sz w:val="20"/>
                <w:szCs w:val="20"/>
                <w:color w:val="auto"/>
              </w:rPr>
            </w:pPr>
            <w:r>
              <w:rPr>
                <w:rFonts w:ascii="Arial" w:cs="Arial" w:eastAsia="Arial" w:hAnsi="Arial"/>
                <w:sz w:val="18"/>
                <w:szCs w:val="18"/>
                <w:color w:val="auto"/>
              </w:rPr>
              <w:t>c/o JPMorgan Chase &amp; Co.</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640" w:type="dxa"/>
            <w:vAlign w:val="bottom"/>
            <w:gridSpan w:val="2"/>
          </w:tcPr>
          <w:p>
            <w:pPr>
              <w:ind w:left="36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7640" w:type="dxa"/>
            <w:vAlign w:val="bottom"/>
            <w:gridSpan w:val="2"/>
          </w:tcPr>
          <w:p>
            <w:pPr>
              <w:ind w:left="36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S. Crown</w:t>
            </w:r>
          </w:p>
        </w:tc>
        <w:tc>
          <w:tcPr>
            <w:tcW w:w="76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Henry Crown and Company</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 JP Morgan Chase &amp; Co.</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270 Park Avenue</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New York, New York 10017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James Dimon</w:t>
            </w: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Chief Executive Officer</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JPMorgan Chase &amp; Co.</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shd w:val="clear" w:color="auto" w:fill="CCEEFF"/>
          </w:tcPr>
          <w:p>
            <w:pPr>
              <w:spacing w:after="0"/>
              <w:rPr>
                <w:sz w:val="20"/>
                <w:szCs w:val="20"/>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New York, New York 10017</w:t>
            </w: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Ellen V. Futter</w:t>
            </w:r>
          </w:p>
        </w:tc>
        <w:tc>
          <w:tcPr>
            <w:tcW w:w="8600" w:type="dxa"/>
            <w:vAlign w:val="bottom"/>
          </w:tcPr>
          <w:p>
            <w:pPr>
              <w:ind w:left="1320"/>
              <w:spacing w:after="0" w:line="201" w:lineRule="exact"/>
              <w:rPr>
                <w:sz w:val="20"/>
                <w:szCs w:val="20"/>
                <w:color w:val="auto"/>
              </w:rPr>
            </w:pPr>
            <w:r>
              <w:rPr>
                <w:rFonts w:ascii="Arial" w:cs="Arial" w:eastAsia="Arial" w:hAnsi="Arial"/>
                <w:sz w:val="18"/>
                <w:szCs w:val="18"/>
                <w:color w:val="auto"/>
              </w:rPr>
              <w:t>President and Trustee</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American Museum of Natural History</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c/o JPMorgan Chase &amp; Co.</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tcPr>
          <w:p>
            <w:pPr>
              <w:spacing w:after="0"/>
              <w:rPr>
                <w:sz w:val="20"/>
                <w:szCs w:val="20"/>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New York, New York 10017</w:t>
            </w: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H. Gray, III</w:t>
            </w:r>
          </w:p>
        </w:tc>
        <w:tc>
          <w:tcPr>
            <w:tcW w:w="8600" w:type="dxa"/>
            <w:vAlign w:val="bottom"/>
            <w:shd w:val="clear" w:color="auto" w:fill="CCEEFF"/>
          </w:tcPr>
          <w:p>
            <w:pPr>
              <w:ind w:left="1320"/>
              <w:spacing w:after="0" w:line="201" w:lineRule="exact"/>
              <w:rPr>
                <w:sz w:val="20"/>
                <w:szCs w:val="20"/>
                <w:color w:val="auto"/>
              </w:rPr>
            </w:pPr>
            <w:r>
              <w:rPr>
                <w:rFonts w:ascii="Arial" w:cs="Arial" w:eastAsia="Arial" w:hAnsi="Arial"/>
                <w:sz w:val="18"/>
                <w:szCs w:val="18"/>
                <w:color w:val="auto"/>
              </w:rPr>
              <w:t>Retired President and Chief Executive Officer</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The College Fund/UNCF</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c/o JPMorgan Chase &amp; Co.</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shd w:val="clear" w:color="auto" w:fill="CCEEFF"/>
          </w:tcPr>
          <w:p>
            <w:pPr>
              <w:spacing w:after="0"/>
              <w:rPr>
                <w:sz w:val="20"/>
                <w:szCs w:val="20"/>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New York, New York 10017</w:t>
            </w: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Laban P. Jackson, Jr.</w:t>
            </w:r>
          </w:p>
        </w:tc>
        <w:tc>
          <w:tcPr>
            <w:tcW w:w="8600" w:type="dxa"/>
            <w:vAlign w:val="bottom"/>
          </w:tcPr>
          <w:p>
            <w:pPr>
              <w:ind w:left="1320"/>
              <w:spacing w:after="0" w:line="201"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Clear Creek Properties, Inc.</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c/o JPMorgan Chase &amp; Co.</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tcPr>
          <w:p>
            <w:pPr>
              <w:spacing w:after="0"/>
              <w:rPr>
                <w:sz w:val="20"/>
                <w:szCs w:val="20"/>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New York, New York 10017</w:t>
            </w: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Lee R. Raymond</w:t>
            </w:r>
          </w:p>
        </w:tc>
        <w:tc>
          <w:tcPr>
            <w:tcW w:w="8600" w:type="dxa"/>
            <w:vAlign w:val="bottom"/>
            <w:shd w:val="clear" w:color="auto" w:fill="CCEEFF"/>
          </w:tcPr>
          <w:p>
            <w:pPr>
              <w:ind w:left="1320"/>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Exxon Mobil Corporation</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c/o JPMorgan Chase &amp; Co.</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shd w:val="clear" w:color="auto" w:fill="CCEEFF"/>
          </w:tcPr>
          <w:p>
            <w:pPr>
              <w:spacing w:after="0"/>
              <w:rPr>
                <w:sz w:val="20"/>
                <w:szCs w:val="20"/>
                <w:color w:val="auto"/>
              </w:rPr>
            </w:pPr>
          </w:p>
        </w:tc>
        <w:tc>
          <w:tcPr>
            <w:tcW w:w="8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New York, New York 10017</w:t>
            </w: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Robert I. Lipp</w:t>
            </w:r>
          </w:p>
        </w:tc>
        <w:tc>
          <w:tcPr>
            <w:tcW w:w="8600" w:type="dxa"/>
            <w:vAlign w:val="bottom"/>
          </w:tcPr>
          <w:p>
            <w:pPr>
              <w:ind w:left="1320"/>
              <w:spacing w:after="0" w:line="201" w:lineRule="exact"/>
              <w:rPr>
                <w:sz w:val="20"/>
                <w:szCs w:val="20"/>
                <w:color w:val="auto"/>
              </w:rPr>
            </w:pPr>
            <w:r>
              <w:rPr>
                <w:rFonts w:ascii="Arial" w:cs="Arial" w:eastAsia="Arial" w:hAnsi="Arial"/>
                <w:sz w:val="18"/>
                <w:szCs w:val="18"/>
                <w:color w:val="auto"/>
              </w:rPr>
              <w:t>Chairman</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The St. Paul Travelers Companies, Inc.</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c/o JPMorgan Chase &amp; Co.</w:t>
            </w:r>
          </w:p>
        </w:tc>
      </w:tr>
      <w:tr>
        <w:trPr>
          <w:trHeight w:val="216"/>
        </w:trPr>
        <w:tc>
          <w:tcPr>
            <w:tcW w:w="2820" w:type="dxa"/>
            <w:vAlign w:val="bottom"/>
          </w:tcPr>
          <w:p>
            <w:pPr>
              <w:spacing w:after="0"/>
              <w:rPr>
                <w:sz w:val="18"/>
                <w:szCs w:val="18"/>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270 Park Avenue</w:t>
            </w:r>
          </w:p>
        </w:tc>
      </w:tr>
      <w:tr>
        <w:trPr>
          <w:trHeight w:val="230"/>
        </w:trPr>
        <w:tc>
          <w:tcPr>
            <w:tcW w:w="2820" w:type="dxa"/>
            <w:vAlign w:val="bottom"/>
          </w:tcPr>
          <w:p>
            <w:pPr>
              <w:spacing w:after="0"/>
              <w:rPr>
                <w:sz w:val="20"/>
                <w:szCs w:val="20"/>
                <w:color w:val="auto"/>
              </w:rPr>
            </w:pPr>
          </w:p>
        </w:tc>
        <w:tc>
          <w:tcPr>
            <w:tcW w:w="8600" w:type="dxa"/>
            <w:vAlign w:val="bottom"/>
          </w:tcPr>
          <w:p>
            <w:pPr>
              <w:ind w:left="1320"/>
              <w:spacing w:after="0"/>
              <w:rPr>
                <w:sz w:val="20"/>
                <w:szCs w:val="20"/>
                <w:color w:val="auto"/>
              </w:rPr>
            </w:pPr>
            <w:r>
              <w:rPr>
                <w:rFonts w:ascii="Arial" w:cs="Arial" w:eastAsia="Arial" w:hAnsi="Arial"/>
                <w:sz w:val="18"/>
                <w:szCs w:val="18"/>
                <w:color w:val="auto"/>
              </w:rPr>
              <w:t>New York, New York 10017</w:t>
            </w:r>
          </w:p>
        </w:tc>
      </w:tr>
    </w:tbl>
    <w:p>
      <w:pPr>
        <w:sectPr>
          <w:pgSz w:w="11900" w:h="16838" w:orient="portrait"/>
          <w:cols w:equalWidth="0" w:num="1">
            <w:col w:w="11420"/>
          </w:cols>
          <w:pgMar w:left="240" w:top="121" w:right="239" w:bottom="9"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David C. Novak</w:t>
            </w:r>
          </w:p>
        </w:tc>
        <w:tc>
          <w:tcPr>
            <w:tcW w:w="8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17"/>
                <w:szCs w:val="17"/>
                <w:color w:val="auto"/>
              </w:rPr>
            </w:pPr>
          </w:p>
        </w:tc>
      </w:tr>
      <w:tr>
        <w:trPr>
          <w:trHeight w:val="216"/>
        </w:trPr>
        <w:tc>
          <w:tcPr>
            <w:tcW w:w="2780" w:type="dxa"/>
            <w:vAlign w:val="bottom"/>
            <w:shd w:val="clear" w:color="auto" w:fill="CCEEFF"/>
          </w:tcPr>
          <w:p>
            <w:pPr>
              <w:spacing w:after="0"/>
              <w:rPr>
                <w:sz w:val="18"/>
                <w:szCs w:val="18"/>
                <w:color w:val="auto"/>
              </w:rPr>
            </w:pPr>
          </w:p>
        </w:tc>
        <w:tc>
          <w:tcPr>
            <w:tcW w:w="8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Yum! Brands, Inc.</w:t>
            </w:r>
          </w:p>
        </w:tc>
        <w:tc>
          <w:tcPr>
            <w:tcW w:w="4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8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8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2780" w:type="dxa"/>
            <w:vAlign w:val="bottom"/>
            <w:shd w:val="clear" w:color="auto" w:fill="CCEEFF"/>
          </w:tcPr>
          <w:p>
            <w:pPr>
              <w:spacing w:after="0"/>
              <w:rPr>
                <w:sz w:val="20"/>
                <w:szCs w:val="20"/>
                <w:color w:val="auto"/>
              </w:rPr>
            </w:pPr>
          </w:p>
        </w:tc>
        <w:tc>
          <w:tcPr>
            <w:tcW w:w="86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William C. Weldon</w:t>
            </w:r>
          </w:p>
        </w:tc>
        <w:tc>
          <w:tcPr>
            <w:tcW w:w="8640" w:type="dxa"/>
            <w:vAlign w:val="bottom"/>
          </w:tcPr>
          <w:p>
            <w:pPr>
              <w:ind w:left="1360"/>
              <w:spacing w:after="0" w:line="201" w:lineRule="exact"/>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17"/>
                <w:szCs w:val="17"/>
                <w:color w:val="auto"/>
              </w:rPr>
            </w:pPr>
          </w:p>
        </w:tc>
      </w:tr>
      <w:tr>
        <w:trPr>
          <w:trHeight w:val="216"/>
        </w:trPr>
        <w:tc>
          <w:tcPr>
            <w:tcW w:w="2780" w:type="dxa"/>
            <w:vAlign w:val="bottom"/>
          </w:tcPr>
          <w:p>
            <w:pPr>
              <w:spacing w:after="0"/>
              <w:rPr>
                <w:sz w:val="18"/>
                <w:szCs w:val="18"/>
                <w:color w:val="auto"/>
              </w:rPr>
            </w:pPr>
          </w:p>
        </w:tc>
        <w:tc>
          <w:tcPr>
            <w:tcW w:w="8640" w:type="dxa"/>
            <w:vAlign w:val="bottom"/>
          </w:tcPr>
          <w:p>
            <w:pPr>
              <w:ind w:left="1360"/>
              <w:spacing w:after="0"/>
              <w:rPr>
                <w:sz w:val="20"/>
                <w:szCs w:val="20"/>
                <w:color w:val="auto"/>
              </w:rPr>
            </w:pPr>
            <w:r>
              <w:rPr>
                <w:rFonts w:ascii="Arial" w:cs="Arial" w:eastAsia="Arial" w:hAnsi="Arial"/>
                <w:sz w:val="18"/>
                <w:szCs w:val="18"/>
                <w:color w:val="auto"/>
              </w:rPr>
              <w:t>Johnson &amp; Johnson</w:t>
            </w:r>
          </w:p>
        </w:tc>
        <w:tc>
          <w:tcPr>
            <w:tcW w:w="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8640" w:type="dxa"/>
            <w:vAlign w:val="bottom"/>
          </w:tcPr>
          <w:p>
            <w:pPr>
              <w:ind w:left="1360"/>
              <w:spacing w:after="0"/>
              <w:rPr>
                <w:sz w:val="20"/>
                <w:szCs w:val="20"/>
                <w:color w:val="auto"/>
              </w:rPr>
            </w:pPr>
            <w:r>
              <w:rPr>
                <w:rFonts w:ascii="Arial" w:cs="Arial" w:eastAsia="Arial" w:hAnsi="Arial"/>
                <w:sz w:val="18"/>
                <w:szCs w:val="18"/>
                <w:color w:val="auto"/>
              </w:rPr>
              <w:t>c/o JPMorgan Chase &amp; Co.</w:t>
            </w:r>
          </w:p>
        </w:tc>
        <w:tc>
          <w:tcPr>
            <w:tcW w:w="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8640" w:type="dxa"/>
            <w:vAlign w:val="bottom"/>
          </w:tcPr>
          <w:p>
            <w:pPr>
              <w:ind w:left="1360"/>
              <w:spacing w:after="0"/>
              <w:rPr>
                <w:sz w:val="20"/>
                <w:szCs w:val="20"/>
                <w:color w:val="auto"/>
              </w:rPr>
            </w:pPr>
            <w:r>
              <w:rPr>
                <w:rFonts w:ascii="Arial" w:cs="Arial" w:eastAsia="Arial" w:hAnsi="Arial"/>
                <w:sz w:val="18"/>
                <w:szCs w:val="18"/>
                <w:color w:val="auto"/>
              </w:rPr>
              <w:t>270 Park Avenue</w:t>
            </w:r>
          </w:p>
        </w:tc>
        <w:tc>
          <w:tcPr>
            <w:tcW w:w="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8640" w:type="dxa"/>
            <w:vAlign w:val="bottom"/>
          </w:tcPr>
          <w:p>
            <w:pPr>
              <w:ind w:left="1360"/>
              <w:spacing w:after="0"/>
              <w:rPr>
                <w:sz w:val="20"/>
                <w:szCs w:val="20"/>
                <w:color w:val="auto"/>
              </w:rPr>
            </w:pPr>
            <w:r>
              <w:rPr>
                <w:rFonts w:ascii="Arial" w:cs="Arial" w:eastAsia="Arial" w:hAnsi="Arial"/>
                <w:sz w:val="18"/>
                <w:szCs w:val="18"/>
                <w:color w:val="auto"/>
              </w:rPr>
              <w:t>New York, New York 10017</w:t>
            </w:r>
          </w:p>
        </w:tc>
        <w:tc>
          <w:tcPr>
            <w:tcW w:w="40" w:type="dxa"/>
            <w:vAlign w:val="bottom"/>
          </w:tcPr>
          <w:p>
            <w:pPr>
              <w:spacing w:after="0"/>
              <w:rPr>
                <w:sz w:val="20"/>
                <w:szCs w:val="20"/>
                <w:color w:val="auto"/>
              </w:rPr>
            </w:pPr>
          </w:p>
        </w:tc>
      </w:tr>
      <w:tr>
        <w:trPr>
          <w:trHeight w:val="645"/>
        </w:trPr>
        <w:tc>
          <w:tcPr>
            <w:tcW w:w="2780" w:type="dxa"/>
            <w:vAlign w:val="bottom"/>
            <w:tcBorders>
              <w:bottom w:val="single" w:sz="8" w:color="010101"/>
            </w:tcBorders>
          </w:tcPr>
          <w:p>
            <w:pPr>
              <w:spacing w:after="0"/>
              <w:rPr>
                <w:sz w:val="24"/>
                <w:szCs w:val="24"/>
                <w:color w:val="auto"/>
              </w:rPr>
            </w:pPr>
          </w:p>
        </w:tc>
        <w:tc>
          <w:tcPr>
            <w:tcW w:w="8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3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o"/>
      <w:numFmt w:val="bullet"/>
      <w:start w:val="1"/>
    </w:lvl>
  </w:abstractNum>
  <w:abstractNum w:abstractNumId="1">
    <w:nsid w:val="419AC241"/>
    <w:multiLevelType w:val="hybridMultilevel"/>
    <w:lvl w:ilvl="0">
      <w:lvlJc w:val="left"/>
      <w:lvlText w:val="%1."/>
      <w:numFmt w:val="decimal"/>
      <w:start w:val="1"/>
    </w:lvl>
    <w:lvl w:ilvl="1">
      <w:lvlJc w:val="left"/>
      <w:lvlText w:val="(%2)"/>
      <w:numFmt w:val="lowerLetter"/>
      <w:start w:val="1"/>
    </w:lvl>
  </w:abstractNum>
  <w:abstractNum w:abstractNumId="2">
    <w:nsid w:val="5577F8E1"/>
    <w:multiLevelType w:val="hybridMultilevel"/>
    <w:lvl w:ilvl="0">
      <w:lvlJc w:val="left"/>
      <w:lvlText w:val="%1"/>
      <w:numFmt w:val="decimal"/>
      <w:start w:val="1"/>
    </w:lvl>
    <w:lvl w:ilvl="1">
      <w:lvlJc w:val="left"/>
      <w:lvlText w:val="%2."/>
      <w:numFmt w:val="decimal"/>
      <w:start w:val="7"/>
    </w:lvl>
  </w:abstractNum>
  <w:abstractNum w:abstractNumId="3">
    <w:nsid w:val="440BADFC"/>
    <w:multiLevelType w:val="hybridMultilevel"/>
    <w:lvl w:ilvl="0">
      <w:lvlJc w:val="left"/>
      <w:lvlText w:val="%1."/>
      <w:numFmt w:val="decimal"/>
      <w:start w:val="9"/>
    </w:lvl>
    <w:lvl w:ilvl="1">
      <w:lvlJc w:val="left"/>
      <w:lvlText w:val="%2"/>
      <w:numFmt w:val="decimal"/>
      <w:start w:val="1"/>
    </w:lvl>
  </w:abstractNum>
  <w:abstractNum w:abstractNumId="4">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3804823E"/>
    <w:multiLevelType w:val="hybridMultilevel"/>
    <w:lvl w:ilvl="0">
      <w:lvlJc w:val="left"/>
      <w:lvlText w:val="%1"/>
      <w:numFmt w:val="decimal"/>
      <w:start w:val="1"/>
    </w:lvl>
    <w:lvl w:ilvl="1">
      <w:lvlJc w:val="left"/>
      <w:lvlText w:val="%2."/>
      <w:numFmt w:val="decimal"/>
      <w:start w:val="8"/>
    </w:lvl>
  </w:abstractNum>
  <w:abstractNum w:abstractNumId="6">
    <w:nsid w:val="77465F01"/>
    <w:multiLevelType w:val="hybridMultilevel"/>
    <w:lvl w:ilvl="0">
      <w:lvlJc w:val="left"/>
      <w:lvlText w:val="%1."/>
      <w:numFmt w:val="decimal"/>
      <w:start w:val="9"/>
    </w:lvl>
    <w:lvl w:ilvl="1">
      <w:lvlJc w:val="left"/>
      <w:lvlText w:val="%2"/>
      <w:numFmt w:val="decimal"/>
      <w:start w:val="1"/>
    </w:lvl>
  </w:abstractNum>
  <w:abstractNum w:abstractNumId="7">
    <w:nsid w:val="7724C67E"/>
    <w:multiLevelType w:val="hybridMultilevel"/>
    <w:lvl w:ilvl="0">
      <w:lvlJc w:val="left"/>
      <w:lvlText w:val="%1."/>
      <w:numFmt w:val="decimal"/>
      <w:start w:val="11"/>
    </w:lvl>
  </w:abstractNum>
  <w:abstractNum w:abstractNumId="8">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2463B9EA"/>
    <w:multiLevelType w:val="hybridMultilevel"/>
    <w:lvl w:ilvl="0">
      <w:lvlJc w:val="left"/>
      <w:lvlText w:val="%1"/>
      <w:numFmt w:val="decimal"/>
      <w:start w:val="1"/>
    </w:lvl>
    <w:lvl w:ilvl="1">
      <w:lvlJc w:val="left"/>
      <w:lvlText w:val="%2."/>
      <w:numFmt w:val="decimal"/>
      <w:start w:val="8"/>
    </w:lvl>
  </w:abstractNum>
  <w:abstractNum w:abstractNumId="10">
    <w:nsid w:val="5E884ADC"/>
    <w:multiLevelType w:val="hybridMultilevel"/>
    <w:lvl w:ilvl="0">
      <w:lvlJc w:val="left"/>
      <w:lvlText w:val="%1."/>
      <w:numFmt w:val="decimal"/>
      <w:start w:val="9"/>
    </w:lvl>
    <w:lvl w:ilvl="1">
      <w:lvlJc w:val="left"/>
      <w:lvlText w:val="%2"/>
      <w:numFmt w:val="decimal"/>
      <w:start w:val="1"/>
    </w:lvl>
  </w:abstractNum>
  <w:abstractNum w:abstractNumId="11">
    <w:nsid w:val="51EAD36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2D517796"/>
    <w:multiLevelType w:val="hybridMultilevel"/>
    <w:lvl w:ilvl="0">
      <w:lvlJc w:val="left"/>
      <w:lvlText w:val="%1"/>
      <w:numFmt w:val="decimal"/>
      <w:start w:val="1"/>
    </w:lvl>
    <w:lvl w:ilvl="1">
      <w:lvlJc w:val="left"/>
      <w:lvlText w:val="%2."/>
      <w:numFmt w:val="decimal"/>
      <w:start w:val="8"/>
    </w:lvl>
  </w:abstractNum>
  <w:abstractNum w:abstractNumId="13">
    <w:nsid w:val="580BD78F"/>
    <w:multiLevelType w:val="hybridMultilevel"/>
    <w:lvl w:ilvl="0">
      <w:lvlJc w:val="left"/>
      <w:lvlText w:val="%1."/>
      <w:numFmt w:val="decimal"/>
      <w:start w:val="9"/>
    </w:lvl>
    <w:lvl w:ilvl="1">
      <w:lvlJc w:val="left"/>
      <w:lvlText w:val="%2"/>
      <w:numFmt w:val="decimal"/>
      <w:start w:val="1"/>
    </w:lvl>
  </w:abstractNum>
  <w:abstractNum w:abstractNumId="14">
    <w:nsid w:val="153EA438"/>
    <w:multiLevelType w:val="hybridMultilevel"/>
    <w:lvl w:ilvl="0">
      <w:lvlJc w:val="left"/>
      <w:lvlText w:val="%1."/>
      <w:numFmt w:val="decimal"/>
      <w:start w:val="1"/>
    </w:lvl>
    <w:lvl w:ilvl="1">
      <w:lvlJc w:val="left"/>
      <w:lvlText w:val="(%2)"/>
      <w:numFmt w:val="lowerLetter"/>
      <w:start w:val="1"/>
    </w:lvl>
  </w:abstractNum>
  <w:abstractNum w:abstractNumId="15">
    <w:nsid w:val="3855585C"/>
    <w:multiLevelType w:val="hybridMultilevel"/>
    <w:lvl w:ilvl="0">
      <w:lvlJc w:val="left"/>
      <w:lvlText w:val="%1."/>
      <w:numFmt w:val="decimal"/>
      <w:start w:val="3"/>
    </w:lvl>
    <w:lvl w:ilvl="1">
      <w:lvlJc w:val="left"/>
      <w:lvlText w:val="%2."/>
      <w:numFmt w:val="decimal"/>
      <w:start w:val="5"/>
    </w:lvl>
  </w:abstractNum>
  <w:abstractNum w:abstractNumId="16">
    <w:nsid w:val="70A64E2A"/>
    <w:multiLevelType w:val="hybridMultilevel"/>
    <w:lvl w:ilvl="0">
      <w:lvlJc w:val="left"/>
      <w:lvlText w:val="%1"/>
      <w:numFmt w:val="decimal"/>
      <w:start w:val="1"/>
    </w:lvl>
    <w:lvl w:ilvl="1">
      <w:lvlJc w:val="left"/>
      <w:lvlText w:val="%2."/>
      <w:numFmt w:val="decimal"/>
      <w:start w:val="8"/>
    </w:lvl>
  </w:abstractNum>
  <w:abstractNum w:abstractNumId="17">
    <w:nsid w:val="6A2342EC"/>
    <w:multiLevelType w:val="hybridMultilevel"/>
    <w:lvl w:ilvl="0">
      <w:lvlJc w:val="left"/>
      <w:lvlText w:val="%1."/>
      <w:numFmt w:val="decimal"/>
      <w:start w:val="9"/>
    </w:lvl>
    <w:lvl w:ilvl="1">
      <w:lvlJc w:val="left"/>
      <w:lvlText w:val="%2"/>
      <w:numFmt w:val="decimal"/>
      <w:start w:val="1"/>
    </w:lvl>
  </w:abstractNum>
  <w:abstractNum w:abstractNumId="18">
    <w:nsid w:val="2A487CB0"/>
    <w:multiLevelType w:val="hybridMultilevel"/>
    <w:lvl w:ilvl="0">
      <w:lvlJc w:val="left"/>
      <w:lvlText w:val="%1."/>
      <w:numFmt w:val="decimal"/>
      <w:start w:val="1"/>
    </w:lvl>
    <w:lvl w:ilvl="1">
      <w:lvlJc w:val="left"/>
      <w:lvlText w:val="(%2)"/>
      <w:numFmt w:val="lowerLetter"/>
      <w:start w:val="1"/>
    </w:lvl>
  </w:abstractNum>
  <w:abstractNum w:abstractNumId="19">
    <w:nsid w:val="1D4ED43B"/>
    <w:multiLevelType w:val="hybridMultilevel"/>
    <w:lvl w:ilvl="0">
      <w:lvlJc w:val="left"/>
      <w:lvlText w:val="%1"/>
      <w:numFmt w:val="decimal"/>
      <w:start w:val="1"/>
    </w:lvl>
    <w:lvl w:ilvl="1">
      <w:lvlJc w:val="left"/>
      <w:lvlText w:val="%2."/>
      <w:numFmt w:val="decimal"/>
      <w:start w:val="7"/>
    </w:lvl>
  </w:abstractNum>
  <w:abstractNum w:abstractNumId="20">
    <w:nsid w:val="725A06FB"/>
    <w:multiLevelType w:val="hybridMultilevel"/>
    <w:lvl w:ilvl="0">
      <w:lvlJc w:val="left"/>
      <w:lvlText w:val="%1."/>
      <w:numFmt w:val="decimal"/>
      <w:start w:val="9"/>
    </w:lvl>
    <w:lvl w:ilvl="1">
      <w:lvlJc w:val="left"/>
      <w:lvlText w:val="%2"/>
      <w:numFmt w:val="decimal"/>
      <w:start w:val="1"/>
    </w:lvl>
  </w:abstractNum>
  <w:abstractNum w:abstractNumId="21">
    <w:nsid w:val="2CD89A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57E4CCAF"/>
    <w:multiLevelType w:val="hybridMultilevel"/>
    <w:lvl w:ilvl="0">
      <w:lvlJc w:val="left"/>
      <w:lvlText w:val="%1."/>
      <w:numFmt w:val="decimal"/>
      <w:start w:val="9"/>
    </w:lvl>
  </w:abstractNum>
  <w:abstractNum w:abstractNumId="23">
    <w:nsid w:val="7A6D8D3C"/>
    <w:multiLevelType w:val="hybridMultilevel"/>
    <w:lvl w:ilvl="0">
      <w:lvlJc w:val="left"/>
      <w:lvlText w:val="%1."/>
      <w:numFmt w:val="decimal"/>
      <w:start w:val="10"/>
    </w:lvl>
  </w:abstractNum>
  <w:abstractNum w:abstractNumId="24">
    <w:nsid w:val="4B588F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542289EC"/>
    <w:multiLevelType w:val="hybridMultilevel"/>
    <w:lvl w:ilvl="0">
      <w:lvlJc w:val="left"/>
      <w:lvlText w:val="%1"/>
      <w:numFmt w:val="decimal"/>
      <w:start w:val="1"/>
    </w:lvl>
    <w:lvl w:ilvl="1">
      <w:lvlJc w:val="left"/>
      <w:lvlText w:val="%2."/>
      <w:numFmt w:val="decimal"/>
      <w:start w:val="8"/>
    </w:lvl>
  </w:abstractNum>
  <w:abstractNum w:abstractNumId="26">
    <w:nsid w:val="6DE91B18"/>
    <w:multiLevelType w:val="hybridMultilevel"/>
    <w:lvl w:ilvl="0">
      <w:lvlJc w:val="left"/>
      <w:lvlText w:val="%1."/>
      <w:numFmt w:val="decimal"/>
      <w:start w:val="9"/>
    </w:lvl>
    <w:lvl w:ilvl="1">
      <w:lvlJc w:val="left"/>
      <w:lvlText w:val="%2"/>
      <w:numFmt w:val="decimal"/>
      <w:start w:val="1"/>
    </w:lvl>
  </w:abstractNum>
  <w:abstractNum w:abstractNumId="27">
    <w:nsid w:val="38437FD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7644A45C"/>
    <w:multiLevelType w:val="hybridMultilevel"/>
    <w:lvl w:ilvl="0">
      <w:lvlJc w:val="left"/>
      <w:lvlText w:val="%1"/>
      <w:numFmt w:val="decimal"/>
      <w:start w:val="1"/>
    </w:lvl>
    <w:lvl w:ilvl="1">
      <w:lvlJc w:val="left"/>
      <w:lvlText w:val="%2."/>
      <w:numFmt w:val="decimal"/>
      <w:start w:val="8"/>
    </w:lvl>
  </w:abstractNum>
  <w:abstractNum w:abstractNumId="29">
    <w:nsid w:val="32FFF902"/>
    <w:multiLevelType w:val="hybridMultilevel"/>
    <w:lvl w:ilvl="0">
      <w:lvlJc w:val="left"/>
      <w:lvlText w:val="%1."/>
      <w:numFmt w:val="decimal"/>
      <w:start w:val="9"/>
    </w:lvl>
    <w:lvl w:ilvl="1">
      <w:lvlJc w:val="left"/>
      <w:lvlText w:val="%2"/>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2">
    <w:nsid w:val="749ABB43"/>
    <w:multiLevelType w:val="hybridMultilevel"/>
    <w:lvl w:ilvl="0">
      <w:lvlJc w:val="left"/>
      <w:lvlText w:val="%1"/>
      <w:numFmt w:val="decimal"/>
      <w:start w:val="1"/>
    </w:lvl>
    <w:lvl w:ilvl="1">
      <w:lvlJc w:val="left"/>
      <w:lvlText w:val="%2."/>
      <w:numFmt w:val="decimal"/>
      <w:start w:val="8"/>
    </w:lvl>
  </w:abstractNum>
  <w:abstractNum w:abstractNumId="33">
    <w:nsid w:val="3DC240FB"/>
    <w:multiLevelType w:val="hybridMultilevel"/>
    <w:lvl w:ilvl="0">
      <w:lvlJc w:val="left"/>
      <w:lvlText w:val="%1."/>
      <w:numFmt w:val="decimal"/>
      <w:start w:val="9"/>
    </w:lvl>
    <w:lvl w:ilvl="1">
      <w:lvlJc w:val="left"/>
      <w:lvlText w:val="%2"/>
      <w:numFmt w:val="decimal"/>
      <w:start w:val="1"/>
    </w:lvl>
  </w:abstractNum>
  <w:abstractNum w:abstractNumId="34">
    <w:nsid w:val="1BA026FA"/>
    <w:multiLevelType w:val="hybridMultilevel"/>
    <w:lvl w:ilvl="0">
      <w:lvlJc w:val="left"/>
      <w:lvlText w:val="%1."/>
      <w:numFmt w:val="decimal"/>
      <w:start w:val="1"/>
    </w:lvl>
    <w:lvl w:ilvl="1">
      <w:lvlJc w:val="left"/>
      <w:lvlText w:val="(%2)"/>
      <w:numFmt w:val="lowerLetter"/>
      <w:start w:val="1"/>
    </w:lvl>
  </w:abstractNum>
  <w:abstractNum w:abstractNumId="35">
    <w:nsid w:val="79A1DEAA"/>
    <w:multiLevelType w:val="hybridMultilevel"/>
    <w:lvl w:ilvl="0">
      <w:lvlJc w:val="left"/>
      <w:lvlText w:val="%1"/>
      <w:numFmt w:val="decimal"/>
      <w:start w:val="1"/>
    </w:lvl>
    <w:lvl w:ilvl="1">
      <w:lvlJc w:val="left"/>
      <w:lvlText w:val="%2."/>
      <w:numFmt w:val="decimal"/>
      <w:start w:val="8"/>
    </w:lvl>
  </w:abstractNum>
  <w:abstractNum w:abstractNumId="36">
    <w:nsid w:val="75C6C33A"/>
    <w:multiLevelType w:val="hybridMultilevel"/>
    <w:lvl w:ilvl="0">
      <w:lvlJc w:val="left"/>
      <w:lvlText w:val="%1."/>
      <w:numFmt w:val="decimal"/>
      <w:start w:val="9"/>
    </w:lvl>
    <w:lvl w:ilvl="1">
      <w:lvlJc w:val="left"/>
      <w:lvlText w:val="%2"/>
      <w:numFmt w:val="decimal"/>
      <w:start w:val="1"/>
    </w:lvl>
  </w:abstractNum>
  <w:abstractNum w:abstractNumId="37">
    <w:nsid w:val="12E685FB"/>
    <w:multiLevelType w:val="hybridMultilevel"/>
    <w:lvl w:ilvl="0">
      <w:lvlJc w:val="left"/>
      <w:lvlText w:val="%1."/>
      <w:numFmt w:val="decimal"/>
      <w:start w:val="1"/>
    </w:lvl>
    <w:lvl w:ilvl="1">
      <w:lvlJc w:val="left"/>
      <w:lvlText w:val="(%2)"/>
      <w:numFmt w:val="lowerLetter"/>
      <w:start w:val="1"/>
    </w:lvl>
  </w:abstractNum>
  <w:abstractNum w:abstractNumId="38">
    <w:nsid w:val="70C6A529"/>
    <w:multiLevelType w:val="hybridMultilevel"/>
    <w:lvl w:ilvl="0">
      <w:lvlJc w:val="left"/>
      <w:lvlText w:val="%1"/>
      <w:numFmt w:val="decimal"/>
      <w:start w:val="1"/>
    </w:lvl>
    <w:lvl w:ilvl="1">
      <w:lvlJc w:val="left"/>
      <w:lvlText w:val="%2."/>
      <w:numFmt w:val="decimal"/>
      <w:start w:val="8"/>
    </w:lvl>
  </w:abstractNum>
  <w:abstractNum w:abstractNumId="39">
    <w:nsid w:val="520EEDD1"/>
    <w:multiLevelType w:val="hybridMultilevel"/>
    <w:lvl w:ilvl="0">
      <w:lvlJc w:val="left"/>
      <w:lvlText w:val="%1."/>
      <w:numFmt w:val="decimal"/>
      <w:start w:val="9"/>
    </w:lvl>
    <w:lvl w:ilvl="1">
      <w:lvlJc w:val="left"/>
      <w:lvlText w:val="%2"/>
      <w:numFmt w:val="decimal"/>
      <w:start w:val="1"/>
    </w:lvl>
  </w:abstractNum>
  <w:abstractNum w:abstractNumId="40">
    <w:nsid w:val="374A3FE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1">
    <w:nsid w:val="4F4EF005"/>
    <w:multiLevelType w:val="hybridMultilevel"/>
    <w:lvl w:ilvl="0">
      <w:lvlJc w:val="left"/>
      <w:lvlText w:val="%1"/>
      <w:numFmt w:val="decimal"/>
      <w:start w:val="1"/>
    </w:lvl>
    <w:lvl w:ilvl="1">
      <w:lvlJc w:val="left"/>
      <w:lvlText w:val="%2."/>
      <w:numFmt w:val="decimal"/>
      <w:start w:val="8"/>
    </w:lvl>
  </w:abstractNum>
  <w:abstractNum w:abstractNumId="42">
    <w:nsid w:val="23F9C13C"/>
    <w:multiLevelType w:val="hybridMultilevel"/>
    <w:lvl w:ilvl="0">
      <w:lvlJc w:val="left"/>
      <w:lvlText w:val="%1."/>
      <w:numFmt w:val="decimal"/>
      <w:start w:val="9"/>
    </w:lvl>
    <w:lvl w:ilvl="1">
      <w:lvlJc w:val="left"/>
      <w:lvlText w:val="%2"/>
      <w:numFmt w:val="decimal"/>
      <w:start w:val="1"/>
    </w:lvl>
  </w:abstractNum>
  <w:abstractNum w:abstractNumId="43">
    <w:nsid w:val="649BB77C"/>
    <w:multiLevelType w:val="hybridMultilevel"/>
    <w:lvl w:ilvl="0">
      <w:lvlJc w:val="left"/>
      <w:lvlText w:val="%1."/>
      <w:numFmt w:val="decimal"/>
      <w:start w:val="12"/>
    </w:lvl>
  </w:abstractNum>
  <w:abstractNum w:abstractNumId="44">
    <w:nsid w:val="275AC7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5">
    <w:nsid w:val="39386575"/>
    <w:multiLevelType w:val="hybridMultilevel"/>
    <w:lvl w:ilvl="0">
      <w:lvlJc w:val="left"/>
      <w:lvlText w:val="%1"/>
      <w:numFmt w:val="decimal"/>
      <w:start w:val="1"/>
    </w:lvl>
    <w:lvl w:ilvl="1">
      <w:lvlJc w:val="left"/>
      <w:lvlText w:val="%2."/>
      <w:numFmt w:val="decimal"/>
      <w:start w:val="8"/>
    </w:lvl>
  </w:abstractNum>
  <w:abstractNum w:abstractNumId="46">
    <w:nsid w:val="1CF10FD8"/>
    <w:multiLevelType w:val="hybridMultilevel"/>
    <w:lvl w:ilvl="0">
      <w:lvlJc w:val="left"/>
      <w:lvlText w:val="%1."/>
      <w:numFmt w:val="decimal"/>
      <w:start w:val="9"/>
    </w:lvl>
    <w:lvl w:ilvl="1">
      <w:lvlJc w:val="left"/>
      <w:lvlText w:val="%2"/>
      <w:numFmt w:val="decimal"/>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8">
    <w:nsid w:val="235BA861"/>
    <w:multiLevelType w:val="hybridMultilevel"/>
    <w:lvl w:ilvl="0">
      <w:lvlJc w:val="left"/>
      <w:lvlText w:val="%1"/>
      <w:numFmt w:val="decimal"/>
      <w:start w:val="1"/>
    </w:lvl>
    <w:lvl w:ilvl="1">
      <w:lvlJc w:val="left"/>
      <w:lvlText w:val="%2."/>
      <w:numFmt w:val="decimal"/>
      <w:start w:val="8"/>
    </w:lvl>
  </w:abstractNum>
  <w:abstractNum w:abstractNumId="49">
    <w:nsid w:val="47398C89"/>
    <w:multiLevelType w:val="hybridMultilevel"/>
    <w:lvl w:ilvl="0">
      <w:lvlJc w:val="left"/>
      <w:lvlText w:val="%1."/>
      <w:numFmt w:val="decimal"/>
      <w:start w:val="9"/>
    </w:lvl>
    <w:lvl w:ilvl="1">
      <w:lvlJc w:val="left"/>
      <w:lvlText w:val="%2"/>
      <w:numFmt w:val="decimal"/>
      <w:start w:val="1"/>
    </w:lvl>
  </w:abstractNum>
  <w:abstractNum w:abstractNumId="50">
    <w:nsid w:val="354FE9F9"/>
    <w:multiLevelType w:val="hybridMultilevel"/>
    <w:lvl w:ilvl="0">
      <w:lvlJc w:val="left"/>
      <w:lvlText w:val="%1."/>
      <w:numFmt w:val="decimal"/>
      <w:start w:val="1"/>
    </w:lvl>
    <w:lvl w:ilvl="1">
      <w:lvlJc w:val="left"/>
      <w:lvlText w:val="(%2)"/>
      <w:numFmt w:val="lowerLetter"/>
      <w:start w:val="1"/>
    </w:lvl>
  </w:abstractNum>
  <w:abstractNum w:abstractNumId="51">
    <w:nsid w:val="15B5AF5C"/>
    <w:multiLevelType w:val="hybridMultilevel"/>
    <w:lvl w:ilvl="0">
      <w:lvlJc w:val="left"/>
      <w:lvlText w:val="%1."/>
      <w:numFmt w:val="decimal"/>
      <w:start w:val="4"/>
    </w:lvl>
    <w:lvl w:ilvl="1">
      <w:lvlJc w:val="left"/>
      <w:lvlText w:val="%2."/>
      <w:numFmt w:val="decimal"/>
      <w:start w:val="5"/>
    </w:lvl>
  </w:abstractNum>
  <w:abstractNum w:abstractNumId="52">
    <w:nsid w:val="741226BB"/>
    <w:multiLevelType w:val="hybridMultilevel"/>
    <w:lvl w:ilvl="0">
      <w:lvlJc w:val="left"/>
      <w:lvlText w:val="%1"/>
      <w:numFmt w:val="decimal"/>
      <w:start w:val="1"/>
    </w:lvl>
    <w:lvl w:ilvl="1">
      <w:lvlJc w:val="left"/>
      <w:lvlText w:val="%2."/>
      <w:numFmt w:val="decimal"/>
      <w:start w:val="8"/>
    </w:lvl>
  </w:abstractNum>
  <w:abstractNum w:abstractNumId="53">
    <w:nsid w:val="D34B6A8"/>
    <w:multiLevelType w:val="hybridMultilevel"/>
    <w:lvl w:ilvl="0">
      <w:lvlJc w:val="left"/>
      <w:lvlText w:val="%1."/>
      <w:numFmt w:val="decimal"/>
      <w:start w:val="9"/>
    </w:lvl>
    <w:lvl w:ilvl="1">
      <w:lvlJc w:val="left"/>
      <w:lvlText w:val="%2"/>
      <w:numFmt w:val="decimal"/>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Letter"/>
      <w:start w:val="3"/>
    </w:lvl>
  </w:abstractNum>
  <w:abstractNum w:abstractNumId="59">
    <w:nsid w:val="579BE4F1"/>
    <w:multiLevelType w:val="hybridMultilevel"/>
    <w:lvl w:ilvl="0">
      <w:lvlJc w:val="left"/>
      <w:lvlText w:val="(%1)"/>
      <w:numFmt w:val="lowerLetter"/>
      <w:start w:val="4"/>
    </w:lvl>
  </w:abstractNum>
  <w:abstractNum w:abstractNumId="60">
    <w:nsid w:val="310C50B3"/>
    <w:multiLevelType w:val="hybridMultilevel"/>
    <w:lvl w:ilvl="0">
      <w:lvlJc w:val="left"/>
      <w:lvlText w:val="%1"/>
      <w:numFmt w:val="decimal"/>
      <w:start w:val="1"/>
    </w:lvl>
    <w:lvl w:ilvl="1">
      <w:lvlJc w:val="left"/>
      <w:lvlText w:val="(%2)"/>
      <w:numFmt w:val="lowerLetter"/>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lowerLetter"/>
      <w:start w:val="2"/>
    </w:lvl>
  </w:abstractNum>
  <w:abstractNum w:abstractNumId="63">
    <w:nsid w:val="25A70BF7"/>
    <w:multiLevelType w:val="hybridMultilevel"/>
    <w:lvl w:ilvl="0">
      <w:lvlJc w:val="left"/>
      <w:lvlText w:val="(%1)"/>
      <w:numFmt w:val="lowerRoman"/>
      <w:start w:val="1"/>
    </w:lvl>
  </w:abstractNum>
  <w:abstractNum w:abstractNumId="64">
    <w:nsid w:val="1DBABF00"/>
    <w:multiLevelType w:val="hybridMultilevel"/>
    <w:lvl w:ilvl="0">
      <w:lvlJc w:val="left"/>
      <w:lvlText w:val="(%1)"/>
      <w:numFmt w:val="lowerRoman"/>
      <w:start w:val="2"/>
    </w:lvl>
  </w:abstractNum>
  <w:abstractNum w:abstractNumId="65">
    <w:nsid w:val="4AD084E9"/>
    <w:multiLevelType w:val="hybridMultilevel"/>
    <w:lvl w:ilvl="0">
      <w:lvlJc w:val="left"/>
      <w:lvlText w:val="(%1)"/>
      <w:numFmt w:val="lowerRoman"/>
      <w:start w:val="3"/>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2019-12-15T14:45:51Z</dcterms:created>
  <dcterms:modified xsi:type="dcterms:W3CDTF">2019-12-15T14:45:51Z</dcterms:modified>
</cp:coreProperties>
</file>