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30, 2019</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367"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620" w:space="720"/>
            <w:col w:w="2760" w:space="720"/>
            <w:col w:w="2540"/>
          </w:cols>
          <w:pgMar w:left="240" w:top="679" w:right="29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000" w:space="720"/>
            <w:col w:w="3280" w:space="720"/>
            <w:col w:w="2640"/>
          </w:cols>
          <w:pgMar w:left="240" w:top="679" w:right="29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48" w:lineRule="exact"/>
        <w:rPr>
          <w:sz w:val="24"/>
          <w:szCs w:val="24"/>
          <w:color w:val="auto"/>
        </w:rPr>
      </w:pPr>
    </w:p>
    <w:p>
      <w:pPr>
        <w:sectPr>
          <w:pgSz w:w="11900" w:h="16838" w:orient="portrait"/>
          <w:cols w:equalWidth="0" w:num="2">
            <w:col w:w="7860" w:space="720"/>
            <w:col w:w="2780"/>
          </w:cols>
          <w:pgMar w:left="240" w:top="679" w:right="299" w:bottom="1440" w:gutter="0" w:footer="0" w:header="0"/>
          <w:type w:val="continuous"/>
        </w:sectPr>
      </w:pPr>
    </w:p>
    <w:p>
      <w:pPr>
        <w:ind w:left="4200"/>
        <w:spacing w:after="0"/>
        <w:rPr>
          <w:sz w:val="20"/>
          <w:szCs w:val="20"/>
          <w:color w:val="auto"/>
        </w:rPr>
      </w:pPr>
      <w:r>
        <w:rPr>
          <w:rFonts w:ascii="Arial" w:cs="Arial" w:eastAsia="Arial" w:hAnsi="Arial"/>
          <w:sz w:val="22"/>
          <w:szCs w:val="22"/>
          <w:b w:val="1"/>
          <w:bCs w:val="1"/>
          <w:color w:val="auto"/>
        </w:rPr>
        <w:t>400 Professional Drive, Suite 400,</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1.02. Termination of a Material Definitive Agreement.</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July 31, 2019, Emergent BioSolutions Inc. (“Emergent”) terminated the Lease Agreement, dated September 1, 2016, by and between Seamus Mulligan, a member of Emergent’s Board of Directors, and Adapt Pharma Operations Limited (“Adapt Pharma”), as amended (the “Lease”), related to a property owned by Mr. Mulligan located at 45 Fitzwilliam Square, Dublin 2, Ireland (the “Property”). The Property had been leased to Adapt Pharma, as tenant, under a ten-year lease beginning in 2016. Under its terms, the fee payable to Mr. Mulligan to exit the Lease is $194,000, or approximately one year’s rent.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On July 30, 2019, Emergent received its first contract option exercise (the “Contract Option”) from the Biomedical Advanced Research and Development Authority (“BARDA”) to procure doses of AV7909 (anthrax vaccine adsorbed with adjuvant) for delivery into the Strategic National Stockpile (“SNS”) over a period of 12 months, valued at approximately $261 million.</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Contract Option was exercised under the September 30, 2016 contract by and between Emergent Product Development Gaithersburg Inc., a wholly-owned subsidiary of Emergent, and the U.S. Department of Health and Human Services, through BARDA, valued at up to $1.5 billion (the “Contract”). The Contract includes a five-year base period of performance to develop AV7909 for post-exposure prophylaxis of anthrax disease and to deliver an initial three million doses to the SNS, as well as contract options for procurement of up to an additional 50 million doses.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Form 8-K includes forward-looking statements within the meaning of the Private Securities Litigation Reform Act of 1995. Any statements, other than statements of historical fact, including statements regarding the total potential realizable value of the Contract, the timing of AV7909 deliveries,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Form 8-K, and, except as required by law, we do not undertake to update any forward-looking statement to reflect new information, events or circumstances.</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There are a number of important factors that could cause Emergent’s actual results to differ materially from those indicated by such forward-looking statements, including the availability of funding for our U.S. government grants and contracts, decisions by BARDA to exercise further options under the Contract and our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EMERGENT BIOSOLUTIONS INC.</w:t>
      </w:r>
    </w:p>
    <w:p>
      <w:pPr>
        <w:spacing w:after="0" w:line="347" w:lineRule="exact"/>
        <w:rPr>
          <w:sz w:val="20"/>
          <w:szCs w:val="20"/>
          <w:color w:val="auto"/>
        </w:rPr>
      </w:pPr>
    </w:p>
    <w:p>
      <w:pPr>
        <w:ind w:left="520"/>
        <w:spacing w:after="0"/>
        <w:tabs>
          <w:tab w:leader="none" w:pos="5820" w:val="left"/>
          <w:tab w:leader="none" w:pos="6360" w:val="left"/>
        </w:tabs>
        <w:rPr>
          <w:sz w:val="20"/>
          <w:szCs w:val="20"/>
          <w:color w:val="auto"/>
        </w:rPr>
      </w:pPr>
      <w:r>
        <w:rPr>
          <w:rFonts w:ascii="Arial" w:cs="Arial" w:eastAsia="Arial" w:hAnsi="Arial"/>
          <w:sz w:val="22"/>
          <w:szCs w:val="22"/>
          <w:color w:val="auto"/>
        </w:rPr>
        <w:t>Dated: August 5,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24765</wp:posOffset>
            </wp:positionV>
            <wp:extent cx="2907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8"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Name:Richard S. Lindahl</w:t>
      </w:r>
    </w:p>
    <w:p>
      <w:pPr>
        <w:ind w:left="6380"/>
        <w:spacing w:after="0" w:line="238" w:lineRule="auto"/>
        <w:rPr>
          <w:sz w:val="20"/>
          <w:szCs w:val="20"/>
          <w:color w:val="auto"/>
        </w:rPr>
      </w:pPr>
      <w:r>
        <w:rPr>
          <w:rFonts w:ascii="Arial" w:cs="Arial" w:eastAsia="Arial" w:hAnsi="Arial"/>
          <w:sz w:val="22"/>
          <w:szCs w:val="22"/>
          <w:color w:val="auto"/>
        </w:rPr>
        <w:t>Title: Executive Vice President, Chief Financial</w:t>
      </w:r>
    </w:p>
    <w:p>
      <w:pPr>
        <w:ind w:left="7140"/>
        <w:spacing w:after="0"/>
        <w:rPr>
          <w:sz w:val="20"/>
          <w:szCs w:val="20"/>
          <w:color w:val="auto"/>
        </w:rPr>
      </w:pPr>
      <w:r>
        <w:rPr>
          <w:rFonts w:ascii="Arial" w:cs="Arial" w:eastAsia="Arial" w:hAnsi="Arial"/>
          <w:sz w:val="22"/>
          <w:szCs w:val="22"/>
          <w:color w:val="auto"/>
        </w:rPr>
        <w:t>Officer and Treasurer</w:t>
      </w:r>
    </w:p>
    <w:sectPr>
      <w:pgSz w:w="11900" w:h="16838" w:orient="portrait"/>
      <w:cols w:equalWidth="0" w:num="1">
        <w:col w:w="11420"/>
      </w:cols>
      <w:pgMar w:left="240" w:top="10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2019-11-30T10:51:03Z</dcterms:created>
  <dcterms:modified xsi:type="dcterms:W3CDTF">2019-11-30T10:51:03Z</dcterms:modified>
</cp:coreProperties>
</file>