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79"/>
        <w:spacing w:after="0"/>
        <w:rPr>
          <w:sz w:val="20"/>
          <w:szCs w:val="20"/>
          <w:color w:val="auto"/>
        </w:rPr>
      </w:pPr>
      <w:r>
        <w:rPr>
          <w:rFonts w:ascii="Arial" w:cs="Arial" w:eastAsia="Arial" w:hAnsi="Arial"/>
          <w:sz w:val="32"/>
          <w:szCs w:val="32"/>
          <w:b w:val="1"/>
          <w:bCs w:val="1"/>
          <w:color w:val="auto"/>
        </w:rPr>
        <w:t>UNITED STATES</w:t>
      </w:r>
    </w:p>
    <w:p>
      <w:pPr>
        <w:spacing w:after="0" w:line="46" w:lineRule="exact"/>
        <w:rPr>
          <w:sz w:val="24"/>
          <w:szCs w:val="24"/>
          <w:color w:val="auto"/>
        </w:rPr>
      </w:pPr>
    </w:p>
    <w:p>
      <w:pPr>
        <w:jc w:val="center"/>
        <w:ind w:right="-179"/>
        <w:spacing w:after="0"/>
        <w:rPr>
          <w:sz w:val="20"/>
          <w:szCs w:val="20"/>
          <w:color w:val="auto"/>
        </w:rPr>
      </w:pPr>
      <w:r>
        <w:rPr>
          <w:rFonts w:ascii="Arial" w:cs="Arial" w:eastAsia="Arial" w:hAnsi="Arial"/>
          <w:sz w:val="32"/>
          <w:szCs w:val="32"/>
          <w:b w:val="1"/>
          <w:bCs w:val="1"/>
          <w:color w:val="auto"/>
        </w:rPr>
        <w:t>SECURITIES AND EXCHANGE COMMISSION</w:t>
      </w:r>
    </w:p>
    <w:p>
      <w:pPr>
        <w:spacing w:after="0" w:line="3" w:lineRule="exact"/>
        <w:rPr>
          <w:sz w:val="24"/>
          <w:szCs w:val="24"/>
          <w:color w:val="auto"/>
        </w:rPr>
      </w:pPr>
    </w:p>
    <w:p>
      <w:pPr>
        <w:jc w:val="center"/>
        <w:ind w:right="-179"/>
        <w:spacing w:after="0"/>
        <w:rPr>
          <w:sz w:val="20"/>
          <w:szCs w:val="20"/>
          <w:color w:val="auto"/>
        </w:rPr>
      </w:pPr>
      <w:r>
        <w:rPr>
          <w:rFonts w:ascii="Arial" w:cs="Arial" w:eastAsia="Arial" w:hAnsi="Arial"/>
          <w:sz w:val="18"/>
          <w:szCs w:val="18"/>
          <w:b w:val="1"/>
          <w:bCs w:val="1"/>
          <w:color w:val="auto"/>
        </w:rPr>
        <w:t>WASHINGTON, D.C. 20549</w:t>
      </w:r>
    </w:p>
    <w:p>
      <w:pPr>
        <w:spacing w:after="0" w:line="196" w:lineRule="exact"/>
        <w:rPr>
          <w:sz w:val="24"/>
          <w:szCs w:val="24"/>
          <w:color w:val="auto"/>
        </w:rPr>
      </w:pPr>
    </w:p>
    <w:p>
      <w:pPr>
        <w:jc w:val="center"/>
        <w:ind w:right="-179"/>
        <w:spacing w:after="0"/>
        <w:rPr>
          <w:sz w:val="20"/>
          <w:szCs w:val="20"/>
          <w:color w:val="auto"/>
        </w:rPr>
      </w:pPr>
      <w:r>
        <w:rPr>
          <w:rFonts w:ascii="Arial" w:cs="Arial" w:eastAsia="Arial" w:hAnsi="Arial"/>
          <w:sz w:val="32"/>
          <w:szCs w:val="32"/>
          <w:b w:val="1"/>
          <w:bCs w:val="1"/>
          <w:color w:val="auto"/>
        </w:rPr>
        <w:t>FORM 8-K</w:t>
      </w:r>
    </w:p>
    <w:p>
      <w:pPr>
        <w:spacing w:after="0" w:line="240" w:lineRule="exact"/>
        <w:rPr>
          <w:sz w:val="24"/>
          <w:szCs w:val="24"/>
          <w:color w:val="auto"/>
        </w:rPr>
      </w:pPr>
    </w:p>
    <w:p>
      <w:pPr>
        <w:jc w:val="center"/>
        <w:ind w:right="-179"/>
        <w:spacing w:after="0"/>
        <w:rPr>
          <w:sz w:val="20"/>
          <w:szCs w:val="20"/>
          <w:color w:val="auto"/>
        </w:rPr>
      </w:pPr>
      <w:r>
        <w:rPr>
          <w:rFonts w:ascii="Arial" w:cs="Arial" w:eastAsia="Arial" w:hAnsi="Arial"/>
          <w:sz w:val="22"/>
          <w:szCs w:val="22"/>
          <w:b w:val="1"/>
          <w:bCs w:val="1"/>
          <w:color w:val="auto"/>
        </w:rPr>
        <w:t>CURRENT REPORT</w:t>
      </w:r>
    </w:p>
    <w:p>
      <w:pPr>
        <w:spacing w:after="0" w:line="220" w:lineRule="exact"/>
        <w:rPr>
          <w:sz w:val="24"/>
          <w:szCs w:val="24"/>
          <w:color w:val="auto"/>
        </w:rPr>
      </w:pPr>
    </w:p>
    <w:p>
      <w:pPr>
        <w:jc w:val="center"/>
        <w:ind w:right="-179"/>
        <w:spacing w:after="0"/>
        <w:rPr>
          <w:sz w:val="20"/>
          <w:szCs w:val="20"/>
          <w:color w:val="auto"/>
        </w:rPr>
      </w:pPr>
      <w:r>
        <w:rPr>
          <w:rFonts w:ascii="Arial" w:cs="Arial" w:eastAsia="Arial" w:hAnsi="Arial"/>
          <w:sz w:val="22"/>
          <w:szCs w:val="22"/>
          <w:b w:val="1"/>
          <w:bCs w:val="1"/>
          <w:color w:val="auto"/>
        </w:rPr>
        <w:t>Pursuant to Section 13 or 15(d) of the Securities Exchange Act of 1934</w:t>
      </w:r>
    </w:p>
    <w:p>
      <w:pPr>
        <w:spacing w:after="0" w:line="219" w:lineRule="exact"/>
        <w:rPr>
          <w:sz w:val="24"/>
          <w:szCs w:val="24"/>
          <w:color w:val="auto"/>
        </w:rPr>
      </w:pPr>
    </w:p>
    <w:p>
      <w:pPr>
        <w:jc w:val="center"/>
        <w:ind w:right="-179"/>
        <w:spacing w:after="0"/>
        <w:rPr>
          <w:sz w:val="20"/>
          <w:szCs w:val="20"/>
          <w:color w:val="auto"/>
        </w:rPr>
      </w:pPr>
      <w:r>
        <w:rPr>
          <w:rFonts w:ascii="Arial" w:cs="Arial" w:eastAsia="Arial" w:hAnsi="Arial"/>
          <w:sz w:val="18"/>
          <w:szCs w:val="18"/>
          <w:color w:val="auto"/>
        </w:rPr>
        <w:t>Date of Report (Date of earliest event reported): July 20, 2021</w:t>
      </w:r>
    </w:p>
    <w:p>
      <w:pPr>
        <w:spacing w:after="0" w:line="212" w:lineRule="exact"/>
        <w:rPr>
          <w:sz w:val="24"/>
          <w:szCs w:val="24"/>
          <w:color w:val="auto"/>
        </w:rPr>
      </w:pPr>
    </w:p>
    <w:p>
      <w:pPr>
        <w:jc w:val="center"/>
        <w:ind w:right="-179"/>
        <w:spacing w:after="0"/>
        <w:rPr>
          <w:sz w:val="20"/>
          <w:szCs w:val="20"/>
          <w:color w:val="auto"/>
        </w:rPr>
      </w:pPr>
      <w:r>
        <w:rPr>
          <w:rFonts w:ascii="Arial" w:cs="Arial" w:eastAsia="Arial" w:hAnsi="Arial"/>
          <w:sz w:val="32"/>
          <w:szCs w:val="32"/>
          <w:b w:val="1"/>
          <w:bCs w:val="1"/>
          <w:color w:val="auto"/>
        </w:rPr>
        <w:t>EMERGENT BIOSOLUTIONS INC.</w:t>
      </w:r>
    </w:p>
    <w:p>
      <w:pPr>
        <w:spacing w:after="0" w:line="39" w:lineRule="exact"/>
        <w:rPr>
          <w:sz w:val="24"/>
          <w:szCs w:val="24"/>
          <w:color w:val="auto"/>
        </w:rPr>
      </w:pPr>
    </w:p>
    <w:p>
      <w:pPr>
        <w:jc w:val="center"/>
        <w:ind w:right="-179"/>
        <w:spacing w:after="0"/>
        <w:rPr>
          <w:sz w:val="20"/>
          <w:szCs w:val="20"/>
          <w:color w:val="auto"/>
        </w:rPr>
      </w:pPr>
      <w:r>
        <w:rPr>
          <w:rFonts w:ascii="Arial" w:cs="Arial" w:eastAsia="Arial" w:hAnsi="Arial"/>
          <w:sz w:val="18"/>
          <w:szCs w:val="18"/>
          <w:color w:val="auto"/>
        </w:rPr>
        <w:t>(Exact name of registrant as specified in its charter)</w:t>
      </w:r>
    </w:p>
    <w:p>
      <w:pPr>
        <w:spacing w:after="0" w:line="340" w:lineRule="exact"/>
        <w:rPr>
          <w:sz w:val="24"/>
          <w:szCs w:val="24"/>
          <w:color w:val="auto"/>
        </w:rPr>
      </w:pPr>
    </w:p>
    <w:tbl>
      <w:tblPr>
        <w:tblLayout w:type="fixed"/>
        <w:tblInd w:w="1180" w:type="dxa"/>
        <w:tblCellMar>
          <w:top w:w="0" w:type="dxa"/>
          <w:left w:w="0" w:type="dxa"/>
          <w:bottom w:w="0" w:type="dxa"/>
          <w:right w:w="0" w:type="dxa"/>
        </w:tblCellMar>
      </w:tblPr>
      <w:tr>
        <w:trPr>
          <w:trHeight w:val="234"/>
        </w:trPr>
        <w:tc>
          <w:tcPr>
            <w:tcW w:w="2660" w:type="dxa"/>
            <w:vAlign w:val="bottom"/>
          </w:tcPr>
          <w:p>
            <w:pPr>
              <w:jc w:val="center"/>
              <w:ind w:right="690"/>
              <w:spacing w:after="0"/>
              <w:rPr>
                <w:sz w:val="20"/>
                <w:szCs w:val="20"/>
                <w:color w:val="auto"/>
              </w:rPr>
            </w:pPr>
            <w:r>
              <w:rPr>
                <w:rFonts w:ascii="Arial" w:cs="Arial" w:eastAsia="Arial" w:hAnsi="Arial"/>
                <w:sz w:val="18"/>
                <w:szCs w:val="18"/>
                <w:b w:val="1"/>
                <w:bCs w:val="1"/>
                <w:color w:val="auto"/>
                <w:w w:val="91"/>
              </w:rPr>
              <w:t>Delaware</w:t>
            </w:r>
          </w:p>
        </w:tc>
        <w:tc>
          <w:tcPr>
            <w:tcW w:w="3680" w:type="dxa"/>
            <w:vAlign w:val="bottom"/>
          </w:tcPr>
          <w:p>
            <w:pPr>
              <w:jc w:val="right"/>
              <w:ind w:right="1430"/>
              <w:spacing w:after="0"/>
              <w:rPr>
                <w:sz w:val="20"/>
                <w:szCs w:val="20"/>
                <w:color w:val="auto"/>
              </w:rPr>
            </w:pPr>
            <w:r>
              <w:rPr>
                <w:rFonts w:ascii="Arial" w:cs="Arial" w:eastAsia="Arial" w:hAnsi="Arial"/>
                <w:sz w:val="18"/>
                <w:szCs w:val="18"/>
                <w:b w:val="1"/>
                <w:bCs w:val="1"/>
                <w:color w:val="auto"/>
              </w:rPr>
              <w:t>001-33137</w:t>
            </w:r>
          </w:p>
        </w:tc>
        <w:tc>
          <w:tcPr>
            <w:tcW w:w="2260" w:type="dxa"/>
            <w:vAlign w:val="bottom"/>
          </w:tcPr>
          <w:p>
            <w:pPr>
              <w:jc w:val="center"/>
              <w:ind w:left="830"/>
              <w:spacing w:after="0"/>
              <w:rPr>
                <w:sz w:val="20"/>
                <w:szCs w:val="20"/>
                <w:color w:val="auto"/>
              </w:rPr>
            </w:pPr>
            <w:r>
              <w:rPr>
                <w:rFonts w:ascii="Arial" w:cs="Arial" w:eastAsia="Arial" w:hAnsi="Arial"/>
                <w:sz w:val="18"/>
                <w:szCs w:val="18"/>
                <w:b w:val="1"/>
                <w:bCs w:val="1"/>
                <w:color w:val="auto"/>
                <w:w w:val="89"/>
              </w:rPr>
              <w:t>14-1902018</w:t>
            </w:r>
          </w:p>
        </w:tc>
      </w:tr>
      <w:tr>
        <w:trPr>
          <w:trHeight w:val="229"/>
        </w:trPr>
        <w:tc>
          <w:tcPr>
            <w:tcW w:w="2660" w:type="dxa"/>
            <w:vAlign w:val="bottom"/>
          </w:tcPr>
          <w:p>
            <w:pPr>
              <w:jc w:val="center"/>
              <w:ind w:right="690"/>
              <w:spacing w:after="0"/>
              <w:rPr>
                <w:sz w:val="20"/>
                <w:szCs w:val="20"/>
                <w:color w:val="auto"/>
              </w:rPr>
            </w:pPr>
            <w:r>
              <w:rPr>
                <w:rFonts w:ascii="Arial" w:cs="Arial" w:eastAsia="Arial" w:hAnsi="Arial"/>
                <w:sz w:val="18"/>
                <w:szCs w:val="18"/>
                <w:color w:val="auto"/>
                <w:w w:val="91"/>
              </w:rPr>
              <w:t>(State or other jurisdiction</w:t>
            </w:r>
          </w:p>
        </w:tc>
        <w:tc>
          <w:tcPr>
            <w:tcW w:w="3680" w:type="dxa"/>
            <w:vAlign w:val="bottom"/>
          </w:tcPr>
          <w:p>
            <w:pPr>
              <w:jc w:val="center"/>
              <w:ind w:right="50"/>
              <w:spacing w:after="0"/>
              <w:rPr>
                <w:sz w:val="20"/>
                <w:szCs w:val="20"/>
                <w:color w:val="auto"/>
              </w:rPr>
            </w:pPr>
            <w:r>
              <w:rPr>
                <w:rFonts w:ascii="Arial" w:cs="Arial" w:eastAsia="Arial" w:hAnsi="Arial"/>
                <w:sz w:val="18"/>
                <w:szCs w:val="18"/>
                <w:color w:val="auto"/>
                <w:w w:val="92"/>
              </w:rPr>
              <w:t>(Commission File Number)</w:t>
            </w:r>
          </w:p>
        </w:tc>
        <w:tc>
          <w:tcPr>
            <w:tcW w:w="2260" w:type="dxa"/>
            <w:vAlign w:val="bottom"/>
          </w:tcPr>
          <w:p>
            <w:pPr>
              <w:jc w:val="center"/>
              <w:ind w:left="830"/>
              <w:spacing w:after="0"/>
              <w:rPr>
                <w:sz w:val="20"/>
                <w:szCs w:val="20"/>
                <w:color w:val="auto"/>
              </w:rPr>
            </w:pPr>
            <w:r>
              <w:rPr>
                <w:rFonts w:ascii="Arial" w:cs="Arial" w:eastAsia="Arial" w:hAnsi="Arial"/>
                <w:sz w:val="18"/>
                <w:szCs w:val="18"/>
                <w:color w:val="auto"/>
                <w:w w:val="93"/>
              </w:rPr>
              <w:t>(IRS Employer</w:t>
            </w:r>
          </w:p>
        </w:tc>
      </w:tr>
      <w:tr>
        <w:trPr>
          <w:trHeight w:val="230"/>
        </w:trPr>
        <w:tc>
          <w:tcPr>
            <w:tcW w:w="2660" w:type="dxa"/>
            <w:vAlign w:val="bottom"/>
          </w:tcPr>
          <w:p>
            <w:pPr>
              <w:jc w:val="center"/>
              <w:ind w:right="690"/>
              <w:spacing w:after="0"/>
              <w:rPr>
                <w:sz w:val="20"/>
                <w:szCs w:val="20"/>
                <w:color w:val="auto"/>
              </w:rPr>
            </w:pPr>
            <w:r>
              <w:rPr>
                <w:rFonts w:ascii="Arial" w:cs="Arial" w:eastAsia="Arial" w:hAnsi="Arial"/>
                <w:sz w:val="18"/>
                <w:szCs w:val="18"/>
                <w:color w:val="auto"/>
                <w:w w:val="95"/>
              </w:rPr>
              <w:t>of incorporation)</w:t>
            </w:r>
          </w:p>
        </w:tc>
        <w:tc>
          <w:tcPr>
            <w:tcW w:w="3680" w:type="dxa"/>
            <w:vAlign w:val="bottom"/>
          </w:tcPr>
          <w:p>
            <w:pPr>
              <w:spacing w:after="0"/>
              <w:rPr>
                <w:sz w:val="20"/>
                <w:szCs w:val="20"/>
                <w:color w:val="auto"/>
              </w:rPr>
            </w:pPr>
          </w:p>
        </w:tc>
        <w:tc>
          <w:tcPr>
            <w:tcW w:w="2260" w:type="dxa"/>
            <w:vAlign w:val="bottom"/>
          </w:tcPr>
          <w:p>
            <w:pPr>
              <w:jc w:val="center"/>
              <w:ind w:left="830"/>
              <w:spacing w:after="0"/>
              <w:rPr>
                <w:sz w:val="20"/>
                <w:szCs w:val="20"/>
                <w:color w:val="auto"/>
              </w:rPr>
            </w:pPr>
            <w:r>
              <w:rPr>
                <w:rFonts w:ascii="Arial" w:cs="Arial" w:eastAsia="Arial" w:hAnsi="Arial"/>
                <w:sz w:val="18"/>
                <w:szCs w:val="18"/>
                <w:color w:val="auto"/>
                <w:w w:val="95"/>
              </w:rPr>
              <w:t>Identification No.)</w:t>
            </w:r>
          </w:p>
        </w:tc>
      </w:tr>
    </w:tbl>
    <w:p>
      <w:pPr>
        <w:spacing w:after="0" w:line="67" w:lineRule="exact"/>
        <w:rPr>
          <w:sz w:val="24"/>
          <w:szCs w:val="24"/>
          <w:color w:val="auto"/>
        </w:rPr>
      </w:pPr>
    </w:p>
    <w:p>
      <w:pPr>
        <w:ind w:left="4100"/>
        <w:spacing w:after="0"/>
        <w:rPr>
          <w:sz w:val="20"/>
          <w:szCs w:val="20"/>
          <w:color w:val="auto"/>
        </w:rPr>
      </w:pPr>
      <w:r>
        <w:rPr>
          <w:rFonts w:ascii="Arial" w:cs="Arial" w:eastAsia="Arial" w:hAnsi="Arial"/>
          <w:sz w:val="22"/>
          <w:szCs w:val="22"/>
          <w:b w:val="1"/>
          <w:bCs w:val="1"/>
          <w:color w:val="auto"/>
        </w:rPr>
        <w:t>400 Professional Drive, Suite 400,</w:t>
      </w:r>
    </w:p>
    <w:p>
      <w:pPr>
        <w:spacing w:after="0" w:line="27" w:lineRule="exact"/>
        <w:rPr>
          <w:sz w:val="24"/>
          <w:szCs w:val="24"/>
          <w:color w:val="auto"/>
        </w:rPr>
      </w:pPr>
    </w:p>
    <w:p>
      <w:pPr>
        <w:ind w:left="4180"/>
        <w:spacing w:after="0"/>
        <w:rPr>
          <w:sz w:val="20"/>
          <w:szCs w:val="20"/>
          <w:color w:val="auto"/>
        </w:rPr>
      </w:pPr>
      <w:r>
        <w:rPr>
          <w:rFonts w:ascii="Arial" w:cs="Arial" w:eastAsia="Arial" w:hAnsi="Arial"/>
          <w:sz w:val="22"/>
          <w:szCs w:val="22"/>
          <w:b w:val="1"/>
          <w:bCs w:val="1"/>
          <w:color w:val="auto"/>
        </w:rPr>
        <w:t>Gaithersburg, Maryland 20879</w:t>
      </w:r>
    </w:p>
    <w:p>
      <w:pPr>
        <w:spacing w:after="0" w:line="74" w:lineRule="exact"/>
        <w:rPr>
          <w:sz w:val="24"/>
          <w:szCs w:val="24"/>
          <w:color w:val="auto"/>
        </w:rPr>
      </w:pPr>
    </w:p>
    <w:p>
      <w:pPr>
        <w:jc w:val="center"/>
        <w:ind w:right="-179"/>
        <w:spacing w:after="0"/>
        <w:rPr>
          <w:sz w:val="20"/>
          <w:szCs w:val="20"/>
          <w:color w:val="auto"/>
        </w:rPr>
      </w:pPr>
      <w:r>
        <w:rPr>
          <w:rFonts w:ascii="Arial" w:cs="Arial" w:eastAsia="Arial" w:hAnsi="Arial"/>
          <w:sz w:val="18"/>
          <w:szCs w:val="18"/>
          <w:color w:val="auto"/>
        </w:rPr>
        <w:t>(Address of principal executive offices, including zip code)</w:t>
      </w:r>
    </w:p>
    <w:p>
      <w:pPr>
        <w:spacing w:after="0" w:line="221" w:lineRule="exact"/>
        <w:rPr>
          <w:sz w:val="24"/>
          <w:szCs w:val="24"/>
          <w:color w:val="auto"/>
        </w:rPr>
      </w:pPr>
    </w:p>
    <w:p>
      <w:pPr>
        <w:jc w:val="center"/>
        <w:ind w:right="-179"/>
        <w:spacing w:after="0"/>
        <w:rPr>
          <w:sz w:val="20"/>
          <w:szCs w:val="20"/>
          <w:color w:val="auto"/>
        </w:rPr>
      </w:pPr>
      <w:r>
        <w:rPr>
          <w:rFonts w:ascii="Arial" w:cs="Arial" w:eastAsia="Arial" w:hAnsi="Arial"/>
          <w:sz w:val="18"/>
          <w:szCs w:val="18"/>
          <w:b w:val="1"/>
          <w:bCs w:val="1"/>
          <w:color w:val="auto"/>
        </w:rPr>
        <w:t>(240) 631-3200</w:t>
      </w:r>
    </w:p>
    <w:p>
      <w:pPr>
        <w:spacing w:after="0" w:line="27" w:lineRule="exact"/>
        <w:rPr>
          <w:sz w:val="24"/>
          <w:szCs w:val="24"/>
          <w:color w:val="auto"/>
        </w:rPr>
      </w:pPr>
    </w:p>
    <w:p>
      <w:pPr>
        <w:jc w:val="center"/>
        <w:ind w:right="-179"/>
        <w:spacing w:after="0"/>
        <w:rPr>
          <w:sz w:val="20"/>
          <w:szCs w:val="20"/>
          <w:color w:val="auto"/>
        </w:rPr>
      </w:pPr>
      <w:r>
        <w:rPr>
          <w:rFonts w:ascii="Arial" w:cs="Arial" w:eastAsia="Arial" w:hAnsi="Arial"/>
          <w:sz w:val="18"/>
          <w:szCs w:val="18"/>
          <w:color w:val="auto"/>
        </w:rPr>
        <w:t>(Registrant’s telephone number, including area code)</w:t>
      </w:r>
    </w:p>
    <w:p>
      <w:pPr>
        <w:spacing w:after="0" w:line="234" w:lineRule="exact"/>
        <w:rPr>
          <w:sz w:val="24"/>
          <w:szCs w:val="24"/>
          <w:color w:val="auto"/>
        </w:rPr>
      </w:pPr>
    </w:p>
    <w:p>
      <w:pPr>
        <w:jc w:val="center"/>
        <w:ind w:right="-179"/>
        <w:spacing w:after="0"/>
        <w:rPr>
          <w:sz w:val="20"/>
          <w:szCs w:val="20"/>
          <w:color w:val="auto"/>
        </w:rPr>
      </w:pPr>
      <w:r>
        <w:rPr>
          <w:rFonts w:ascii="Arial" w:cs="Arial" w:eastAsia="Arial" w:hAnsi="Arial"/>
          <w:sz w:val="18"/>
          <w:szCs w:val="18"/>
          <w:b w:val="1"/>
          <w:bCs w:val="1"/>
          <w:color w:val="auto"/>
        </w:rPr>
        <w:t>N/A</w:t>
      </w:r>
    </w:p>
    <w:p>
      <w:pPr>
        <w:spacing w:after="0" w:line="27" w:lineRule="exact"/>
        <w:rPr>
          <w:sz w:val="24"/>
          <w:szCs w:val="24"/>
          <w:color w:val="auto"/>
        </w:rPr>
      </w:pPr>
    </w:p>
    <w:p>
      <w:pPr>
        <w:jc w:val="center"/>
        <w:ind w:right="-17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11" w:lineRule="exact"/>
        <w:rPr>
          <w:sz w:val="24"/>
          <w:szCs w:val="24"/>
          <w:color w:val="auto"/>
        </w:rPr>
      </w:pPr>
    </w:p>
    <w:p>
      <w:pPr>
        <w:ind w:right="52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w:t>
      </w:r>
      <w:r>
        <w:rPr>
          <w:rFonts w:ascii="Arial" w:cs="Arial" w:eastAsia="Arial" w:hAnsi="Arial"/>
          <w:sz w:val="18"/>
          <w:szCs w:val="18"/>
          <w:i w:val="1"/>
          <w:iCs w:val="1"/>
          <w:color w:val="auto"/>
        </w:rPr>
        <w:t>see</w:t>
      </w:r>
      <w:r>
        <w:rPr>
          <w:rFonts w:ascii="Arial" w:cs="Arial" w:eastAsia="Arial" w:hAnsi="Arial"/>
          <w:sz w:val="18"/>
          <w:szCs w:val="18"/>
          <w:color w:val="auto"/>
        </w:rPr>
        <w:t xml:space="preserve"> General Instruction A.2. below):</w:t>
      </w:r>
    </w:p>
    <w:p>
      <w:pPr>
        <w:spacing w:after="0" w:line="170" w:lineRule="exact"/>
        <w:rPr>
          <w:sz w:val="24"/>
          <w:szCs w:val="24"/>
          <w:color w:val="auto"/>
        </w:rPr>
      </w:pPr>
    </w:p>
    <w:p>
      <w:pPr>
        <w:ind w:left="300" w:hanging="292"/>
        <w:spacing w:after="0"/>
        <w:tabs>
          <w:tab w:leader="none" w:pos="3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820" w:firstLine="8"/>
        <w:spacing w:after="0" w:line="501" w:lineRule="auto"/>
        <w:tabs>
          <w:tab w:leader="none" w:pos="212"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 Securities registered pursuant to Section 12(b) of the Act:</w:t>
      </w:r>
    </w:p>
    <w:tbl>
      <w:tblPr>
        <w:tblLayout w:type="fixed"/>
        <w:tblInd w:w="270" w:type="dxa"/>
        <w:tblCellMar>
          <w:top w:w="0" w:type="dxa"/>
          <w:left w:w="0" w:type="dxa"/>
          <w:bottom w:w="0" w:type="dxa"/>
          <w:right w:w="0" w:type="dxa"/>
        </w:tblCellMar>
      </w:tblPr>
      <w:tr>
        <w:trPr>
          <w:trHeight w:val="224"/>
        </w:trPr>
        <w:tc>
          <w:tcPr>
            <w:tcW w:w="4460" w:type="dxa"/>
            <w:vAlign w:val="bottom"/>
            <w:tcBorders>
              <w:top w:val="single" w:sz="8" w:color="auto"/>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Title of each class</w:t>
            </w:r>
          </w:p>
        </w:tc>
        <w:tc>
          <w:tcPr>
            <w:tcW w:w="2220" w:type="dxa"/>
            <w:vAlign w:val="bottom"/>
            <w:tcBorders>
              <w:top w:val="single" w:sz="8" w:color="auto"/>
              <w:bottom w:val="single" w:sz="8" w:color="auto"/>
              <w:right w:val="single" w:sz="8" w:color="auto"/>
            </w:tcBorders>
          </w:tcPr>
          <w:p>
            <w:pPr>
              <w:spacing w:after="0"/>
              <w:rPr>
                <w:sz w:val="20"/>
                <w:szCs w:val="20"/>
                <w:color w:val="auto"/>
              </w:rPr>
            </w:pPr>
            <w:r>
              <w:rPr>
                <w:rFonts w:ascii="Arial" w:cs="Arial" w:eastAsia="Arial" w:hAnsi="Arial"/>
                <w:sz w:val="18"/>
                <w:szCs w:val="18"/>
                <w:color w:val="auto"/>
              </w:rPr>
              <w:t>Trading Symbol(s)</w:t>
            </w:r>
          </w:p>
        </w:tc>
        <w:tc>
          <w:tcPr>
            <w:tcW w:w="4080" w:type="dxa"/>
            <w:vAlign w:val="bottom"/>
            <w:tcBorders>
              <w:top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Name of each exchange on which registered</w:t>
            </w:r>
          </w:p>
        </w:tc>
      </w:tr>
      <w:tr>
        <w:trPr>
          <w:trHeight w:val="223"/>
        </w:trPr>
        <w:tc>
          <w:tcPr>
            <w:tcW w:w="446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Common Stock, Par Value $0.001 per share</w:t>
            </w:r>
          </w:p>
        </w:tc>
        <w:tc>
          <w:tcPr>
            <w:tcW w:w="22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EBS</w:t>
            </w:r>
          </w:p>
        </w:tc>
        <w:tc>
          <w:tcPr>
            <w:tcW w:w="40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New York Stock Exchange</w:t>
            </w:r>
          </w:p>
        </w:tc>
      </w:tr>
    </w:tbl>
    <w:p>
      <w:pPr>
        <w:spacing w:after="0" w:line="296" w:lineRule="exact"/>
        <w:rPr>
          <w:sz w:val="24"/>
          <w:szCs w:val="24"/>
          <w:color w:val="auto"/>
        </w:rPr>
      </w:pPr>
    </w:p>
    <w:p>
      <w:pPr>
        <w:ind w:right="36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97" w:lineRule="exact"/>
        <w:rPr>
          <w:sz w:val="24"/>
          <w:szCs w:val="24"/>
          <w:color w:val="auto"/>
        </w:rPr>
      </w:pPr>
    </w:p>
    <w:p>
      <w:pPr>
        <w:spacing w:after="0" w:line="207" w:lineRule="exact"/>
        <w:tabs>
          <w:tab w:leader="none" w:pos="2180" w:val="left"/>
        </w:tabs>
        <w:rPr>
          <w:sz w:val="20"/>
          <w:szCs w:val="20"/>
          <w:color w:val="auto"/>
        </w:rPr>
      </w:pPr>
      <w:r>
        <w:rPr>
          <w:rFonts w:ascii="Arial" w:cs="Arial" w:eastAsia="Arial" w:hAnsi="Arial"/>
          <w:sz w:val="18"/>
          <w:szCs w:val="18"/>
          <w:color w:val="auto"/>
        </w:rPr>
        <w:t>Emerging growth company</w:t>
      </w:r>
      <w:r>
        <w:rPr>
          <w:sz w:val="20"/>
          <w:szCs w:val="20"/>
          <w:color w:val="auto"/>
        </w:rPr>
        <w:tab/>
      </w:r>
      <w:r>
        <w:rPr>
          <w:rFonts w:ascii="MS PGothic" w:cs="MS PGothic" w:eastAsia="MS PGothic" w:hAnsi="MS PGothic"/>
          <w:sz w:val="16"/>
          <w:szCs w:val="16"/>
          <w:color w:val="auto"/>
        </w:rPr>
        <w:t>☐</w:t>
      </w:r>
    </w:p>
    <w:p>
      <w:pPr>
        <w:spacing w:after="0" w:line="258" w:lineRule="exact"/>
        <w:rPr>
          <w:sz w:val="24"/>
          <w:szCs w:val="24"/>
          <w:color w:val="auto"/>
        </w:rPr>
      </w:pPr>
    </w:p>
    <w:p>
      <w:pPr>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532130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80"/>
          </w:cols>
          <w:pgMar w:left="320" w:top="989" w:right="499" w:bottom="1440" w:gutter="0" w:footer="0" w:header="0"/>
        </w:sectPr>
      </w:pPr>
    </w:p>
    <w:bookmarkStart w:id="1" w:name="page2"/>
    <w:bookmarkEnd w:id="1"/>
    <w:p>
      <w:pPr>
        <w:ind w:right="260"/>
        <w:spacing w:after="0" w:line="282" w:lineRule="auto"/>
        <w:rPr>
          <w:sz w:val="20"/>
          <w:szCs w:val="20"/>
          <w:color w:val="auto"/>
        </w:rPr>
      </w:pPr>
      <w:r>
        <w:rPr>
          <w:rFonts w:ascii="Arial" w:cs="Arial" w:eastAsia="Arial" w:hAnsi="Arial"/>
          <w:sz w:val="18"/>
          <w:szCs w:val="18"/>
          <w:b w:val="1"/>
          <w:bCs w:val="1"/>
          <w:color w:val="auto"/>
        </w:rPr>
        <w:t>Item 5.02. Departure of Directors or Certain Officers; Election of Directors; Appointment of Certain Officers; Compensatory Arrangements of Certain Officers</w:t>
      </w:r>
      <w:r>
        <w:rPr>
          <w:rFonts w:ascii="Arial" w:cs="Arial" w:eastAsia="Arial" w:hAnsi="Arial"/>
          <w:sz w:val="18"/>
          <w:szCs w:val="18"/>
          <w:color w:val="auto"/>
        </w:rPr>
        <w:t>.</w:t>
      </w:r>
    </w:p>
    <w:p>
      <w:pPr>
        <w:spacing w:after="0" w:line="193"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On July 20, 2021, the Board of Directors of Emergent BioSolutions, Inc. (the “Company”) approved a proposal made by the Chief Executive Officer to reorganize the responsibilities of members of the executive management team reporting to the Chief Executive Officer. In connection with that reorganization, Adam Havey’s role is expanded to Executive Vice President and Chief Operating Officer of the Company. This reorganization and Mr. Havey’s appointment as the Company’s principal operating officer are effective as of July 26, 2021.</w:t>
      </w:r>
    </w:p>
    <w:p>
      <w:pPr>
        <w:spacing w:after="0" w:line="214" w:lineRule="exact"/>
        <w:rPr>
          <w:sz w:val="20"/>
          <w:szCs w:val="20"/>
          <w:color w:val="auto"/>
        </w:rPr>
      </w:pPr>
    </w:p>
    <w:p>
      <w:pPr>
        <w:jc w:val="both"/>
        <w:ind w:firstLine="486"/>
        <w:spacing w:after="0" w:line="275" w:lineRule="auto"/>
        <w:rPr>
          <w:sz w:val="20"/>
          <w:szCs w:val="20"/>
          <w:color w:val="auto"/>
        </w:rPr>
      </w:pPr>
      <w:r>
        <w:rPr>
          <w:rFonts w:ascii="Arial" w:cs="Arial" w:eastAsia="Arial" w:hAnsi="Arial"/>
          <w:sz w:val="17"/>
          <w:szCs w:val="17"/>
          <w:color w:val="auto"/>
        </w:rPr>
        <w:t>Mr. Havey, 50, joined the Company in 2003 and has served as Executive Vice President, Business Operations since April 2017. He previously served as Executive Vice President and President, Biodefense Division from March 2011 to March 2017. Prior to that, Mr. Havey held various roles, including President of Emergent Biodefense Operations Lansing LLC from January 2009 to February 2011, Vice President of Business Operations from November 2007 to December 2008, and Senior Director of Manufacturing Development from June 2006 to November 2007. Prior to joining the Company, Mr. Havey served in product development for Eli Lilly. He received a B.S. degree in Chemical Engineering from Michigan State University.</w:t>
      </w: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w:t>
      </w:r>
    </w:p>
    <w:p>
      <w:pPr>
        <w:spacing w:after="0" w:line="310"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371" w:lineRule="exact"/>
        <w:rPr>
          <w:sz w:val="20"/>
          <w:szCs w:val="20"/>
          <w:color w:val="auto"/>
        </w:rPr>
      </w:pPr>
    </w:p>
    <w:p>
      <w:pPr>
        <w:ind w:left="5780"/>
        <w:spacing w:after="0"/>
        <w:rPr>
          <w:sz w:val="20"/>
          <w:szCs w:val="20"/>
          <w:color w:val="auto"/>
        </w:rPr>
      </w:pPr>
      <w:r>
        <w:rPr>
          <w:rFonts w:ascii="Arial" w:cs="Arial" w:eastAsia="Arial" w:hAnsi="Arial"/>
          <w:sz w:val="18"/>
          <w:szCs w:val="18"/>
          <w:b w:val="1"/>
          <w:bCs w:val="1"/>
          <w:color w:val="auto"/>
        </w:rPr>
        <w:t>EMERGENT BIOSOLUTIONS INC.</w:t>
      </w:r>
    </w:p>
    <w:p>
      <w:pPr>
        <w:spacing w:after="0" w:line="256" w:lineRule="exact"/>
        <w:rPr>
          <w:sz w:val="20"/>
          <w:szCs w:val="20"/>
          <w:color w:val="auto"/>
        </w:rPr>
      </w:pPr>
    </w:p>
    <w:p>
      <w:pPr>
        <w:ind w:left="520"/>
        <w:spacing w:after="0"/>
        <w:tabs>
          <w:tab w:leader="none" w:pos="5760" w:val="left"/>
          <w:tab w:leader="none" w:pos="6220" w:val="left"/>
        </w:tabs>
        <w:rPr>
          <w:sz w:val="20"/>
          <w:szCs w:val="20"/>
          <w:color w:val="auto"/>
        </w:rPr>
      </w:pPr>
      <w:r>
        <w:rPr>
          <w:rFonts w:ascii="Arial" w:cs="Arial" w:eastAsia="Arial" w:hAnsi="Arial"/>
          <w:sz w:val="18"/>
          <w:szCs w:val="18"/>
          <w:color w:val="auto"/>
        </w:rPr>
        <w:t>Dated: July 22, 2021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RICHARD S. LINDAHL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3956685</wp:posOffset>
            </wp:positionH>
            <wp:positionV relativeFrom="paragraph">
              <wp:posOffset>14605</wp:posOffset>
            </wp:positionV>
            <wp:extent cx="287210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872105" cy="8255"/>
                    </a:xfrm>
                    <a:prstGeom prst="rect">
                      <a:avLst/>
                    </a:prstGeom>
                    <a:noFill/>
                  </pic:spPr>
                </pic:pic>
              </a:graphicData>
            </a:graphic>
          </wp:anchor>
        </w:drawing>
      </w:r>
    </w:p>
    <w:p>
      <w:pPr>
        <w:spacing w:after="0" w:line="1" w:lineRule="exact"/>
        <w:rPr>
          <w:sz w:val="20"/>
          <w:szCs w:val="20"/>
          <w:color w:val="auto"/>
        </w:rPr>
      </w:pPr>
    </w:p>
    <w:p>
      <w:pPr>
        <w:ind w:left="6240"/>
        <w:spacing w:after="0"/>
        <w:rPr>
          <w:sz w:val="20"/>
          <w:szCs w:val="20"/>
          <w:color w:val="auto"/>
        </w:rPr>
      </w:pPr>
      <w:r>
        <w:rPr>
          <w:rFonts w:ascii="Arial" w:cs="Arial" w:eastAsia="Arial" w:hAnsi="Arial"/>
          <w:sz w:val="18"/>
          <w:szCs w:val="18"/>
          <w:color w:val="auto"/>
        </w:rPr>
        <w:t>Name: Richard S. Lindahl</w:t>
      </w:r>
    </w:p>
    <w:p>
      <w:pPr>
        <w:ind w:left="6240"/>
        <w:spacing w:after="0" w:line="203" w:lineRule="auto"/>
        <w:rPr>
          <w:sz w:val="20"/>
          <w:szCs w:val="20"/>
          <w:color w:val="auto"/>
        </w:rPr>
      </w:pPr>
      <w:r>
        <w:rPr>
          <w:rFonts w:ascii="Arial" w:cs="Arial" w:eastAsia="Arial" w:hAnsi="Arial"/>
          <w:sz w:val="18"/>
          <w:szCs w:val="18"/>
          <w:color w:val="auto"/>
        </w:rPr>
        <w:t>Title: Executive Vice President, Chief Financial</w:t>
      </w:r>
    </w:p>
    <w:p>
      <w:pPr>
        <w:ind w:left="6880"/>
        <w:spacing w:after="0"/>
        <w:rPr>
          <w:sz w:val="20"/>
          <w:szCs w:val="20"/>
          <w:color w:val="auto"/>
        </w:rPr>
      </w:pPr>
      <w:r>
        <w:rPr>
          <w:rFonts w:ascii="Arial" w:cs="Arial" w:eastAsia="Arial" w:hAnsi="Arial"/>
          <w:sz w:val="18"/>
          <w:szCs w:val="18"/>
          <w:color w:val="auto"/>
        </w:rPr>
        <w:t>Officer and Treasurer</w:t>
      </w:r>
    </w:p>
    <w:sectPr>
      <w:pgSz w:w="11900" w:h="16838" w:orient="portrait"/>
      <w:cols w:equalWidth="0" w:num="1">
        <w:col w:w="11240"/>
      </w:cols>
      <w:pgMar w:left="320" w:top="89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2021-07-22T15:52:56Z</dcterms:created>
  <dcterms:modified xsi:type="dcterms:W3CDTF">2021-07-22T15:52:56Z</dcterms:modified>
</cp:coreProperties>
</file>