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Date of Report (Date of earliest event reported): February 24, 2022</w:t>
      </w:r>
    </w:p>
    <w:p>
      <w:pPr>
        <w:spacing w:after="0" w:line="14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1508" w:type="dxa"/>
        <w:tblCellMar>
          <w:top w:w="0" w:type="dxa"/>
          <w:left w:w="0" w:type="dxa"/>
          <w:bottom w:w="0" w:type="dxa"/>
          <w:right w:w="0" w:type="dxa"/>
        </w:tblCellMar>
      </w:tblPr>
      <w:tr>
        <w:trPr>
          <w:trHeight w:val="157"/>
        </w:trPr>
        <w:tc>
          <w:tcPr>
            <w:tcW w:w="2360" w:type="dxa"/>
            <w:vAlign w:val="bottom"/>
          </w:tcPr>
          <w:p>
            <w:pPr>
              <w:jc w:val="center"/>
              <w:ind w:right="1060"/>
              <w:spacing w:after="0"/>
              <w:rPr>
                <w:sz w:val="20"/>
                <w:szCs w:val="20"/>
                <w:color w:val="auto"/>
              </w:rPr>
            </w:pPr>
            <w:r>
              <w:rPr>
                <w:rFonts w:ascii="Arial" w:cs="Arial" w:eastAsia="Arial" w:hAnsi="Arial"/>
                <w:sz w:val="12"/>
                <w:szCs w:val="12"/>
                <w:b w:val="1"/>
                <w:bCs w:val="1"/>
                <w:color w:val="auto"/>
                <w:w w:val="91"/>
              </w:rPr>
              <w:t>Delaware</w:t>
            </w:r>
          </w:p>
        </w:tc>
        <w:tc>
          <w:tcPr>
            <w:tcW w:w="3640" w:type="dxa"/>
            <w:vAlign w:val="bottom"/>
          </w:tcPr>
          <w:p>
            <w:pPr>
              <w:jc w:val="right"/>
              <w:ind w:right="1560"/>
              <w:spacing w:after="0"/>
              <w:rPr>
                <w:sz w:val="20"/>
                <w:szCs w:val="20"/>
                <w:color w:val="auto"/>
              </w:rPr>
            </w:pPr>
            <w:r>
              <w:rPr>
                <w:rFonts w:ascii="Arial" w:cs="Arial" w:eastAsia="Arial" w:hAnsi="Arial"/>
                <w:sz w:val="12"/>
                <w:szCs w:val="12"/>
                <w:b w:val="1"/>
                <w:bCs w:val="1"/>
                <w:color w:val="auto"/>
              </w:rPr>
              <w:t>001-33137</w:t>
            </w:r>
          </w:p>
        </w:tc>
        <w:tc>
          <w:tcPr>
            <w:tcW w:w="2100" w:type="dxa"/>
            <w:vAlign w:val="bottom"/>
          </w:tcPr>
          <w:p>
            <w:pPr>
              <w:jc w:val="center"/>
              <w:ind w:left="1140"/>
              <w:spacing w:after="0"/>
              <w:rPr>
                <w:sz w:val="20"/>
                <w:szCs w:val="20"/>
                <w:color w:val="auto"/>
              </w:rPr>
            </w:pPr>
            <w:r>
              <w:rPr>
                <w:rFonts w:ascii="Arial" w:cs="Arial" w:eastAsia="Arial" w:hAnsi="Arial"/>
                <w:sz w:val="12"/>
                <w:szCs w:val="12"/>
                <w:b w:val="1"/>
                <w:bCs w:val="1"/>
                <w:color w:val="auto"/>
                <w:w w:val="90"/>
              </w:rPr>
              <w:t>14-1902018</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2"/>
              </w:rPr>
              <w:t>(State or other jurisdiction</w:t>
            </w:r>
          </w:p>
        </w:tc>
        <w:tc>
          <w:tcPr>
            <w:tcW w:w="3640" w:type="dxa"/>
            <w:vAlign w:val="bottom"/>
          </w:tcPr>
          <w:p>
            <w:pPr>
              <w:jc w:val="center"/>
              <w:ind w:right="60"/>
              <w:spacing w:after="0"/>
              <w:rPr>
                <w:sz w:val="20"/>
                <w:szCs w:val="20"/>
                <w:color w:val="auto"/>
              </w:rPr>
            </w:pPr>
            <w:r>
              <w:rPr>
                <w:rFonts w:ascii="Arial" w:cs="Arial" w:eastAsia="Arial" w:hAnsi="Arial"/>
                <w:sz w:val="12"/>
                <w:szCs w:val="12"/>
                <w:color w:val="auto"/>
                <w:w w:val="92"/>
              </w:rPr>
              <w:t>(Commission File Number)</w:t>
            </w:r>
          </w:p>
        </w:tc>
        <w:tc>
          <w:tcPr>
            <w:tcW w:w="2100" w:type="dxa"/>
            <w:vAlign w:val="bottom"/>
          </w:tcPr>
          <w:p>
            <w:pPr>
              <w:jc w:val="center"/>
              <w:ind w:left="1120"/>
              <w:spacing w:after="0"/>
              <w:rPr>
                <w:sz w:val="20"/>
                <w:szCs w:val="20"/>
                <w:color w:val="auto"/>
              </w:rPr>
            </w:pPr>
            <w:r>
              <w:rPr>
                <w:rFonts w:ascii="Arial" w:cs="Arial" w:eastAsia="Arial" w:hAnsi="Arial"/>
                <w:sz w:val="12"/>
                <w:szCs w:val="12"/>
                <w:color w:val="auto"/>
                <w:w w:val="92"/>
              </w:rPr>
              <w:t>(IRS Employer</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4"/>
              </w:rPr>
              <w:t>of incorporation)</w:t>
            </w:r>
          </w:p>
        </w:tc>
        <w:tc>
          <w:tcPr>
            <w:tcW w:w="3640" w:type="dxa"/>
            <w:vAlign w:val="bottom"/>
          </w:tcPr>
          <w:p>
            <w:pPr>
              <w:spacing w:after="0"/>
              <w:rPr>
                <w:sz w:val="13"/>
                <w:szCs w:val="13"/>
                <w:color w:val="auto"/>
              </w:rPr>
            </w:pPr>
          </w:p>
        </w:tc>
        <w:tc>
          <w:tcPr>
            <w:tcW w:w="2100" w:type="dxa"/>
            <w:vAlign w:val="bottom"/>
          </w:tcPr>
          <w:p>
            <w:pPr>
              <w:jc w:val="center"/>
              <w:ind w:left="1140"/>
              <w:spacing w:after="0"/>
              <w:rPr>
                <w:sz w:val="20"/>
                <w:szCs w:val="20"/>
                <w:color w:val="auto"/>
              </w:rPr>
            </w:pPr>
            <w:r>
              <w:rPr>
                <w:rFonts w:ascii="Arial" w:cs="Arial" w:eastAsia="Arial" w:hAnsi="Arial"/>
                <w:sz w:val="12"/>
                <w:szCs w:val="12"/>
                <w:color w:val="auto"/>
                <w:w w:val="96"/>
              </w:rPr>
              <w:t>Identification No.)</w:t>
            </w:r>
          </w:p>
        </w:tc>
      </w:tr>
    </w:tbl>
    <w:p>
      <w:pPr>
        <w:spacing w:after="0" w:line="45" w:lineRule="exact"/>
        <w:rPr>
          <w:sz w:val="24"/>
          <w:szCs w:val="24"/>
          <w:color w:val="auto"/>
        </w:rPr>
      </w:pPr>
    </w:p>
    <w:p>
      <w:pPr>
        <w:ind w:left="464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146"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(Registrant’s telephone number, including area code)</w:t>
      </w:r>
    </w:p>
    <w:p>
      <w:pPr>
        <w:spacing w:after="0" w:line="155"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00" w:hanging="8"/>
        <w:spacing w:after="0" w:line="500" w:lineRule="auto"/>
        <w:tabs>
          <w:tab w:leader="none" w:pos="1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258" w:type="dxa"/>
        <w:tblCellMar>
          <w:top w:w="0" w:type="dxa"/>
          <w:left w:w="0" w:type="dxa"/>
          <w:bottom w:w="0" w:type="dxa"/>
          <w:right w:w="0" w:type="dxa"/>
        </w:tblCellMar>
      </w:tblPr>
      <w:tr>
        <w:trPr>
          <w:trHeight w:val="143"/>
        </w:trPr>
        <w:tc>
          <w:tcPr>
            <w:tcW w:w="4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 Par Value $0.001 per share</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bl>
    <w:p>
      <w:pPr>
        <w:spacing w:after="0" w:line="198"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06" w:right="3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2"/>
          <w:szCs w:val="12"/>
          <w:color w:val="auto"/>
        </w:rPr>
        <w:t>On February 24, 2022, Emergent BioSolutions Inc. (the “Company”) announced financial and operating results for the period ended December 31, 2021. The Company will also use presentation materials in connection with its fourth quarter conference call (“Earnings Call Slides”), which will be posted on the Company’s website at www.emergentbiosolutions.com. Copies of the press release and Earnings Call Slides are furnished as Exhibit 99.1 and Exhibit 99.2 to this Current Report on Form 8-K, respectively, and are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 contained in Item 2.02 of this Current Report on Form 8-K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82"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5322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5715"/>
                    </a:xfrm>
                    <a:prstGeom prst="rect">
                      <a:avLst/>
                    </a:prstGeom>
                    <a:noFill/>
                  </pic:spPr>
                </pic:pic>
              </a:graphicData>
            </a:graphic>
          </wp:anchor>
        </w:drawing>
      </w:r>
    </w:p>
    <w:p>
      <w:pPr>
        <w:sectPr>
          <w:pgSz w:w="11900" w:h="16838" w:orient="portrait"/>
          <w:cols w:equalWidth="0" w:num="1">
            <w:col w:w="11260"/>
          </w:cols>
          <w:pgMar w:left="300" w:top="640" w:right="3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99.1</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99.2</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Earnings press release issued by the Company on February 24, 2022.</w:t>
        </w:r>
      </w:hyperlink>
    </w:p>
    <w:p>
      <w:pPr>
        <w:spacing w:after="0" w:line="15" w:lineRule="exact"/>
        <w:rPr>
          <w:sz w:val="20"/>
          <w:szCs w:val="20"/>
          <w:color w:val="auto"/>
        </w:rPr>
      </w:pPr>
    </w:p>
    <w:p>
      <w:pPr>
        <w:spacing w:after="0"/>
        <w:rPr>
          <w:rFonts w:ascii="Arial" w:cs="Arial" w:eastAsia="Arial" w:hAnsi="Arial"/>
          <w:sz w:val="12"/>
          <w:szCs w:val="12"/>
          <w:u w:val="single" w:color="auto"/>
          <w:color w:val="0000FF"/>
        </w:rPr>
      </w:pPr>
      <w:hyperlink w:anchor="page21">
        <w:r>
          <w:rPr>
            <w:rFonts w:ascii="Arial" w:cs="Arial" w:eastAsia="Arial" w:hAnsi="Arial"/>
            <w:sz w:val="12"/>
            <w:szCs w:val="12"/>
            <w:u w:val="single" w:color="auto"/>
            <w:color w:val="0000FF"/>
          </w:rPr>
          <w:t>Earnings Call Slides, dated February 24, 2022.</w:t>
        </w:r>
      </w:hyperlink>
    </w:p>
    <w:p>
      <w:pPr>
        <w:spacing w:after="0" w:line="15" w:lineRule="exact"/>
        <w:rPr>
          <w:sz w:val="20"/>
          <w:szCs w:val="20"/>
          <w:color w:val="auto"/>
        </w:rPr>
      </w:pPr>
    </w:p>
    <w:p>
      <w:pPr>
        <w:ind w:right="1000"/>
        <w:spacing w:after="0" w:line="234" w:lineRule="auto"/>
        <w:rPr>
          <w:sz w:val="20"/>
          <w:szCs w:val="20"/>
          <w:color w:val="auto"/>
        </w:rPr>
      </w:pPr>
      <w:r>
        <w:rPr>
          <w:rFonts w:ascii="Arial" w:cs="Arial" w:eastAsia="Arial" w:hAnsi="Arial"/>
          <w:sz w:val="12"/>
          <w:szCs w:val="12"/>
          <w:color w:val="auto"/>
        </w:rPr>
        <w:t>Emergent BioSolutions Inc. Current Report on Form 8-K, dated February 24, 2022 formatted in XBRL (Extensible Business Reporting Language): Cover Page. The instance document does not appear in the Interactive Data File because its XBRL tags are embedded within the Inline XBRL document.</w:t>
      </w:r>
    </w:p>
    <w:p>
      <w:pPr>
        <w:spacing w:after="0" w:line="1" w:lineRule="exact"/>
        <w:rPr>
          <w:sz w:val="20"/>
          <w:szCs w:val="20"/>
          <w:color w:val="auto"/>
        </w:rPr>
      </w:pPr>
    </w:p>
    <w:p>
      <w:pPr>
        <w:sectPr>
          <w:pgSz w:w="11900" w:h="16838" w:orient="portrait"/>
          <w:cols w:equalWidth="0" w:num="2">
            <w:col w:w="1220" w:space="720"/>
            <w:col w:w="9320"/>
          </w:cols>
          <w:pgMar w:left="300" w:top="640" w:right="3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SIGNATURE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0" w:lineRule="exact"/>
        <w:rPr>
          <w:sz w:val="20"/>
          <w:szCs w:val="20"/>
          <w:color w:val="auto"/>
        </w:rPr>
      </w:pPr>
    </w:p>
    <w:p>
      <w:pPr>
        <w:ind w:left="5780"/>
        <w:spacing w:after="0"/>
        <w:rPr>
          <w:sz w:val="20"/>
          <w:szCs w:val="20"/>
          <w:color w:val="auto"/>
        </w:rPr>
      </w:pPr>
      <w:r>
        <w:rPr>
          <w:rFonts w:ascii="Arial" w:cs="Arial" w:eastAsia="Arial" w:hAnsi="Arial"/>
          <w:sz w:val="12"/>
          <w:szCs w:val="12"/>
          <w:b w:val="1"/>
          <w:bCs w:val="1"/>
          <w:color w:val="auto"/>
        </w:rPr>
        <w:t>EMERGENT BIOSOLUTIONS INC.</w:t>
      </w:r>
    </w:p>
    <w:p>
      <w:pPr>
        <w:spacing w:after="0" w:line="172" w:lineRule="exact"/>
        <w:rPr>
          <w:sz w:val="20"/>
          <w:szCs w:val="20"/>
          <w:color w:val="auto"/>
        </w:rPr>
      </w:pPr>
    </w:p>
    <w:p>
      <w:pPr>
        <w:ind w:left="500"/>
        <w:spacing w:after="0"/>
        <w:tabs>
          <w:tab w:leader="none" w:pos="5760" w:val="left"/>
          <w:tab w:leader="none" w:pos="6240" w:val="left"/>
        </w:tabs>
        <w:rPr>
          <w:sz w:val="20"/>
          <w:szCs w:val="20"/>
          <w:color w:val="auto"/>
        </w:rPr>
      </w:pPr>
      <w:r>
        <w:rPr>
          <w:rFonts w:ascii="Arial" w:cs="Arial" w:eastAsia="Arial" w:hAnsi="Arial"/>
          <w:sz w:val="12"/>
          <w:szCs w:val="12"/>
          <w:color w:val="auto"/>
        </w:rPr>
        <w:t>Dated: February 24,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9525</wp:posOffset>
            </wp:positionV>
            <wp:extent cx="28860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6075" cy="571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2"/>
          <w:szCs w:val="12"/>
          <w:color w:val="auto"/>
        </w:rPr>
        <w:t>Name: Richard S. Lindahl</w:t>
      </w:r>
    </w:p>
    <w:p>
      <w:pPr>
        <w:ind w:left="6260"/>
        <w:spacing w:after="0" w:line="203" w:lineRule="auto"/>
        <w:rPr>
          <w:sz w:val="20"/>
          <w:szCs w:val="20"/>
          <w:color w:val="auto"/>
        </w:rPr>
      </w:pPr>
      <w:r>
        <w:rPr>
          <w:rFonts w:ascii="Arial" w:cs="Arial" w:eastAsia="Arial" w:hAnsi="Arial"/>
          <w:sz w:val="12"/>
          <w:szCs w:val="12"/>
          <w:color w:val="auto"/>
        </w:rPr>
        <w:t>Title: Executive Vice President, Chief Financial</w:t>
      </w:r>
    </w:p>
    <w:p>
      <w:pPr>
        <w:ind w:left="6680"/>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11260"/>
          </w:cols>
          <w:pgMar w:left="300" w:top="6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311785</wp:posOffset>
            </wp:positionV>
            <wp:extent cx="731520" cy="9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EMERGENT BIOSOLUTIONS REPORTS FINANCIAL RESULTS FOR FOURTH QUARTER 2021</w:t>
      </w:r>
    </w:p>
    <w:p>
      <w:pPr>
        <w:spacing w:after="0" w:line="172" w:lineRule="exact"/>
        <w:rPr>
          <w:sz w:val="20"/>
          <w:szCs w:val="20"/>
          <w:color w:val="auto"/>
        </w:rPr>
      </w:pPr>
    </w:p>
    <w:p>
      <w:pPr>
        <w:ind w:left="420" w:right="40" w:hanging="212"/>
        <w:spacing w:after="0" w:line="268" w:lineRule="auto"/>
        <w:tabs>
          <w:tab w:leader="none" w:pos="38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Reports Q4 2021 total revenues of $723M and Adjusted EBITDA of $348M resulting in FY 2021 total revenues of $1,793M and Adjusted EBITDA of $518M, in line with prior guidance</w:t>
      </w:r>
    </w:p>
    <w:p>
      <w:pPr>
        <w:ind w:left="380" w:hanging="172"/>
        <w:spacing w:after="0"/>
        <w:tabs>
          <w:tab w:leader="none" w:pos="38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Updates full year 2022 guidance; provides guidance on Q1 2022 total revenues</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GAITHERSBURG, Md., February 24, 2022</w:t>
      </w:r>
      <w:r>
        <w:rPr>
          <w:rFonts w:ascii="Arial" w:cs="Arial" w:eastAsia="Arial" w:hAnsi="Arial"/>
          <w:sz w:val="12"/>
          <w:szCs w:val="12"/>
          <w:color w:val="auto"/>
        </w:rPr>
        <w:t>—Emergent BioSolutions Inc. (NYSE: EBS) today reported financial results for the fourth quarter and year ended December 31, 2021.</w:t>
      </w:r>
    </w:p>
    <w:p>
      <w:pPr>
        <w:spacing w:after="0" w:line="164" w:lineRule="exact"/>
        <w:rPr>
          <w:sz w:val="20"/>
          <w:szCs w:val="20"/>
          <w:color w:val="auto"/>
        </w:rPr>
      </w:pPr>
    </w:p>
    <w:p>
      <w:pPr>
        <w:ind w:right="20"/>
        <w:spacing w:after="0" w:line="229" w:lineRule="auto"/>
        <w:rPr>
          <w:sz w:val="20"/>
          <w:szCs w:val="20"/>
          <w:color w:val="auto"/>
        </w:rPr>
      </w:pPr>
      <w:r>
        <w:rPr>
          <w:rFonts w:ascii="Arial" w:cs="Arial" w:eastAsia="Arial" w:hAnsi="Arial"/>
          <w:sz w:val="12"/>
          <w:szCs w:val="12"/>
          <w:color w:val="auto"/>
        </w:rPr>
        <w:t>"Emergent’s performance in 2021 is a testament to our strategic focus and highly capable team," said Robert G. Kramer, president and CEO of Emergent BioSolutions. "Looking forward, I am encouraged by the stability and durability of our diversified business lines and exciting R&amp;D portfolio, supported by our improved operational structure that better aligns us with patients and customers, and more effectively positions us for success."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HIGHLIGHTS (1)</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Q4 2021 vs. Q4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83755" cy="93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755" cy="93154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60" w:type="dxa"/>
            <w:vAlign w:val="bottom"/>
            <w:gridSpan w:val="2"/>
            <w:shd w:val="clear" w:color="auto" w:fill="B14A32"/>
          </w:tcPr>
          <w:p>
            <w:pPr>
              <w:ind w:left="20"/>
              <w:spacing w:after="0"/>
              <w:rPr>
                <w:sz w:val="20"/>
                <w:szCs w:val="20"/>
                <w:color w:val="auto"/>
              </w:rPr>
            </w:pPr>
            <w:r>
              <w:rPr>
                <w:rFonts w:ascii="Arial" w:cs="Arial" w:eastAsia="Arial" w:hAnsi="Arial"/>
                <w:sz w:val="12"/>
                <w:szCs w:val="12"/>
                <w:color w:val="FFFFFF"/>
              </w:rPr>
              <w:t>($ in millions, except per share amounts)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2021</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2020</w:t>
            </w:r>
          </w:p>
        </w:tc>
        <w:tc>
          <w:tcPr>
            <w:tcW w:w="2160" w:type="dxa"/>
            <w:vAlign w:val="bottom"/>
            <w:shd w:val="clear" w:color="auto" w:fill="B14A32"/>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$723.2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$583.0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24%</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Net Income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$189.3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$185.4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2%</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Net Income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$3.50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$3.44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2%</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$243.4</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$198.8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22%</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r>
              <w:rPr>
                <w:rFonts w:ascii="Arial" w:cs="Arial" w:eastAsia="Arial" w:hAnsi="Arial"/>
                <w:sz w:val="12"/>
                <w:szCs w:val="12"/>
                <w:color w:val="auto"/>
              </w:rPr>
              <w:t xml:space="preserv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$4.50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$3.67</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23%</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$347.9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$290.9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20%</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Gross Margin %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69%</w:t>
            </w:r>
          </w:p>
        </w:tc>
        <w:tc>
          <w:tcPr>
            <w:tcW w:w="2160" w:type="dxa"/>
            <w:vAlign w:val="bottom"/>
            <w:shd w:val="clear" w:color="auto" w:fill="CCCCCC"/>
          </w:tcPr>
          <w:p>
            <w:pPr>
              <w:spacing w:after="0"/>
              <w:rPr>
                <w:sz w:val="14"/>
                <w:szCs w:val="14"/>
                <w:color w:val="auto"/>
              </w:rPr>
            </w:pP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Gross Margin %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69%</w:t>
            </w:r>
          </w:p>
        </w:tc>
        <w:tc>
          <w:tcPr>
            <w:tcW w:w="2160" w:type="dxa"/>
            <w:vAlign w:val="bottom"/>
            <w:shd w:val="clear" w:color="auto" w:fill="CCCCCC"/>
          </w:tcPr>
          <w:p>
            <w:pPr>
              <w:spacing w:after="0"/>
              <w:rPr>
                <w:sz w:val="14"/>
                <w:szCs w:val="14"/>
                <w:color w:val="auto"/>
              </w:rPr>
            </w:pPr>
          </w:p>
        </w:tc>
      </w:tr>
      <w:tr>
        <w:trPr>
          <w:trHeight w:val="351"/>
        </w:trPr>
        <w:tc>
          <w:tcPr>
            <w:tcW w:w="4860" w:type="dxa"/>
            <w:vAlign w:val="bottom"/>
            <w:gridSpan w:val="2"/>
          </w:tcPr>
          <w:p>
            <w:pPr>
              <w:spacing w:after="0"/>
              <w:rPr>
                <w:sz w:val="20"/>
                <w:szCs w:val="20"/>
                <w:color w:val="auto"/>
              </w:rPr>
            </w:pPr>
            <w:r>
              <w:rPr>
                <w:rFonts w:ascii="Arial" w:cs="Arial" w:eastAsia="Arial" w:hAnsi="Arial"/>
                <w:sz w:val="12"/>
                <w:szCs w:val="12"/>
                <w:b w:val="1"/>
                <w:bCs w:val="1"/>
                <w:color w:val="auto"/>
              </w:rPr>
              <w:t>Full Year 2021 vs. Full Year 2020</w:t>
            </w: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8"/>
        </w:trPr>
        <w:tc>
          <w:tcPr>
            <w:tcW w:w="1820" w:type="dxa"/>
            <w:vAlign w:val="bottom"/>
            <w:shd w:val="clear" w:color="auto" w:fill="000000"/>
          </w:tcPr>
          <w:p>
            <w:pPr>
              <w:spacing w:after="0"/>
              <w:rPr>
                <w:sz w:val="2"/>
                <w:szCs w:val="2"/>
                <w:color w:val="auto"/>
              </w:rPr>
            </w:pPr>
          </w:p>
        </w:tc>
        <w:tc>
          <w:tcPr>
            <w:tcW w:w="30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0"/>
        </w:trPr>
        <w:tc>
          <w:tcPr>
            <w:tcW w:w="4860" w:type="dxa"/>
            <w:vAlign w:val="bottom"/>
            <w:gridSpan w:val="2"/>
            <w:shd w:val="clear" w:color="auto" w:fill="B14A32"/>
          </w:tcPr>
          <w:p>
            <w:pPr>
              <w:ind w:left="20"/>
              <w:spacing w:after="0"/>
              <w:rPr>
                <w:sz w:val="20"/>
                <w:szCs w:val="20"/>
                <w:color w:val="auto"/>
              </w:rPr>
            </w:pPr>
            <w:r>
              <w:rPr>
                <w:rFonts w:ascii="Arial" w:cs="Arial" w:eastAsia="Arial" w:hAnsi="Arial"/>
                <w:sz w:val="12"/>
                <w:szCs w:val="12"/>
                <w:color w:val="FFFFFF"/>
              </w:rPr>
              <w:t>($ in millions, except per share amounts)</w:t>
            </w:r>
          </w:p>
        </w:tc>
        <w:tc>
          <w:tcPr>
            <w:tcW w:w="2140" w:type="dxa"/>
            <w:vAlign w:val="bottom"/>
            <w:shd w:val="clear" w:color="auto" w:fill="B14A32"/>
          </w:tcPr>
          <w:p>
            <w:pPr>
              <w:ind w:left="680"/>
              <w:spacing w:after="0"/>
              <w:rPr>
                <w:sz w:val="20"/>
                <w:szCs w:val="20"/>
                <w:color w:val="auto"/>
              </w:rPr>
            </w:pPr>
            <w:r>
              <w:rPr>
                <w:rFonts w:ascii="Arial" w:cs="Arial" w:eastAsia="Arial" w:hAnsi="Arial"/>
                <w:sz w:val="12"/>
                <w:szCs w:val="12"/>
                <w:b w:val="1"/>
                <w:bCs w:val="1"/>
                <w:color w:val="FFFFFF"/>
              </w:rPr>
              <w:t>Full Year 2021</w:t>
            </w:r>
          </w:p>
        </w:tc>
        <w:tc>
          <w:tcPr>
            <w:tcW w:w="2140" w:type="dxa"/>
            <w:vAlign w:val="bottom"/>
            <w:shd w:val="clear" w:color="auto" w:fill="B14A32"/>
          </w:tcPr>
          <w:p>
            <w:pPr>
              <w:ind w:left="680"/>
              <w:spacing w:after="0"/>
              <w:rPr>
                <w:sz w:val="20"/>
                <w:szCs w:val="20"/>
                <w:color w:val="auto"/>
              </w:rPr>
            </w:pPr>
            <w:r>
              <w:rPr>
                <w:rFonts w:ascii="Arial" w:cs="Arial" w:eastAsia="Arial" w:hAnsi="Arial"/>
                <w:sz w:val="12"/>
                <w:szCs w:val="12"/>
                <w:b w:val="1"/>
                <w:bCs w:val="1"/>
                <w:color w:val="FFFFFF"/>
              </w:rPr>
              <w:t>Full Year 2020</w:t>
            </w:r>
          </w:p>
        </w:tc>
        <w:tc>
          <w:tcPr>
            <w:tcW w:w="2160" w:type="dxa"/>
            <w:vAlign w:val="bottom"/>
            <w:shd w:val="clear" w:color="auto" w:fill="B14A32"/>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$1,792.7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$1,555.4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Net Income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$230.9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$305.1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(24)%</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Net Income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$4.27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$5.67</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(25)%</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$325.7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$423.9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(23)%</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r>
              <w:rPr>
                <w:rFonts w:ascii="Arial" w:cs="Arial" w:eastAsia="Arial" w:hAnsi="Arial"/>
                <w:sz w:val="12"/>
                <w:szCs w:val="12"/>
                <w:color w:val="auto"/>
              </w:rPr>
              <w:t xml:space="preserv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$6.02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$7.88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(24)%</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$517.6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$630.4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(18)%</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Gross Margin %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54%</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64%</w:t>
            </w:r>
          </w:p>
        </w:tc>
        <w:tc>
          <w:tcPr>
            <w:tcW w:w="2160" w:type="dxa"/>
            <w:vAlign w:val="bottom"/>
            <w:shd w:val="clear" w:color="auto" w:fill="CCCCCC"/>
          </w:tcPr>
          <w:p>
            <w:pPr>
              <w:spacing w:after="0"/>
              <w:rPr>
                <w:sz w:val="14"/>
                <w:szCs w:val="14"/>
                <w:color w:val="auto"/>
              </w:rPr>
            </w:pP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xml:space="preserve">Adjusted Gross Margin %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67%</w:t>
            </w:r>
          </w:p>
        </w:tc>
        <w:tc>
          <w:tcPr>
            <w:tcW w:w="2160" w:type="dxa"/>
            <w:vAlign w:val="bottom"/>
            <w:shd w:val="clear" w:color="auto" w:fill="CCCCC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-925195</wp:posOffset>
            </wp:positionV>
            <wp:extent cx="7183755" cy="931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755" cy="9315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 Q4 2021 AND OTHER RECENT BUSINESS UPDATES</w:t>
      </w:r>
    </w:p>
    <w:p>
      <w:pPr>
        <w:spacing w:after="0" w:line="165" w:lineRule="exact"/>
        <w:rPr>
          <w:sz w:val="20"/>
          <w:szCs w:val="20"/>
          <w:color w:val="auto"/>
        </w:rPr>
      </w:pPr>
    </w:p>
    <w:p>
      <w:pPr>
        <w:ind w:left="420" w:right="40" w:hanging="212"/>
        <w:spacing w:after="0" w:line="219" w:lineRule="auto"/>
        <w:tabs>
          <w:tab w:leader="none" w:pos="39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Announced a supply agreement with Sandoz for them to distribute an authorized generic of NARCAN® (naloxone HCl) Nasal Spray 4 mg, which is available in the U.S. via retail pharmacies and institutions, including hospitals</w:t>
      </w:r>
    </w:p>
    <w:p>
      <w:pPr>
        <w:ind w:left="420" w:right="780" w:hanging="212"/>
        <w:spacing w:after="0" w:line="219" w:lineRule="auto"/>
        <w:tabs>
          <w:tab w:leader="none" w:pos="39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Initiated the rolling submission to the U.S. Food and Drug Administration (FDA) of the Biologics License Application (BLA) for AV7909 (Anthrax Vaccine Adsorbed, Adjuvanted), the Company’s investigational anthrax vaccine candidate</w:t>
      </w:r>
    </w:p>
    <w:p>
      <w:pPr>
        <w:ind w:left="400" w:hanging="192"/>
        <w:spacing w:after="0" w:line="219" w:lineRule="auto"/>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Initiated a pivotal Phase 3 safety and immunogenicity study to evaluate CHIKV VLP, the Company's single-dose chikungunya virus virus-like particle (VLP) vaccine candidate</w:t>
      </w:r>
    </w:p>
    <w:p>
      <w:pPr>
        <w:ind w:left="420" w:right="200" w:hanging="212"/>
        <w:spacing w:after="0" w:line="235" w:lineRule="auto"/>
        <w:tabs>
          <w:tab w:leader="none" w:pos="39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Initiated a Phase 1 safety, tolerability, and immunogenicity study to evaluate UniFlu, the Company’s universal influenza vaccine candidate comprised of multiple components intended to induce broad and supra-seasonal immunity against influenza A viruses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18</w:t>
      </w:r>
    </w:p>
    <w:p>
      <w:pPr>
        <w:sectPr>
          <w:pgSz w:w="11900" w:h="16838" w:orient="portrait"/>
          <w:cols w:equalWidth="0" w:num="1">
            <w:col w:w="11300"/>
          </w:cols>
          <w:pgMar w:left="300" w:top="990" w:right="299" w:bottom="1440" w:gutter="0" w:footer="0" w:header="0"/>
        </w:sectPr>
      </w:pPr>
    </w:p>
    <w:bookmarkStart w:id="3" w:name="page4"/>
    <w:bookmarkEnd w:id="3"/>
    <w:p>
      <w:pPr>
        <w:ind w:left="420" w:right="200" w:hanging="212"/>
        <w:spacing w:after="0" w:line="219" w:lineRule="auto"/>
        <w:tabs>
          <w:tab w:leader="none" w:pos="390" w:val="left"/>
        </w:tabs>
        <w:numPr>
          <w:ilvl w:val="0"/>
          <w:numId w:val="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Announced the Company’s Board of Directors authorization to management to repurchase up to $250 million of the Company’s common stock through November 11, 2022; as of December 31, 2021, the Company repurchased approximately 2.6 million shares for $112.6 million, an average price per share of $42.67</w:t>
      </w: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Announced the retirement of the Company's founder and executive chairman, Fuad El-Hibri, effective April 1, 2022</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Q4 2021 FINANCIAL PERFORMANCE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83755" cy="1445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755" cy="144589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gridSpan w:val="2"/>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2021</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2020</w:t>
            </w:r>
          </w:p>
        </w:tc>
        <w:tc>
          <w:tcPr>
            <w:tcW w:w="20" w:type="dxa"/>
            <w:vAlign w:val="bottom"/>
            <w:shd w:val="clear" w:color="auto" w:fill="B14A32"/>
          </w:tcPr>
          <w:p>
            <w:pPr>
              <w:spacing w:after="0"/>
              <w:rPr>
                <w:sz w:val="12"/>
                <w:szCs w:val="12"/>
                <w:color w:val="auto"/>
              </w:rPr>
            </w:pPr>
          </w:p>
        </w:tc>
        <w:tc>
          <w:tcPr>
            <w:tcW w:w="2140" w:type="dxa"/>
            <w:vAlign w:val="bottom"/>
            <w:shd w:val="clear" w:color="auto" w:fill="B14A32"/>
          </w:tcPr>
          <w:p>
            <w:pPr>
              <w:ind w:left="78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Product sales, net (3):</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shd w:val="clear" w:color="auto" w:fill="CCCCCC"/>
          </w:tcPr>
          <w:p>
            <w:pPr>
              <w:ind w:left="80"/>
              <w:spacing w:after="0"/>
              <w:rPr>
                <w:sz w:val="20"/>
                <w:szCs w:val="20"/>
                <w:color w:val="auto"/>
              </w:rPr>
            </w:pPr>
            <w:r>
              <w:rPr>
                <w:rFonts w:ascii="Arial" w:cs="Arial" w:eastAsia="Arial" w:hAnsi="Arial"/>
                <w:sz w:val="12"/>
                <w:szCs w:val="12"/>
                <w:color w:val="auto"/>
              </w:rPr>
              <w:t>Anthrax vaccines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$137.7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$115.7</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19%</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shd w:val="clear" w:color="auto" w:fill="CCCCCC"/>
          </w:tcPr>
          <w:p>
            <w:pPr>
              <w:ind w:left="80"/>
              <w:spacing w:after="0"/>
              <w:rPr>
                <w:sz w:val="20"/>
                <w:szCs w:val="20"/>
                <w:color w:val="auto"/>
              </w:rPr>
            </w:pPr>
            <w:r>
              <w:rPr>
                <w:rFonts w:ascii="Arial" w:cs="Arial" w:eastAsia="Arial" w:hAnsi="Arial"/>
                <w:sz w:val="12"/>
                <w:szCs w:val="12"/>
                <w:color w:val="auto"/>
              </w:rPr>
              <w:t>ACAM2000®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$125.8</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$129.3</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(3)%</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shd w:val="clear" w:color="auto" w:fill="CCCCCC"/>
          </w:tcPr>
          <w:p>
            <w:pPr>
              <w:ind w:left="80"/>
              <w:spacing w:after="0"/>
              <w:rPr>
                <w:sz w:val="20"/>
                <w:szCs w:val="20"/>
                <w:color w:val="auto"/>
              </w:rPr>
            </w:pPr>
            <w:r>
              <w:rPr>
                <w:rFonts w:ascii="Arial" w:cs="Arial" w:eastAsia="Arial" w:hAnsi="Arial"/>
                <w:sz w:val="12"/>
                <w:szCs w:val="12"/>
                <w:color w:val="auto"/>
              </w:rPr>
              <w:t>Nasal naloxone products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$120.6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$77.4</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56%</w:t>
            </w:r>
          </w:p>
        </w:tc>
      </w:tr>
      <w:tr>
        <w:trPr>
          <w:trHeight w:val="162"/>
        </w:trPr>
        <w:tc>
          <w:tcPr>
            <w:tcW w:w="3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tcBorders>
              <w:bottom w:val="single" w:sz="8" w:color="CCCCCC"/>
            </w:tcBorders>
            <w:shd w:val="clear" w:color="auto" w:fill="CCCCCC"/>
          </w:tcPr>
          <w:p>
            <w:pPr>
              <w:ind w:left="80"/>
              <w:spacing w:after="0"/>
              <w:rPr>
                <w:sz w:val="20"/>
                <w:szCs w:val="20"/>
                <w:color w:val="auto"/>
              </w:rPr>
            </w:pPr>
            <w:r>
              <w:rPr>
                <w:rFonts w:ascii="Arial" w:cs="Arial" w:eastAsia="Arial" w:hAnsi="Arial"/>
                <w:sz w:val="12"/>
                <w:szCs w:val="12"/>
                <w:color w:val="auto"/>
              </w:rPr>
              <w:t>Other (4)</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$50.2</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$18.5</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4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product sales, net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$434.3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$340.9</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27%</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Contract development and manufacturing (CDMO):</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shd w:val="clear" w:color="auto" w:fill="CCCCCC"/>
          </w:tcPr>
          <w:p>
            <w:pPr>
              <w:ind w:left="80"/>
              <w:spacing w:after="0"/>
              <w:rPr>
                <w:sz w:val="20"/>
                <w:szCs w:val="20"/>
                <w:color w:val="auto"/>
              </w:rPr>
            </w:pPr>
            <w:r>
              <w:rPr>
                <w:rFonts w:ascii="Arial" w:cs="Arial" w:eastAsia="Arial" w:hAnsi="Arial"/>
                <w:sz w:val="12"/>
                <w:szCs w:val="12"/>
                <w:color w:val="auto"/>
              </w:rPr>
              <w:t>Services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$51.2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$64.0</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(20)%</w:t>
            </w:r>
          </w:p>
        </w:tc>
      </w:tr>
      <w:tr>
        <w:trPr>
          <w:trHeight w:val="162"/>
        </w:trPr>
        <w:tc>
          <w:tcPr>
            <w:tcW w:w="3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tcBorders>
              <w:bottom w:val="single" w:sz="8" w:color="CCCCCC"/>
            </w:tcBorders>
            <w:shd w:val="clear" w:color="auto" w:fill="CCCCCC"/>
          </w:tcPr>
          <w:p>
            <w:pPr>
              <w:ind w:left="80"/>
              <w:spacing w:after="0"/>
              <w:rPr>
                <w:sz w:val="20"/>
                <w:szCs w:val="20"/>
                <w:color w:val="auto"/>
              </w:rPr>
            </w:pPr>
            <w:r>
              <w:rPr>
                <w:rFonts w:ascii="Arial" w:cs="Arial" w:eastAsia="Arial" w:hAnsi="Arial"/>
                <w:sz w:val="12"/>
                <w:szCs w:val="12"/>
                <w:color w:val="auto"/>
              </w:rPr>
              <w:t>Leases</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$167.1</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$135.1</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w w:val="99"/>
              </w:rPr>
              <w:t>24%</w:t>
            </w:r>
          </w:p>
        </w:tc>
      </w:tr>
      <w:tr>
        <w:trPr>
          <w:trHeight w:val="14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CDMO</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$218.3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$199.1</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10%</w:t>
            </w:r>
          </w:p>
        </w:tc>
      </w:tr>
      <w:tr>
        <w:trPr>
          <w:trHeight w:val="162"/>
        </w:trPr>
        <w:tc>
          <w:tcPr>
            <w:tcW w:w="4860" w:type="dxa"/>
            <w:vAlign w:val="bottom"/>
            <w:tcBorders>
              <w:bottom w:val="single" w:sz="8" w:color="CCCCCC"/>
            </w:tcBorders>
            <w:gridSpan w:val="2"/>
            <w:shd w:val="clear" w:color="auto" w:fill="CCCCCC"/>
          </w:tcPr>
          <w:p>
            <w:pPr>
              <w:ind w:left="20"/>
              <w:spacing w:after="0"/>
              <w:rPr>
                <w:sz w:val="20"/>
                <w:szCs w:val="20"/>
                <w:color w:val="auto"/>
              </w:rPr>
            </w:pPr>
            <w:r>
              <w:rPr>
                <w:rFonts w:ascii="Arial" w:cs="Arial" w:eastAsia="Arial" w:hAnsi="Arial"/>
                <w:sz w:val="12"/>
                <w:szCs w:val="12"/>
                <w:color w:val="auto"/>
              </w:rPr>
              <w:t>Contracts and grants</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$70.6</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$43.0</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w w:val="99"/>
              </w:rPr>
              <w:t>64%</w:t>
            </w:r>
          </w:p>
        </w:tc>
      </w:tr>
      <w:tr>
        <w:trPr>
          <w:trHeight w:val="14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$723.2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$583.0</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24%</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i w:val="1"/>
                <w:iCs w:val="1"/>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Sales, net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Anthrax vaccines</w:t>
      </w:r>
    </w:p>
    <w:p>
      <w:pPr>
        <w:spacing w:after="0" w:line="6" w:lineRule="exact"/>
        <w:rPr>
          <w:sz w:val="20"/>
          <w:szCs w:val="20"/>
          <w:color w:val="auto"/>
        </w:rPr>
      </w:pPr>
    </w:p>
    <w:p>
      <w:pPr>
        <w:jc w:val="both"/>
        <w:ind w:right="80"/>
        <w:spacing w:after="0" w:line="256" w:lineRule="auto"/>
        <w:rPr>
          <w:sz w:val="20"/>
          <w:szCs w:val="20"/>
          <w:color w:val="auto"/>
        </w:rPr>
      </w:pPr>
      <w:r>
        <w:rPr>
          <w:rFonts w:ascii="Arial" w:cs="Arial" w:eastAsia="Arial" w:hAnsi="Arial"/>
          <w:sz w:val="12"/>
          <w:szCs w:val="12"/>
          <w:color w:val="auto"/>
        </w:rPr>
        <w:t>For Q4 2021, revenues from anthrax vaccines increased $22.0 million as compared to Q4 2020. The increase is largely driven by an increase in deliveries of AV7909 to the U.S. government (USG), specifically the Strategic National Stockpile (SNS). The Company received an AV7909 contract modification in September 2021 and began delivering additional doses of AV7909 under that modification, which covers a period of 18 months and is valued at approximately $399 million.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ACAM2000</w:t>
      </w:r>
    </w:p>
    <w:p>
      <w:pPr>
        <w:spacing w:after="0" w:line="18"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For Q4 2021, revenues from ACAM2000® (Smallpox (Vaccinia) Vaccine, Live) decreased $3.5 million as compared to Q4 2020. The decrease is largely driven by the timing of deliveries to the USG. The revenues recognized in Q4 2021 reflect delivery of doses into the SNS resulting from the July 2021 exercise by the USG of the second of nine annual contract term extension options pursuant to the Company's 10-year supply agreement with the USG. This latest option is valued at approximately $182 million.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Nasal naloxone products</w:t>
      </w:r>
    </w:p>
    <w:p>
      <w:pPr>
        <w:spacing w:after="0" w:line="18"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For Q4 2021, revenues from nasal naloxone products increased $43.2 million as compared to Q4 2020. The increase is driven by continued demand for NARCAN® (naloxone HCI) Nasal Spray across customer channels in the U.S. and Canada. The increase also reflects the impact of revenues related to the authorized generic of NARCAN® (naloxone HCI) Nasal Spray 4mg, a product licensed to Sandoz and launched in late 2021 and one in which the Company retains a financial interest.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Other (4)</w:t>
      </w:r>
    </w:p>
    <w:p>
      <w:pPr>
        <w:spacing w:after="0" w:line="18"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For Q4 2021, revenues from other product sales increased $31.7 million as compared to Q4 2020. The increase is largely due to sales of VIGIV [Vaccinia Immune Globulin Intravenous (Human)], driven by timing of deliveries to the USG and based on the June 2021 exercise by the USG of the second of nine annual contract term extension options pursuant to the Company's 10-year supply agreement with the USG. This latest option is valued at approximately $56 million.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 of 18</w:t>
      </w:r>
    </w:p>
    <w:p>
      <w:pPr>
        <w:sectPr>
          <w:pgSz w:w="11900" w:h="16838" w:orient="portrait"/>
          <w:cols w:equalWidth="0" w:num="1">
            <w:col w:w="11300"/>
          </w:cols>
          <w:pgMar w:left="300" w:top="994"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Contract Development and Manufacturing (CDMO)</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CDMO Services</w:t>
      </w:r>
    </w:p>
    <w:p>
      <w:pPr>
        <w:ind w:right="40"/>
        <w:spacing w:after="0" w:line="229" w:lineRule="auto"/>
        <w:rPr>
          <w:sz w:val="20"/>
          <w:szCs w:val="20"/>
          <w:color w:val="auto"/>
        </w:rPr>
      </w:pPr>
      <w:r>
        <w:rPr>
          <w:rFonts w:ascii="Arial" w:cs="Arial" w:eastAsia="Arial" w:hAnsi="Arial"/>
          <w:sz w:val="12"/>
          <w:szCs w:val="12"/>
          <w:color w:val="auto"/>
        </w:rPr>
        <w:t>For Q4 2021, revenue from contract development and manufacturing services decreased $12.8 million as compared to Q4 2020. This decrease is largely due to the discontinuation of manufacturing activities related to the Company's arrangement with AstraZeneca as was previously announced in the second quarter of 2021. Additionally, there was less activity as compared to Q4 2020 due to routine maintenance in the Company's manufacturing network.</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CDMO Leases</w:t>
      </w:r>
    </w:p>
    <w:p>
      <w:pPr>
        <w:spacing w:after="0" w:line="9" w:lineRule="exact"/>
        <w:rPr>
          <w:sz w:val="20"/>
          <w:szCs w:val="20"/>
          <w:color w:val="auto"/>
        </w:rPr>
      </w:pPr>
    </w:p>
    <w:p>
      <w:pPr>
        <w:ind w:right="20"/>
        <w:spacing w:after="0" w:line="227" w:lineRule="auto"/>
        <w:rPr>
          <w:sz w:val="20"/>
          <w:szCs w:val="20"/>
          <w:color w:val="auto"/>
        </w:rPr>
      </w:pPr>
      <w:r>
        <w:rPr>
          <w:rFonts w:ascii="Arial" w:cs="Arial" w:eastAsia="Arial" w:hAnsi="Arial"/>
          <w:sz w:val="12"/>
          <w:szCs w:val="12"/>
          <w:color w:val="auto"/>
        </w:rPr>
        <w:t>For Q4 2021, revenue from contract development and manufacturing leases increased $32.0 million as compared to Q4 2020. This increase is largely due to the timing of $155.7 million in final cash collections associated with the Center for Innovation in Advanced Development and Manufacturing (CIADM) public-private partnership with the Bio</w:t>
      </w:r>
      <w:r>
        <w:rPr>
          <w:rFonts w:ascii="Arial" w:cs="Arial" w:eastAsia="Arial" w:hAnsi="Arial"/>
          <w:sz w:val="12"/>
          <w:szCs w:val="12"/>
          <w:color w:val="2C2C2C"/>
        </w:rPr>
        <w:t>medical Advanced Research and Development Authority (BARDA), an</w:t>
      </w:r>
      <w:r>
        <w:rPr>
          <w:rFonts w:ascii="Arial" w:cs="Arial" w:eastAsia="Arial" w:hAnsi="Arial"/>
          <w:sz w:val="12"/>
          <w:szCs w:val="12"/>
          <w:color w:val="auto"/>
        </w:rPr>
        <w:t xml:space="preserve"> </w:t>
      </w:r>
      <w:r>
        <w:rPr>
          <w:rFonts w:ascii="Arial" w:cs="Arial" w:eastAsia="Arial" w:hAnsi="Arial"/>
          <w:sz w:val="12"/>
          <w:szCs w:val="12"/>
          <w:color w:val="2C2C2C"/>
        </w:rPr>
        <w:t xml:space="preserve">arrangement that was mutually terminated by both parties in the fourth quarter. </w:t>
      </w:r>
      <w:r>
        <w:rPr>
          <w:rFonts w:ascii="Arial" w:cs="Arial" w:eastAsia="Arial" w:hAnsi="Arial"/>
          <w:sz w:val="12"/>
          <w:szCs w:val="12"/>
          <w:color w:val="000000"/>
        </w:rPr>
        <w:t>The Company anticipates ongoing CDMO lease revenues in subsequent periods related primarily to its existing CDMO manufacturing</w:t>
      </w:r>
      <w:r>
        <w:rPr>
          <w:rFonts w:ascii="Arial" w:cs="Arial" w:eastAsia="Arial" w:hAnsi="Arial"/>
          <w:sz w:val="12"/>
          <w:szCs w:val="12"/>
          <w:color w:val="2C2C2C"/>
        </w:rPr>
        <w:t xml:space="preserve"> </w:t>
      </w:r>
      <w:r>
        <w:rPr>
          <w:rFonts w:ascii="Arial" w:cs="Arial" w:eastAsia="Arial" w:hAnsi="Arial"/>
          <w:sz w:val="12"/>
          <w:szCs w:val="12"/>
          <w:color w:val="000000"/>
        </w:rPr>
        <w:t>agreement with Johnson &amp; Johnson, a portion of which is considered a lease.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C2C2C"/>
        </w:rPr>
        <w:t>Contracts and Grants</w:t>
      </w:r>
    </w:p>
    <w:p>
      <w:pPr>
        <w:spacing w:after="0" w:line="20"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For Q4 2021, revenues from contracts and grants increased $27.6 million as compared to Q4 2020. The increase is a result of $59.7 million being recognized in Q4 2021, primarily deferred revenue, as a result of the CIADM base contract termination offset by a decrease in third party development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828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8286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2021</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2020</w:t>
            </w:r>
          </w:p>
        </w:tc>
        <w:tc>
          <w:tcPr>
            <w:tcW w:w="20" w:type="dxa"/>
            <w:vAlign w:val="bottom"/>
            <w:shd w:val="clear" w:color="auto" w:fill="B14A32"/>
          </w:tcPr>
          <w:p>
            <w:pPr>
              <w:spacing w:after="0"/>
              <w:rPr>
                <w:sz w:val="13"/>
                <w:szCs w:val="13"/>
                <w:color w:val="auto"/>
              </w:rPr>
            </w:pPr>
          </w:p>
        </w:tc>
        <w:tc>
          <w:tcPr>
            <w:tcW w:w="2140" w:type="dxa"/>
            <w:vAlign w:val="bottom"/>
            <w:shd w:val="clear" w:color="auto" w:fill="B14A32"/>
          </w:tcPr>
          <w:p>
            <w:pPr>
              <w:ind w:left="78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Cost of product sales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$145.0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$104.4</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39%</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Cost of CDMO</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$67.9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$63.9</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6%</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Research and development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$83.0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$59.5</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39%</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Selling, general and administrative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$94.2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$82.1</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15%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Goodwill impairment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2"/>
                <w:szCs w:val="12"/>
                <w:color w:val="auto"/>
              </w:rPr>
              <w:t>Amortization of intangible assets</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$14.0</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$15.0</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rPr>
              <w:t>(7)%</w:t>
            </w:r>
          </w:p>
        </w:tc>
      </w:tr>
      <w:tr>
        <w:trPr>
          <w:trHeight w:val="14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operating expenses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$445.8</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$324.9</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37%</w:t>
            </w:r>
          </w:p>
        </w:tc>
      </w:tr>
      <w:tr>
        <w:trPr>
          <w:trHeight w:val="162"/>
        </w:trPr>
        <w:tc>
          <w:tcPr>
            <w:tcW w:w="4860" w:type="dxa"/>
            <w:vAlign w:val="bottom"/>
            <w:shd w:val="clear" w:color="auto" w:fill="CCCCCC"/>
          </w:tcPr>
          <w:p>
            <w:pPr>
              <w:spacing w:after="0"/>
              <w:rPr>
                <w:sz w:val="20"/>
                <w:szCs w:val="20"/>
                <w:color w:val="auto"/>
              </w:rPr>
            </w:pPr>
            <w:r>
              <w:rPr>
                <w:rFonts w:ascii="Arial" w:cs="Arial" w:eastAsia="Arial" w:hAnsi="Arial"/>
                <w:sz w:val="12"/>
                <w:szCs w:val="12"/>
                <w:i w:val="1"/>
                <w:iCs w:val="1"/>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Product Sales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For Q4 2021, cost of product sales increased $40.6 million as compared to Q4 2020. The increase is primarily due to a higher volume of product sales, specifically nasal naloxone products, AV7909 and VIGIV.</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CDMO</w:t>
      </w:r>
    </w:p>
    <w:p>
      <w:pPr>
        <w:spacing w:after="0" w:line="11" w:lineRule="exact"/>
        <w:rPr>
          <w:sz w:val="20"/>
          <w:szCs w:val="20"/>
          <w:color w:val="auto"/>
        </w:rPr>
      </w:pPr>
    </w:p>
    <w:p>
      <w:pPr>
        <w:ind w:right="120"/>
        <w:spacing w:after="0" w:line="235" w:lineRule="auto"/>
        <w:rPr>
          <w:sz w:val="20"/>
          <w:szCs w:val="20"/>
          <w:color w:val="auto"/>
        </w:rPr>
      </w:pPr>
      <w:r>
        <w:rPr>
          <w:rFonts w:ascii="Arial" w:cs="Arial" w:eastAsia="Arial" w:hAnsi="Arial"/>
          <w:sz w:val="12"/>
          <w:szCs w:val="12"/>
          <w:color w:val="auto"/>
        </w:rPr>
        <w:t>For Q4 2021, cost of CDMO increased $4.0 million as compared to Q4 2020. The increase is primarily due to additional costs at the Company's Bayview facility to further support enhancements to quality systems and capabilities at the site.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20"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For Q4 2021, research and development expenses increased $23.5 million as compared to Q4 2020. The increase is primarily due to the non-cash write-off of $38.0 million associated with a contract asset balance resulting from the CIADM contract termination.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For Q4 2021, selling, general and administrative expenses increased $12.1 million as compared to Q4 2020. The increase is primarily due to professional services costs.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Impairment</w:t>
      </w:r>
    </w:p>
    <w:p>
      <w:pPr>
        <w:spacing w:after="0" w:line="20" w:lineRule="exact"/>
        <w:rPr>
          <w:sz w:val="20"/>
          <w:szCs w:val="20"/>
          <w:color w:val="auto"/>
        </w:rPr>
      </w:pPr>
    </w:p>
    <w:p>
      <w:pPr>
        <w:ind w:right="360"/>
        <w:spacing w:after="0" w:line="261" w:lineRule="auto"/>
        <w:rPr>
          <w:sz w:val="20"/>
          <w:szCs w:val="20"/>
          <w:color w:val="auto"/>
        </w:rPr>
      </w:pPr>
      <w:r>
        <w:rPr>
          <w:rFonts w:ascii="Arial" w:cs="Arial" w:eastAsia="Arial" w:hAnsi="Arial"/>
          <w:sz w:val="12"/>
          <w:szCs w:val="12"/>
          <w:color w:val="auto"/>
        </w:rPr>
        <w:t>During Q4 2021, the Company performed its annual impairment testing reflecting its revised reporting unit structure. Pursuant to this analysis, the Company recognized a $41.7 million non-cash impairment of goodwill in the Commercial reporting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 of 18</w:t>
      </w:r>
    </w:p>
    <w:p>
      <w:pPr>
        <w:sectPr>
          <w:pgSz w:w="11900" w:h="16838" w:orient="portrait"/>
          <w:cols w:equalWidth="0" w:num="1">
            <w:col w:w="11300"/>
          </w:cols>
          <w:pgMar w:left="300" w:top="989"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ADDITIONAL FINANCIAL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Gross Margin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31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3143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2021</w:t>
            </w:r>
          </w:p>
        </w:tc>
        <w:tc>
          <w:tcPr>
            <w:tcW w:w="212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2020</w:t>
            </w:r>
          </w:p>
        </w:tc>
        <w:tc>
          <w:tcPr>
            <w:tcW w:w="218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Product gross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$289.3</w:t>
            </w:r>
          </w:p>
        </w:tc>
        <w:tc>
          <w:tcPr>
            <w:tcW w:w="212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$236.5</w:t>
            </w:r>
          </w:p>
        </w:tc>
        <w:tc>
          <w:tcPr>
            <w:tcW w:w="218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22%</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Product gross margin % (product gross margin divided by product revenues) (2)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67%</w:t>
            </w:r>
          </w:p>
        </w:tc>
        <w:tc>
          <w:tcPr>
            <w:tcW w:w="212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69%</w:t>
            </w:r>
          </w:p>
        </w:tc>
        <w:tc>
          <w:tcPr>
            <w:tcW w:w="218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(2)%</w:t>
            </w:r>
          </w:p>
        </w:tc>
      </w:tr>
    </w:tbl>
    <w:p>
      <w:pPr>
        <w:spacing w:after="0" w:line="224" w:lineRule="exact"/>
        <w:rPr>
          <w:sz w:val="20"/>
          <w:szCs w:val="20"/>
          <w:color w:val="auto"/>
        </w:rPr>
      </w:pPr>
    </w:p>
    <w:p>
      <w:pPr>
        <w:ind w:right="440"/>
        <w:spacing w:after="0" w:line="261" w:lineRule="auto"/>
        <w:rPr>
          <w:sz w:val="20"/>
          <w:szCs w:val="20"/>
          <w:color w:val="auto"/>
        </w:rPr>
      </w:pPr>
      <w:r>
        <w:rPr>
          <w:rFonts w:ascii="Arial" w:cs="Arial" w:eastAsia="Arial" w:hAnsi="Arial"/>
          <w:sz w:val="12"/>
          <w:szCs w:val="12"/>
          <w:color w:val="auto"/>
        </w:rPr>
        <w:t>For Q4 2021, product gross margin increased $52.8 million as compared to Q4 2020. The increase is primarily due to the increase in product sales. Product gross margin percent decreased primarily due to changes in product mix.</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CDMO Gross Margin and Adjusted CDMO Gross Margin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697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755" cy="69723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2021</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2020</w:t>
            </w:r>
          </w:p>
        </w:tc>
        <w:tc>
          <w:tcPr>
            <w:tcW w:w="216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 Change</w:t>
            </w:r>
          </w:p>
        </w:tc>
        <w:tc>
          <w:tcPr>
            <w:tcW w:w="0" w:type="dxa"/>
            <w:vAlign w:val="bottom"/>
          </w:tcPr>
          <w:p>
            <w:pPr>
              <w:spacing w:after="0"/>
              <w:rPr>
                <w:sz w:val="1"/>
                <w:szCs w:val="1"/>
                <w:color w:val="auto"/>
              </w:rPr>
            </w:pP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gross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($16.7)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$0.1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gross margin % (CDMO gross margin divided by CDMO revenues) (2)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CDMO gross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($5.3)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$12.4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34"/>
        </w:trPr>
        <w:tc>
          <w:tcPr>
            <w:tcW w:w="4860" w:type="dxa"/>
            <w:vAlign w:val="bottom"/>
            <w:shd w:val="clear" w:color="auto" w:fill="CCCCCC"/>
          </w:tcPr>
          <w:p>
            <w:pPr>
              <w:ind w:left="20"/>
              <w:spacing w:after="0" w:line="134" w:lineRule="exact"/>
              <w:rPr>
                <w:sz w:val="20"/>
                <w:szCs w:val="20"/>
                <w:color w:val="auto"/>
              </w:rPr>
            </w:pPr>
            <w:r>
              <w:rPr>
                <w:rFonts w:ascii="Arial" w:cs="Arial" w:eastAsia="Arial" w:hAnsi="Arial"/>
                <w:sz w:val="12"/>
                <w:szCs w:val="12"/>
                <w:color w:val="auto"/>
              </w:rPr>
              <w:t>Adjusted CDMO gross margin % (adjusted CDMO gross margin divided by adjusted</w:t>
            </w:r>
          </w:p>
        </w:tc>
        <w:tc>
          <w:tcPr>
            <w:tcW w:w="2140" w:type="dxa"/>
            <w:vAlign w:val="bottom"/>
            <w:vMerge w:val="restart"/>
            <w:shd w:val="clear" w:color="auto" w:fill="CCCCCC"/>
          </w:tcPr>
          <w:p>
            <w:pPr>
              <w:jc w:val="center"/>
              <w:spacing w:after="0"/>
              <w:rPr>
                <w:sz w:val="20"/>
                <w:szCs w:val="20"/>
                <w:color w:val="auto"/>
              </w:rPr>
            </w:pPr>
            <w:r>
              <w:rPr>
                <w:rFonts w:ascii="Arial" w:cs="Arial" w:eastAsia="Arial" w:hAnsi="Arial"/>
                <w:sz w:val="12"/>
                <w:szCs w:val="12"/>
                <w:color w:val="auto"/>
                <w:w w:val="94"/>
              </w:rPr>
              <w:t>(8)%</w:t>
            </w:r>
          </w:p>
        </w:tc>
        <w:tc>
          <w:tcPr>
            <w:tcW w:w="2140" w:type="dxa"/>
            <w:vAlign w:val="bottom"/>
            <w:vMerge w:val="restart"/>
            <w:shd w:val="clear" w:color="auto" w:fill="CCCCCC"/>
          </w:tcPr>
          <w:p>
            <w:pPr>
              <w:jc w:val="center"/>
              <w:spacing w:after="0"/>
              <w:rPr>
                <w:sz w:val="20"/>
                <w:szCs w:val="20"/>
                <w:color w:val="auto"/>
              </w:rPr>
            </w:pPr>
            <w:r>
              <w:rPr>
                <w:rFonts w:ascii="Arial" w:cs="Arial" w:eastAsia="Arial" w:hAnsi="Arial"/>
                <w:sz w:val="12"/>
                <w:szCs w:val="12"/>
                <w:color w:val="auto"/>
                <w:w w:val="99"/>
              </w:rPr>
              <w:t>16%</w:t>
            </w:r>
          </w:p>
        </w:tc>
        <w:tc>
          <w:tcPr>
            <w:tcW w:w="2160" w:type="dxa"/>
            <w:vAlign w:val="bottom"/>
            <w:vMerge w:val="restart"/>
            <w:shd w:val="clear" w:color="auto" w:fill="CCCCCC"/>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82"/>
        </w:trPr>
        <w:tc>
          <w:tcPr>
            <w:tcW w:w="4860" w:type="dxa"/>
            <w:vAlign w:val="bottom"/>
            <w:vMerge w:val="restart"/>
            <w:shd w:val="clear" w:color="auto" w:fill="CCCCCC"/>
          </w:tcPr>
          <w:p>
            <w:pPr>
              <w:ind w:left="20"/>
              <w:spacing w:after="0"/>
              <w:rPr>
                <w:sz w:val="20"/>
                <w:szCs w:val="20"/>
                <w:color w:val="auto"/>
              </w:rPr>
            </w:pPr>
            <w:r>
              <w:rPr>
                <w:rFonts w:ascii="Arial" w:cs="Arial" w:eastAsia="Arial" w:hAnsi="Arial"/>
                <w:sz w:val="12"/>
                <w:szCs w:val="12"/>
                <w:color w:val="auto"/>
              </w:rPr>
              <w:t>CDMO revenues) (2)</w:t>
            </w:r>
          </w:p>
        </w:tc>
        <w:tc>
          <w:tcPr>
            <w:tcW w:w="2140" w:type="dxa"/>
            <w:vAlign w:val="bottom"/>
            <w:vMerge w:val="continue"/>
            <w:shd w:val="clear" w:color="auto" w:fill="CCCCCC"/>
          </w:tcPr>
          <w:p>
            <w:pPr>
              <w:spacing w:after="0"/>
              <w:rPr>
                <w:sz w:val="7"/>
                <w:szCs w:val="7"/>
                <w:color w:val="auto"/>
              </w:rPr>
            </w:pPr>
          </w:p>
        </w:tc>
        <w:tc>
          <w:tcPr>
            <w:tcW w:w="2140" w:type="dxa"/>
            <w:vAlign w:val="bottom"/>
            <w:vMerge w:val="continue"/>
            <w:shd w:val="clear" w:color="auto" w:fill="CCCCCC"/>
          </w:tcPr>
          <w:p>
            <w:pPr>
              <w:spacing w:after="0"/>
              <w:rPr>
                <w:sz w:val="7"/>
                <w:szCs w:val="7"/>
                <w:color w:val="auto"/>
              </w:rPr>
            </w:pPr>
          </w:p>
        </w:tc>
        <w:tc>
          <w:tcPr>
            <w:tcW w:w="216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860" w:type="dxa"/>
            <w:vAlign w:val="bottom"/>
            <w:vMerge w:val="continue"/>
            <w:shd w:val="clear" w:color="auto" w:fill="CCCCCC"/>
          </w:tcPr>
          <w:p>
            <w:pPr>
              <w:spacing w:after="0"/>
              <w:rPr>
                <w:sz w:val="5"/>
                <w:szCs w:val="5"/>
                <w:color w:val="auto"/>
              </w:rPr>
            </w:pPr>
          </w:p>
        </w:tc>
        <w:tc>
          <w:tcPr>
            <w:tcW w:w="2140" w:type="dxa"/>
            <w:vAlign w:val="bottom"/>
            <w:shd w:val="clear" w:color="auto" w:fill="CCCCCC"/>
          </w:tcPr>
          <w:p>
            <w:pPr>
              <w:spacing w:after="0"/>
              <w:rPr>
                <w:sz w:val="5"/>
                <w:szCs w:val="5"/>
                <w:color w:val="auto"/>
              </w:rPr>
            </w:pPr>
          </w:p>
        </w:tc>
        <w:tc>
          <w:tcPr>
            <w:tcW w:w="2140" w:type="dxa"/>
            <w:vAlign w:val="bottom"/>
            <w:shd w:val="clear" w:color="auto" w:fill="CCCCCC"/>
          </w:tcPr>
          <w:p>
            <w:pPr>
              <w:spacing w:after="0"/>
              <w:rPr>
                <w:sz w:val="5"/>
                <w:szCs w:val="5"/>
                <w:color w:val="auto"/>
              </w:rPr>
            </w:pPr>
          </w:p>
        </w:tc>
        <w:tc>
          <w:tcPr>
            <w:tcW w:w="2160" w:type="dxa"/>
            <w:vAlign w:val="bottom"/>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i w:val="1"/>
                <w:iCs w:val="1"/>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For Q4 2021, CDMO gross margin decreased $16.8 million as compared to Q4 2020. Adjusted CDMO gross margin decreased $17.7 million as compared to Q4 2020. The decline in CDMO gross margin and adjusted CDMO gross margin is primarily due to routine maintenance activity that occurred in the Company's manufacturing network in Q4 2021 that did not occur in Q4 2020 as well as increased costs to support remediation efforts for the Company's manufacturing activities at its Bayview facility.</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CDMO Metrics (presentation on a sequential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20574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rPr>
              <w:t>In 4Q21</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rPr>
              <w:t>In 3Q21</w:t>
            </w:r>
          </w:p>
        </w:tc>
        <w:tc>
          <w:tcPr>
            <w:tcW w:w="216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New Business Secured (5)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$53.5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$117.7</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(55)%</w:t>
            </w:r>
          </w:p>
        </w:tc>
      </w:tr>
      <w:tr>
        <w:trPr>
          <w:trHeight w:val="243"/>
        </w:trPr>
        <w:tc>
          <w:tcPr>
            <w:tcW w:w="48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rPr>
              <w:t>As of 12/31/2021</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8"/>
              </w:rPr>
              <w:t>As of 09/30/2021</w:t>
            </w:r>
          </w:p>
        </w:tc>
        <w:tc>
          <w:tcPr>
            <w:tcW w:w="216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Backlog (6)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$837.2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$1,002.0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(16)%</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Customers (7)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70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9"/>
              </w:rPr>
              <w:t>71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w:t>
            </w:r>
          </w:p>
        </w:tc>
      </w:tr>
      <w:tr>
        <w:trPr>
          <w:trHeight w:val="252"/>
        </w:trPr>
        <w:tc>
          <w:tcPr>
            <w:tcW w:w="48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CDMO Backlog Rollforward (6)</w:t>
            </w:r>
          </w:p>
        </w:tc>
        <w:tc>
          <w:tcPr>
            <w:tcW w:w="2140" w:type="dxa"/>
            <w:vAlign w:val="bottom"/>
            <w:shd w:val="clear" w:color="auto" w:fill="B14A32"/>
          </w:tcPr>
          <w:p>
            <w:pPr>
              <w:spacing w:after="0"/>
              <w:rPr>
                <w:sz w:val="14"/>
                <w:szCs w:val="14"/>
                <w:color w:val="auto"/>
              </w:rPr>
            </w:pPr>
          </w:p>
        </w:tc>
        <w:tc>
          <w:tcPr>
            <w:tcW w:w="2140" w:type="dxa"/>
            <w:vAlign w:val="bottom"/>
            <w:shd w:val="clear" w:color="auto" w:fill="B14A32"/>
          </w:tcPr>
          <w:p>
            <w:pPr>
              <w:spacing w:after="0"/>
              <w:rPr>
                <w:sz w:val="14"/>
                <w:szCs w:val="14"/>
                <w:color w:val="auto"/>
              </w:rPr>
            </w:pPr>
          </w:p>
        </w:tc>
        <w:tc>
          <w:tcPr>
            <w:tcW w:w="2160" w:type="dxa"/>
            <w:vAlign w:val="bottom"/>
            <w:shd w:val="clear" w:color="auto" w:fill="B14A32"/>
          </w:tcPr>
          <w:p>
            <w:pPr>
              <w:jc w:val="center"/>
              <w:spacing w:after="0"/>
              <w:rPr>
                <w:sz w:val="20"/>
                <w:szCs w:val="20"/>
                <w:color w:val="auto"/>
              </w:rPr>
            </w:pPr>
            <w:r>
              <w:rPr>
                <w:rFonts w:ascii="Arial" w:cs="Arial" w:eastAsia="Arial" w:hAnsi="Arial"/>
                <w:sz w:val="12"/>
                <w:szCs w:val="12"/>
                <w:color w:val="FFFFFF"/>
                <w:w w:val="98"/>
              </w:rPr>
              <w:t>($ in millions)</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Beginning Backlog (As of 9/30/2021)</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$1,002.0</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Less: CDMO revenue recognized in Q4 2021</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($218.3)</w:t>
            </w:r>
          </w:p>
        </w:tc>
      </w:tr>
      <w:tr>
        <w:trPr>
          <w:trHeight w:val="162"/>
        </w:trPr>
        <w:tc>
          <w:tcPr>
            <w:tcW w:w="48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2"/>
                <w:szCs w:val="12"/>
                <w:color w:val="auto"/>
              </w:rPr>
              <w:t>Plus: New Business Secured in Q4 2021 (5)</w:t>
            </w:r>
          </w:p>
        </w:tc>
        <w:tc>
          <w:tcPr>
            <w:tcW w:w="2140" w:type="dxa"/>
            <w:vAlign w:val="bottom"/>
            <w:tcBorders>
              <w:bottom w:val="single" w:sz="8" w:color="CCCCCC"/>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spacing w:after="0"/>
              <w:rPr>
                <w:sz w:val="14"/>
                <w:szCs w:val="14"/>
                <w:color w:val="auto"/>
              </w:rPr>
            </w:pPr>
          </w:p>
        </w:tc>
        <w:tc>
          <w:tcPr>
            <w:tcW w:w="21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$53.5</w:t>
            </w:r>
          </w:p>
        </w:tc>
      </w:tr>
      <w:tr>
        <w:trPr>
          <w:trHeight w:val="14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Ending Backlog (As of 12/31/2021)</w:t>
            </w:r>
          </w:p>
        </w:tc>
        <w:tc>
          <w:tcPr>
            <w:tcW w:w="2140" w:type="dxa"/>
            <w:vAlign w:val="bottom"/>
            <w:shd w:val="clear" w:color="auto" w:fill="CCCCCC"/>
          </w:tcPr>
          <w:p>
            <w:pPr>
              <w:spacing w:after="0"/>
              <w:rPr>
                <w:sz w:val="12"/>
                <w:szCs w:val="12"/>
                <w:color w:val="auto"/>
              </w:rPr>
            </w:pPr>
          </w:p>
        </w:tc>
        <w:tc>
          <w:tcPr>
            <w:tcW w:w="2140" w:type="dxa"/>
            <w:vAlign w:val="bottom"/>
            <w:shd w:val="clear" w:color="auto" w:fill="CCCCCC"/>
          </w:tcPr>
          <w:p>
            <w:pPr>
              <w:spacing w:after="0"/>
              <w:rPr>
                <w:sz w:val="12"/>
                <w:szCs w:val="12"/>
                <w:color w:val="auto"/>
              </w:rPr>
            </w:pP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$837.2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-982345</wp:posOffset>
            </wp:positionV>
            <wp:extent cx="7183755" cy="314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3143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-513715</wp:posOffset>
            </wp:positionV>
            <wp:extent cx="7178040" cy="520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20065"/>
                    </a:xfrm>
                    <a:prstGeom prst="rect">
                      <a:avLst/>
                    </a:prstGeom>
                    <a:noFill/>
                  </pic:spPr>
                </pic:pic>
              </a:graphicData>
            </a:graphic>
          </wp:anchor>
        </w:drawing>
      </w:r>
    </w:p>
    <w:p>
      <w:pPr>
        <w:spacing w:after="0" w:line="195"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2C2C2C"/>
        </w:rPr>
        <w:t xml:space="preserve">For </w:t>
      </w:r>
      <w:r>
        <w:rPr>
          <w:rFonts w:ascii="Arial" w:cs="Arial" w:eastAsia="Arial" w:hAnsi="Arial"/>
          <w:sz w:val="12"/>
          <w:szCs w:val="12"/>
          <w:color w:val="000000"/>
        </w:rPr>
        <w:t>Q4 2021</w:t>
      </w:r>
      <w:r>
        <w:rPr>
          <w:rFonts w:ascii="Arial" w:cs="Arial" w:eastAsia="Arial" w:hAnsi="Arial"/>
          <w:sz w:val="12"/>
          <w:szCs w:val="12"/>
          <w:color w:val="2C2C2C"/>
        </w:rPr>
        <w:t>, the Company has revised the metrics it provides related to specific aspects of the CDMO business. The Company will continue to provide the CDMO New Business Secured and Backlog metrics. The Company is introducing CDMO Customers as a new metric, and is discontinuing reporting of the CDMO Opportunity Funnel. The Company believes this set of supplemental information provides more valuable and relevant context on the performance and stability of the CDMO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 of 18</w:t>
      </w:r>
    </w:p>
    <w:p>
      <w:pPr>
        <w:sectPr>
          <w:pgSz w:w="11900" w:h="16838" w:orient="portrait"/>
          <w:cols w:equalWidth="0" w:num="1">
            <w:col w:w="11300"/>
          </w:cols>
          <w:pgMar w:left="300" w:top="1151"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725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72580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2021</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Q4 2020</w:t>
            </w:r>
          </w:p>
        </w:tc>
        <w:tc>
          <w:tcPr>
            <w:tcW w:w="20" w:type="dxa"/>
            <w:vAlign w:val="bottom"/>
            <w:shd w:val="clear" w:color="auto" w:fill="B14A32"/>
          </w:tcPr>
          <w:p>
            <w:pPr>
              <w:spacing w:after="0"/>
              <w:rPr>
                <w:sz w:val="13"/>
                <w:szCs w:val="13"/>
                <w:color w:val="auto"/>
              </w:rPr>
            </w:pPr>
          </w:p>
        </w:tc>
        <w:tc>
          <w:tcPr>
            <w:tcW w:w="2140" w:type="dxa"/>
            <w:vAlign w:val="bottom"/>
            <w:shd w:val="clear" w:color="auto" w:fill="B14A32"/>
          </w:tcPr>
          <w:p>
            <w:pPr>
              <w:ind w:left="78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$46.7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$36.0</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30%</w:t>
            </w:r>
          </w:p>
        </w:tc>
      </w:tr>
      <w:tr>
        <w:trPr>
          <w:trHeight w:val="162"/>
        </w:trPr>
        <w:tc>
          <w:tcPr>
            <w:tcW w:w="4860" w:type="dxa"/>
            <w:vAlign w:val="bottom"/>
            <w:tcBorders>
              <w:bottom w:val="single" w:sz="8" w:color="CCCCCC"/>
            </w:tcBorders>
            <w:shd w:val="clear" w:color="auto" w:fill="CCCCCC"/>
          </w:tcPr>
          <w:p>
            <w:pPr>
              <w:ind w:left="200"/>
              <w:spacing w:after="0"/>
              <w:rPr>
                <w:sz w:val="20"/>
                <w:szCs w:val="20"/>
                <w:color w:val="auto"/>
              </w:rPr>
            </w:pPr>
            <w:r>
              <w:rPr>
                <w:rFonts w:ascii="Arial" w:cs="Arial" w:eastAsia="Arial" w:hAnsi="Arial"/>
                <w:sz w:val="12"/>
                <w:szCs w:val="12"/>
                <w:color w:val="auto"/>
              </w:rPr>
              <w:t>- Capital expenditures reimbursed</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rPr>
              <w:t>60.5</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rPr>
              <w:t>16.7</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4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($13.8)</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$19.3</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capital expenditures as a % of 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1"/>
              </w:rPr>
              <w:t>6%</w:t>
            </w: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6"/>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capital expenditures as a % of 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4"/>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1"/>
              </w:rPr>
              <w:t>3%</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i w:val="1"/>
                <w:iCs w:val="1"/>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bl>
    <w:p>
      <w:pPr>
        <w:spacing w:after="0" w:line="233" w:lineRule="exact"/>
        <w:rPr>
          <w:sz w:val="20"/>
          <w:szCs w:val="20"/>
          <w:color w:val="auto"/>
        </w:rPr>
      </w:pPr>
    </w:p>
    <w:p>
      <w:pPr>
        <w:ind w:right="100"/>
        <w:spacing w:after="0" w:line="307" w:lineRule="auto"/>
        <w:rPr>
          <w:sz w:val="20"/>
          <w:szCs w:val="20"/>
          <w:color w:val="auto"/>
        </w:rPr>
      </w:pPr>
      <w:r>
        <w:rPr>
          <w:rFonts w:ascii="Arial" w:cs="Arial" w:eastAsia="Arial" w:hAnsi="Arial"/>
          <w:sz w:val="11"/>
          <w:szCs w:val="11"/>
          <w:color w:val="auto"/>
        </w:rPr>
        <w:t>For Q4 2021, capital expenditures increased largely due to the Company's continued investments in expanded capacity and capabilities at the Company's Rockville manufacturing facility. The increase in gross capital expenditures was offset by the timing of reimbursements of $60.5 million related to arrangements funded by the USG. The capital expenditures related to this reimbursement were incurred in a prior period.</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 FULL YEAR 2021 FINANCIAL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83755" cy="1623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162306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60" w:type="dxa"/>
            <w:vAlign w:val="bottom"/>
            <w:gridSpan w:val="3"/>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ind w:left="680"/>
              <w:spacing w:after="0"/>
              <w:rPr>
                <w:sz w:val="20"/>
                <w:szCs w:val="20"/>
                <w:color w:val="auto"/>
              </w:rPr>
            </w:pPr>
            <w:r>
              <w:rPr>
                <w:rFonts w:ascii="Arial" w:cs="Arial" w:eastAsia="Arial" w:hAnsi="Arial"/>
                <w:sz w:val="12"/>
                <w:szCs w:val="12"/>
                <w:b w:val="1"/>
                <w:bCs w:val="1"/>
                <w:color w:val="FFFFFF"/>
              </w:rPr>
              <w:t>Full Year 2021</w:t>
            </w:r>
          </w:p>
        </w:tc>
        <w:tc>
          <w:tcPr>
            <w:tcW w:w="2140" w:type="dxa"/>
            <w:vAlign w:val="bottom"/>
            <w:shd w:val="clear" w:color="auto" w:fill="B14A32"/>
          </w:tcPr>
          <w:p>
            <w:pPr>
              <w:ind w:left="680"/>
              <w:spacing w:after="0"/>
              <w:rPr>
                <w:sz w:val="20"/>
                <w:szCs w:val="20"/>
                <w:color w:val="auto"/>
              </w:rPr>
            </w:pPr>
            <w:r>
              <w:rPr>
                <w:rFonts w:ascii="Arial" w:cs="Arial" w:eastAsia="Arial" w:hAnsi="Arial"/>
                <w:sz w:val="12"/>
                <w:szCs w:val="12"/>
                <w:b w:val="1"/>
                <w:bCs w:val="1"/>
                <w:color w:val="FFFFFF"/>
              </w:rPr>
              <w:t>Full Year 2020</w:t>
            </w:r>
          </w:p>
        </w:tc>
        <w:tc>
          <w:tcPr>
            <w:tcW w:w="20" w:type="dxa"/>
            <w:vAlign w:val="bottom"/>
            <w:shd w:val="clear" w:color="auto" w:fill="B14A32"/>
          </w:tcPr>
          <w:p>
            <w:pPr>
              <w:spacing w:after="0"/>
              <w:rPr>
                <w:sz w:val="13"/>
                <w:szCs w:val="13"/>
                <w:color w:val="auto"/>
              </w:rPr>
            </w:pPr>
          </w:p>
        </w:tc>
        <w:tc>
          <w:tcPr>
            <w:tcW w:w="2140" w:type="dxa"/>
            <w:vAlign w:val="bottom"/>
            <w:shd w:val="clear" w:color="auto" w:fill="B14A32"/>
          </w:tcPr>
          <w:p>
            <w:pPr>
              <w:ind w:left="78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Product sales, net (3):</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gridSpan w:val="2"/>
            <w:shd w:val="clear" w:color="auto" w:fill="CCCCCC"/>
          </w:tcPr>
          <w:p>
            <w:pPr>
              <w:ind w:left="80"/>
              <w:spacing w:after="0"/>
              <w:rPr>
                <w:sz w:val="20"/>
                <w:szCs w:val="20"/>
                <w:color w:val="auto"/>
              </w:rPr>
            </w:pPr>
            <w:r>
              <w:rPr>
                <w:rFonts w:ascii="Arial" w:cs="Arial" w:eastAsia="Arial" w:hAnsi="Arial"/>
                <w:sz w:val="12"/>
                <w:szCs w:val="12"/>
                <w:color w:val="auto"/>
              </w:rPr>
              <w:t>Nasal naloxone products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$434.3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$311.2</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40%</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gridSpan w:val="2"/>
            <w:shd w:val="clear" w:color="auto" w:fill="CCCCCC"/>
          </w:tcPr>
          <w:p>
            <w:pPr>
              <w:ind w:left="80"/>
              <w:spacing w:after="0"/>
              <w:rPr>
                <w:sz w:val="20"/>
                <w:szCs w:val="20"/>
                <w:color w:val="auto"/>
              </w:rPr>
            </w:pPr>
            <w:r>
              <w:rPr>
                <w:rFonts w:ascii="Arial" w:cs="Arial" w:eastAsia="Arial" w:hAnsi="Arial"/>
                <w:sz w:val="12"/>
                <w:szCs w:val="12"/>
                <w:color w:val="auto"/>
              </w:rPr>
              <w:t>ACAM2000®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$206.5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$200.3</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3%</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gridSpan w:val="2"/>
            <w:shd w:val="clear" w:color="auto" w:fill="CCCCCC"/>
          </w:tcPr>
          <w:p>
            <w:pPr>
              <w:ind w:left="80"/>
              <w:spacing w:after="0"/>
              <w:rPr>
                <w:sz w:val="20"/>
                <w:szCs w:val="20"/>
                <w:color w:val="auto"/>
              </w:rPr>
            </w:pPr>
            <w:r>
              <w:rPr>
                <w:rFonts w:ascii="Arial" w:cs="Arial" w:eastAsia="Arial" w:hAnsi="Arial"/>
                <w:sz w:val="12"/>
                <w:szCs w:val="12"/>
                <w:color w:val="auto"/>
              </w:rPr>
              <w:t>Anthrax vaccines**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$259.8</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$373.8</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(30)%</w:t>
            </w:r>
          </w:p>
        </w:tc>
      </w:tr>
      <w:tr>
        <w:trPr>
          <w:trHeight w:val="162"/>
        </w:trPr>
        <w:tc>
          <w:tcPr>
            <w:tcW w:w="3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tcBorders>
              <w:bottom w:val="single" w:sz="8" w:color="CCCCCC"/>
            </w:tcBorders>
            <w:gridSpan w:val="2"/>
            <w:shd w:val="clear" w:color="auto" w:fill="CCCCCC"/>
          </w:tcPr>
          <w:p>
            <w:pPr>
              <w:ind w:left="80"/>
              <w:spacing w:after="0"/>
              <w:rPr>
                <w:sz w:val="20"/>
                <w:szCs w:val="20"/>
                <w:color w:val="auto"/>
              </w:rPr>
            </w:pPr>
            <w:r>
              <w:rPr>
                <w:rFonts w:ascii="Arial" w:cs="Arial" w:eastAsia="Arial" w:hAnsi="Arial"/>
                <w:sz w:val="12"/>
                <w:szCs w:val="12"/>
                <w:color w:val="auto"/>
              </w:rPr>
              <w:t>Other (4)</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$123.3</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$104.5</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w w:val="99"/>
              </w:rPr>
              <w:t>18%</w:t>
            </w:r>
          </w:p>
        </w:tc>
      </w:tr>
      <w:tr>
        <w:trPr>
          <w:trHeight w:val="14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Total product sales, net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$1,023.9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$989.8</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3%</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Contract development and manufacturing (CDMO):</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gridSpan w:val="2"/>
            <w:shd w:val="clear" w:color="auto" w:fill="CCCCCC"/>
          </w:tcPr>
          <w:p>
            <w:pPr>
              <w:ind w:left="80"/>
              <w:spacing w:after="0"/>
              <w:rPr>
                <w:sz w:val="20"/>
                <w:szCs w:val="20"/>
                <w:color w:val="auto"/>
              </w:rPr>
            </w:pPr>
            <w:r>
              <w:rPr>
                <w:rFonts w:ascii="Arial" w:cs="Arial" w:eastAsia="Arial" w:hAnsi="Arial"/>
                <w:sz w:val="12"/>
                <w:szCs w:val="12"/>
                <w:color w:val="auto"/>
              </w:rPr>
              <w:t>Services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$334.9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$166.7</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3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520" w:type="dxa"/>
            <w:vAlign w:val="bottom"/>
            <w:tcBorders>
              <w:bottom w:val="single" w:sz="8" w:color="CCCCCC"/>
            </w:tcBorders>
            <w:gridSpan w:val="2"/>
            <w:shd w:val="clear" w:color="auto" w:fill="CCCCCC"/>
          </w:tcPr>
          <w:p>
            <w:pPr>
              <w:ind w:left="80"/>
              <w:spacing w:after="0"/>
              <w:rPr>
                <w:sz w:val="20"/>
                <w:szCs w:val="20"/>
                <w:color w:val="auto"/>
              </w:rPr>
            </w:pPr>
            <w:r>
              <w:rPr>
                <w:rFonts w:ascii="Arial" w:cs="Arial" w:eastAsia="Arial" w:hAnsi="Arial"/>
                <w:sz w:val="12"/>
                <w:szCs w:val="12"/>
                <w:color w:val="auto"/>
              </w:rPr>
              <w:t>Leases</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$299.7</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$283.8</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rPr>
              <w:t>6%</w:t>
            </w:r>
          </w:p>
        </w:tc>
      </w:tr>
      <w:tr>
        <w:trPr>
          <w:trHeight w:val="14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Total CDMO</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$634.6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$450.5</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41%</w:t>
            </w:r>
          </w:p>
        </w:tc>
      </w:tr>
      <w:tr>
        <w:trPr>
          <w:trHeight w:val="162"/>
        </w:trPr>
        <w:tc>
          <w:tcPr>
            <w:tcW w:w="4860" w:type="dxa"/>
            <w:vAlign w:val="bottom"/>
            <w:tcBorders>
              <w:bottom w:val="single" w:sz="8" w:color="CCCCCC"/>
            </w:tcBorders>
            <w:gridSpan w:val="3"/>
            <w:shd w:val="clear" w:color="auto" w:fill="CCCCCC"/>
          </w:tcPr>
          <w:p>
            <w:pPr>
              <w:ind w:left="20"/>
              <w:spacing w:after="0"/>
              <w:rPr>
                <w:sz w:val="20"/>
                <w:szCs w:val="20"/>
                <w:color w:val="auto"/>
              </w:rPr>
            </w:pPr>
            <w:r>
              <w:rPr>
                <w:rFonts w:ascii="Arial" w:cs="Arial" w:eastAsia="Arial" w:hAnsi="Arial"/>
                <w:sz w:val="12"/>
                <w:szCs w:val="12"/>
                <w:color w:val="auto"/>
              </w:rPr>
              <w:t>Contracts and grants</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$134.2</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7"/>
              </w:rPr>
              <w:t>$115.1</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w w:val="99"/>
              </w:rPr>
              <w:t>17%</w:t>
            </w:r>
          </w:p>
        </w:tc>
      </w:tr>
      <w:tr>
        <w:trPr>
          <w:trHeight w:val="14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$1,792.7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$1,555.4</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15%</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i w:val="1"/>
                <w:iCs w:val="1"/>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r>
        <w:trPr>
          <w:trHeight w:val="126"/>
        </w:trPr>
        <w:tc>
          <w:tcPr>
            <w:tcW w:w="11300" w:type="dxa"/>
            <w:vAlign w:val="bottom"/>
            <w:gridSpan w:val="7"/>
            <w:shd w:val="clear" w:color="auto" w:fill="CCCCCC"/>
          </w:tcPr>
          <w:p>
            <w:pPr>
              <w:ind w:left="20"/>
              <w:spacing w:after="0" w:line="126" w:lineRule="exact"/>
              <w:rPr>
                <w:sz w:val="20"/>
                <w:szCs w:val="20"/>
                <w:color w:val="auto"/>
              </w:rPr>
            </w:pPr>
            <w:r>
              <w:rPr>
                <w:rFonts w:ascii="Arial" w:cs="Arial" w:eastAsia="Arial" w:hAnsi="Arial"/>
                <w:sz w:val="12"/>
                <w:szCs w:val="12"/>
                <w:i w:val="1"/>
                <w:iCs w:val="1"/>
                <w:color w:val="auto"/>
              </w:rPr>
              <w:t>** Full year 2020 anthrax vaccine sales were larger than average due to strong sales volumes associated with the transition from BioThrax alone to a combination of BioThrax and AV7909 in the SNS which had</w:t>
            </w:r>
          </w:p>
        </w:tc>
      </w:tr>
      <w:tr>
        <w:trPr>
          <w:trHeight w:val="153"/>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i w:val="1"/>
                <w:iCs w:val="1"/>
                <w:color w:val="auto"/>
              </w:rPr>
              <w:t>resulted in delayed deliveries in 2019.</w:t>
            </w:r>
          </w:p>
        </w:tc>
        <w:tc>
          <w:tcPr>
            <w:tcW w:w="2140" w:type="dxa"/>
            <w:vAlign w:val="bottom"/>
            <w:shd w:val="clear" w:color="auto" w:fill="CCCCCC"/>
          </w:tcPr>
          <w:p>
            <w:pPr>
              <w:spacing w:after="0"/>
              <w:rPr>
                <w:sz w:val="13"/>
                <w:szCs w:val="13"/>
                <w:color w:val="auto"/>
              </w:rPr>
            </w:pPr>
          </w:p>
        </w:tc>
        <w:tc>
          <w:tcPr>
            <w:tcW w:w="214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2140" w:type="dxa"/>
            <w:vAlign w:val="bottom"/>
            <w:shd w:val="clear" w:color="auto" w:fill="CCCCCC"/>
          </w:tcPr>
          <w:p>
            <w:pPr>
              <w:spacing w:after="0"/>
              <w:rPr>
                <w:sz w:val="13"/>
                <w:szCs w:val="13"/>
                <w:color w:val="auto"/>
              </w:rPr>
            </w:pPr>
          </w:p>
        </w:tc>
      </w:tr>
      <w:tr>
        <w:trPr>
          <w:trHeight w:val="188"/>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8"/>
              </w:rPr>
              <w:t>Operating Expenses</w:t>
            </w:r>
          </w:p>
        </w:tc>
        <w:tc>
          <w:tcPr>
            <w:tcW w:w="37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70"/>
        </w:trPr>
        <w:tc>
          <w:tcPr>
            <w:tcW w:w="4860" w:type="dxa"/>
            <w:vAlign w:val="bottom"/>
            <w:gridSpan w:val="3"/>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ind w:left="680"/>
              <w:spacing w:after="0"/>
              <w:rPr>
                <w:sz w:val="20"/>
                <w:szCs w:val="20"/>
                <w:color w:val="auto"/>
              </w:rPr>
            </w:pPr>
            <w:r>
              <w:rPr>
                <w:rFonts w:ascii="Arial" w:cs="Arial" w:eastAsia="Arial" w:hAnsi="Arial"/>
                <w:sz w:val="12"/>
                <w:szCs w:val="12"/>
                <w:b w:val="1"/>
                <w:bCs w:val="1"/>
                <w:color w:val="FFFFFF"/>
              </w:rPr>
              <w:t>Full Year 2021</w:t>
            </w:r>
          </w:p>
        </w:tc>
        <w:tc>
          <w:tcPr>
            <w:tcW w:w="2140" w:type="dxa"/>
            <w:vAlign w:val="bottom"/>
            <w:shd w:val="clear" w:color="auto" w:fill="B14A32"/>
          </w:tcPr>
          <w:p>
            <w:pPr>
              <w:ind w:left="680"/>
              <w:spacing w:after="0"/>
              <w:rPr>
                <w:sz w:val="20"/>
                <w:szCs w:val="20"/>
                <w:color w:val="auto"/>
              </w:rPr>
            </w:pPr>
            <w:r>
              <w:rPr>
                <w:rFonts w:ascii="Arial" w:cs="Arial" w:eastAsia="Arial" w:hAnsi="Arial"/>
                <w:sz w:val="12"/>
                <w:szCs w:val="12"/>
                <w:b w:val="1"/>
                <w:bCs w:val="1"/>
                <w:color w:val="FFFFFF"/>
              </w:rPr>
              <w:t>Full Year 2020</w:t>
            </w:r>
          </w:p>
        </w:tc>
        <w:tc>
          <w:tcPr>
            <w:tcW w:w="20" w:type="dxa"/>
            <w:vAlign w:val="bottom"/>
            <w:shd w:val="clear" w:color="auto" w:fill="B14A32"/>
          </w:tcPr>
          <w:p>
            <w:pPr>
              <w:spacing w:after="0"/>
              <w:rPr>
                <w:sz w:val="14"/>
                <w:szCs w:val="14"/>
                <w:color w:val="auto"/>
              </w:rPr>
            </w:pPr>
          </w:p>
        </w:tc>
        <w:tc>
          <w:tcPr>
            <w:tcW w:w="2140" w:type="dxa"/>
            <w:vAlign w:val="bottom"/>
            <w:shd w:val="clear" w:color="auto" w:fill="B14A32"/>
          </w:tcPr>
          <w:p>
            <w:pPr>
              <w:ind w:left="78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Cost of product sales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$382.0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$392.0</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(3)%</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Cost of CDMO</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$375.5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$132.0</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Research and development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$234.0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$234.5</w:t>
            </w: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6"/>
              </w:rPr>
              <w:t>—%</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Selling, general and administrative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$348.4</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$303.3</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15%</w:t>
            </w:r>
          </w:p>
        </w:tc>
      </w:tr>
      <w:tr>
        <w:trPr>
          <w:trHeight w:val="16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Goodwill impairment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tcBorders>
              <w:bottom w:val="single" w:sz="8" w:color="CCCCCC"/>
            </w:tcBorders>
            <w:gridSpan w:val="3"/>
            <w:shd w:val="clear" w:color="auto" w:fill="CCCCCC"/>
          </w:tcPr>
          <w:p>
            <w:pPr>
              <w:ind w:left="20"/>
              <w:spacing w:after="0"/>
              <w:rPr>
                <w:sz w:val="20"/>
                <w:szCs w:val="20"/>
                <w:color w:val="auto"/>
              </w:rPr>
            </w:pPr>
            <w:r>
              <w:rPr>
                <w:rFonts w:ascii="Arial" w:cs="Arial" w:eastAsia="Arial" w:hAnsi="Arial"/>
                <w:sz w:val="12"/>
                <w:szCs w:val="12"/>
                <w:color w:val="auto"/>
              </w:rPr>
              <w:t>Amortization of intangible assets</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$58.5</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$59.8</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rPr>
              <w:t>(2)%</w:t>
            </w:r>
          </w:p>
        </w:tc>
      </w:tr>
      <w:tr>
        <w:trPr>
          <w:trHeight w:val="142"/>
        </w:trPr>
        <w:tc>
          <w:tcPr>
            <w:tcW w:w="4860" w:type="dxa"/>
            <w:vAlign w:val="bottom"/>
            <w:gridSpan w:val="3"/>
            <w:shd w:val="clear" w:color="auto" w:fill="CCCCCC"/>
          </w:tcPr>
          <w:p>
            <w:pPr>
              <w:ind w:left="20"/>
              <w:spacing w:after="0"/>
              <w:rPr>
                <w:sz w:val="20"/>
                <w:szCs w:val="20"/>
                <w:color w:val="auto"/>
              </w:rPr>
            </w:pPr>
            <w:r>
              <w:rPr>
                <w:rFonts w:ascii="Arial" w:cs="Arial" w:eastAsia="Arial" w:hAnsi="Arial"/>
                <w:sz w:val="12"/>
                <w:szCs w:val="12"/>
                <w:color w:val="auto"/>
              </w:rPr>
              <w:t>Total operating expenses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$1,440.1</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$1,121.6</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28%</w:t>
            </w:r>
          </w:p>
        </w:tc>
      </w:tr>
      <w:tr>
        <w:trPr>
          <w:trHeight w:val="162"/>
        </w:trPr>
        <w:tc>
          <w:tcPr>
            <w:tcW w:w="4860" w:type="dxa"/>
            <w:vAlign w:val="bottom"/>
            <w:gridSpan w:val="3"/>
            <w:shd w:val="clear" w:color="auto" w:fill="CCCCCC"/>
          </w:tcPr>
          <w:p>
            <w:pPr>
              <w:spacing w:after="0"/>
              <w:rPr>
                <w:sz w:val="20"/>
                <w:szCs w:val="20"/>
                <w:color w:val="auto"/>
              </w:rPr>
            </w:pPr>
            <w:r>
              <w:rPr>
                <w:rFonts w:ascii="Arial" w:cs="Arial" w:eastAsia="Arial" w:hAnsi="Arial"/>
                <w:sz w:val="12"/>
                <w:szCs w:val="12"/>
                <w:i w:val="1"/>
                <w:iCs w:val="1"/>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r>
      <w:tr>
        <w:trPr>
          <w:trHeight w:val="60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140" w:type="dxa"/>
            <w:vAlign w:val="bottom"/>
          </w:tcPr>
          <w:p>
            <w:pPr>
              <w:ind w:left="620"/>
              <w:spacing w:after="0"/>
              <w:rPr>
                <w:sz w:val="20"/>
                <w:szCs w:val="20"/>
                <w:color w:val="auto"/>
              </w:rPr>
            </w:pPr>
            <w:r>
              <w:rPr>
                <w:rFonts w:ascii="Arial" w:cs="Arial" w:eastAsia="Arial" w:hAnsi="Arial"/>
                <w:sz w:val="11"/>
                <w:szCs w:val="11"/>
                <w:color w:val="auto"/>
              </w:rPr>
              <w:t>5 of 18</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-1311275</wp:posOffset>
            </wp:positionV>
            <wp:extent cx="7183755" cy="828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828675"/>
                    </a:xfrm>
                    <a:prstGeom prst="rect">
                      <a:avLst/>
                    </a:prstGeom>
                    <a:noFill/>
                  </pic:spPr>
                </pic:pic>
              </a:graphicData>
            </a:graphic>
          </wp:anchor>
        </w:drawing>
      </w:r>
    </w:p>
    <w:p>
      <w:pPr>
        <w:sectPr>
          <w:pgSz w:w="11900" w:h="16838" w:orient="portrait"/>
          <w:cols w:equalWidth="0" w:num="1">
            <w:col w:w="11300"/>
          </w:cols>
          <w:pgMar w:left="300" w:top="1151"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Other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314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3143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Full Year 2021</w:t>
            </w:r>
          </w:p>
        </w:tc>
        <w:tc>
          <w:tcPr>
            <w:tcW w:w="2200" w:type="dxa"/>
            <w:vAlign w:val="bottom"/>
            <w:shd w:val="clear" w:color="auto" w:fill="B14A32"/>
          </w:tcPr>
          <w:p>
            <w:pPr>
              <w:ind w:left="680"/>
              <w:spacing w:after="0"/>
              <w:rPr>
                <w:sz w:val="20"/>
                <w:szCs w:val="20"/>
                <w:color w:val="auto"/>
              </w:rPr>
            </w:pPr>
            <w:r>
              <w:rPr>
                <w:rFonts w:ascii="Arial" w:cs="Arial" w:eastAsia="Arial" w:hAnsi="Arial"/>
                <w:sz w:val="12"/>
                <w:szCs w:val="12"/>
                <w:b w:val="1"/>
                <w:bCs w:val="1"/>
                <w:color w:val="FFFFFF"/>
              </w:rPr>
              <w:t>Full Year 2020</w:t>
            </w:r>
          </w:p>
        </w:tc>
        <w:tc>
          <w:tcPr>
            <w:tcW w:w="2100" w:type="dxa"/>
            <w:vAlign w:val="bottom"/>
            <w:shd w:val="clear" w:color="auto" w:fill="B14A32"/>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$225.0</w:t>
            </w:r>
          </w:p>
        </w:tc>
        <w:tc>
          <w:tcPr>
            <w:tcW w:w="2200" w:type="dxa"/>
            <w:vAlign w:val="bottom"/>
            <w:shd w:val="clear" w:color="auto" w:fill="CCCCCC"/>
          </w:tcPr>
          <w:p>
            <w:pPr>
              <w:jc w:val="right"/>
              <w:ind w:right="880"/>
              <w:spacing w:after="0"/>
              <w:rPr>
                <w:sz w:val="20"/>
                <w:szCs w:val="20"/>
                <w:color w:val="auto"/>
              </w:rPr>
            </w:pPr>
            <w:r>
              <w:rPr>
                <w:rFonts w:ascii="Arial" w:cs="Arial" w:eastAsia="Arial" w:hAnsi="Arial"/>
                <w:sz w:val="12"/>
                <w:szCs w:val="12"/>
                <w:color w:val="auto"/>
              </w:rPr>
              <w:t>$141.0</w:t>
            </w:r>
          </w:p>
        </w:tc>
        <w:tc>
          <w:tcPr>
            <w:tcW w:w="21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60%</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$140.2</w:t>
            </w:r>
          </w:p>
        </w:tc>
        <w:tc>
          <w:tcPr>
            <w:tcW w:w="2200" w:type="dxa"/>
            <w:vAlign w:val="bottom"/>
            <w:shd w:val="clear" w:color="auto" w:fill="CCCCCC"/>
          </w:tcPr>
          <w:p>
            <w:pPr>
              <w:jc w:val="right"/>
              <w:ind w:right="920"/>
              <w:spacing w:after="0"/>
              <w:rPr>
                <w:sz w:val="20"/>
                <w:szCs w:val="20"/>
                <w:color w:val="auto"/>
              </w:rPr>
            </w:pPr>
            <w:r>
              <w:rPr>
                <w:rFonts w:ascii="Arial" w:cs="Arial" w:eastAsia="Arial" w:hAnsi="Arial"/>
                <w:sz w:val="12"/>
                <w:szCs w:val="12"/>
                <w:color w:val="auto"/>
              </w:rPr>
              <w:t>$99.2</w:t>
            </w:r>
          </w:p>
        </w:tc>
        <w:tc>
          <w:tcPr>
            <w:tcW w:w="21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w:t>
            </w:r>
          </w:p>
        </w:tc>
      </w:tr>
      <w:tr>
        <w:trPr>
          <w:trHeight w:val="162"/>
        </w:trPr>
        <w:tc>
          <w:tcPr>
            <w:tcW w:w="4860" w:type="dxa"/>
            <w:vAlign w:val="bottom"/>
            <w:shd w:val="clear" w:color="auto" w:fill="CCCCCC"/>
          </w:tcPr>
          <w:p>
            <w:pPr>
              <w:spacing w:after="0"/>
              <w:rPr>
                <w:sz w:val="20"/>
                <w:szCs w:val="20"/>
                <w:color w:val="auto"/>
              </w:rPr>
            </w:pPr>
            <w:r>
              <w:rPr>
                <w:rFonts w:ascii="Arial" w:cs="Arial" w:eastAsia="Arial" w:hAnsi="Arial"/>
                <w:sz w:val="12"/>
                <w:szCs w:val="12"/>
                <w:i w:val="1"/>
                <w:iCs w:val="1"/>
                <w:color w:val="auto"/>
              </w:rPr>
              <w:t>** Reflects reimbursements of $84.8 and $41.8 in 2021 and 2020, respectively</w:t>
            </w:r>
          </w:p>
        </w:tc>
        <w:tc>
          <w:tcPr>
            <w:tcW w:w="2140" w:type="dxa"/>
            <w:vAlign w:val="bottom"/>
            <w:shd w:val="clear" w:color="auto" w:fill="CCCCCC"/>
          </w:tcPr>
          <w:p>
            <w:pPr>
              <w:spacing w:after="0"/>
              <w:rPr>
                <w:sz w:val="14"/>
                <w:szCs w:val="14"/>
                <w:color w:val="auto"/>
              </w:rPr>
            </w:pPr>
          </w:p>
        </w:tc>
        <w:tc>
          <w:tcPr>
            <w:tcW w:w="2200" w:type="dxa"/>
            <w:vAlign w:val="bottom"/>
            <w:shd w:val="clear" w:color="auto" w:fill="CCCCCC"/>
          </w:tcPr>
          <w:p>
            <w:pPr>
              <w:spacing w:after="0"/>
              <w:rPr>
                <w:sz w:val="14"/>
                <w:szCs w:val="14"/>
                <w:color w:val="auto"/>
              </w:rPr>
            </w:pPr>
          </w:p>
        </w:tc>
        <w:tc>
          <w:tcPr>
            <w:tcW w:w="2100" w:type="dxa"/>
            <w:vAlign w:val="bottom"/>
            <w:shd w:val="clear" w:color="auto" w:fill="CCCCCC"/>
          </w:tcPr>
          <w:p>
            <w:pPr>
              <w:spacing w:after="0"/>
              <w:rPr>
                <w:sz w:val="14"/>
                <w:szCs w:val="1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2022 FINANCIAL FORECAST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Full Year 2022</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For full year 2022, the Company provides the following update to its forecast of key financial metrics, which were originally announced on January 9,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shd w:val="clear" w:color="auto" w:fill="B14A32"/>
          </w:tcPr>
          <w:p>
            <w:pPr>
              <w:ind w:left="20"/>
              <w:spacing w:after="0"/>
              <w:rPr>
                <w:sz w:val="20"/>
                <w:szCs w:val="20"/>
                <w:color w:val="auto"/>
              </w:rPr>
            </w:pPr>
            <w:r>
              <w:rPr>
                <w:rFonts w:ascii="Arial" w:cs="Arial" w:eastAsia="Arial" w:hAnsi="Arial"/>
                <w:sz w:val="12"/>
                <w:szCs w:val="12"/>
                <w:color w:val="FFFFFF"/>
              </w:rPr>
              <w:t>(in millions)</w:t>
            </w:r>
          </w:p>
        </w:tc>
        <w:tc>
          <w:tcPr>
            <w:tcW w:w="1320" w:type="dxa"/>
            <w:vAlign w:val="bottom"/>
            <w:shd w:val="clear" w:color="auto" w:fill="B14A32"/>
          </w:tcPr>
          <w:p>
            <w:pPr>
              <w:spacing w:after="0"/>
              <w:rPr>
                <w:sz w:val="14"/>
                <w:szCs w:val="14"/>
                <w:color w:val="auto"/>
              </w:rPr>
            </w:pPr>
          </w:p>
        </w:tc>
        <w:tc>
          <w:tcPr>
            <w:tcW w:w="600" w:type="dxa"/>
            <w:vAlign w:val="bottom"/>
            <w:shd w:val="clear" w:color="auto" w:fill="B14A32"/>
          </w:tcPr>
          <w:p>
            <w:pPr>
              <w:spacing w:after="0"/>
              <w:rPr>
                <w:sz w:val="14"/>
                <w:szCs w:val="14"/>
                <w:color w:val="auto"/>
              </w:rPr>
            </w:pPr>
          </w:p>
        </w:tc>
        <w:tc>
          <w:tcPr>
            <w:tcW w:w="2580" w:type="dxa"/>
            <w:vAlign w:val="bottom"/>
            <w:shd w:val="clear" w:color="auto" w:fill="B14A32"/>
          </w:tcPr>
          <w:p>
            <w:pPr>
              <w:ind w:left="160"/>
              <w:spacing w:after="0"/>
              <w:rPr>
                <w:sz w:val="20"/>
                <w:szCs w:val="20"/>
                <w:color w:val="auto"/>
              </w:rPr>
            </w:pPr>
            <w:r>
              <w:rPr>
                <w:rFonts w:ascii="Arial" w:cs="Arial" w:eastAsia="Arial" w:hAnsi="Arial"/>
                <w:sz w:val="12"/>
                <w:szCs w:val="12"/>
                <w:b w:val="1"/>
                <w:bCs w:val="1"/>
                <w:color w:val="FFFFFF"/>
              </w:rPr>
              <w:t>Updated 2022 Forecast</w:t>
            </w:r>
          </w:p>
        </w:tc>
        <w:tc>
          <w:tcPr>
            <w:tcW w:w="960" w:type="dxa"/>
            <w:vAlign w:val="bottom"/>
            <w:shd w:val="clear" w:color="auto" w:fill="B14A32"/>
          </w:tcPr>
          <w:p>
            <w:pPr>
              <w:spacing w:after="0"/>
              <w:rPr>
                <w:sz w:val="14"/>
                <w:szCs w:val="14"/>
                <w:color w:val="auto"/>
              </w:rPr>
            </w:pP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1320" w:type="dxa"/>
            <w:vAlign w:val="bottom"/>
            <w:shd w:val="clear" w:color="auto" w:fill="CCCCCC"/>
          </w:tcPr>
          <w:p>
            <w:pPr>
              <w:jc w:val="right"/>
              <w:spacing w:after="0"/>
              <w:rPr>
                <w:sz w:val="20"/>
                <w:szCs w:val="20"/>
                <w:color w:val="auto"/>
              </w:rPr>
            </w:pPr>
            <w:r>
              <w:rPr>
                <w:rFonts w:ascii="Arial" w:cs="Arial" w:eastAsia="Arial" w:hAnsi="Arial"/>
                <w:sz w:val="12"/>
                <w:szCs w:val="12"/>
                <w:color w:val="auto"/>
              </w:rPr>
              <w:t>$1,300</w:t>
            </w:r>
          </w:p>
        </w:tc>
        <w:tc>
          <w:tcPr>
            <w:tcW w:w="600" w:type="dxa"/>
            <w:vAlign w:val="bottom"/>
            <w:shd w:val="clear" w:color="auto" w:fill="CCCCCC"/>
          </w:tcPr>
          <w:p>
            <w:pPr>
              <w:ind w:left="20"/>
              <w:spacing w:after="0"/>
              <w:rPr>
                <w:sz w:val="20"/>
                <w:szCs w:val="20"/>
                <w:color w:val="auto"/>
              </w:rPr>
            </w:pPr>
            <w:r>
              <w:rPr>
                <w:rFonts w:ascii="Arial" w:cs="Arial" w:eastAsia="Arial" w:hAnsi="Arial"/>
                <w:sz w:val="12"/>
                <w:szCs w:val="12"/>
                <w:color w:val="auto"/>
              </w:rPr>
              <w:t>- $1,400</w:t>
            </w:r>
          </w:p>
        </w:tc>
        <w:tc>
          <w:tcPr>
            <w:tcW w:w="25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 xml:space="preserve">Revised </w:t>
            </w:r>
            <w:r>
              <w:rPr>
                <w:rFonts w:ascii="Arial" w:cs="Arial" w:eastAsia="Arial" w:hAnsi="Arial"/>
                <w:sz w:val="9"/>
                <w:szCs w:val="9"/>
                <w:color w:val="auto"/>
              </w:rPr>
              <w:t>(previous: $1,400</w:t>
            </w:r>
          </w:p>
        </w:tc>
        <w:tc>
          <w:tcPr>
            <w:tcW w:w="960" w:type="dxa"/>
            <w:vAlign w:val="bottom"/>
            <w:shd w:val="clear" w:color="auto" w:fill="CCCCCC"/>
          </w:tcPr>
          <w:p>
            <w:pPr>
              <w:ind w:left="20"/>
              <w:spacing w:after="0"/>
              <w:rPr>
                <w:sz w:val="20"/>
                <w:szCs w:val="20"/>
                <w:color w:val="auto"/>
              </w:rPr>
            </w:pPr>
            <w:r>
              <w:rPr>
                <w:rFonts w:ascii="Arial" w:cs="Arial" w:eastAsia="Arial" w:hAnsi="Arial"/>
                <w:sz w:val="10"/>
                <w:szCs w:val="10"/>
                <w:color w:val="auto"/>
              </w:rPr>
              <w:t>- $1,500)</w:t>
            </w: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EBITDA (1)</w:t>
            </w:r>
          </w:p>
        </w:tc>
        <w:tc>
          <w:tcPr>
            <w:tcW w:w="1920" w:type="dxa"/>
            <w:vAlign w:val="bottom"/>
            <w:gridSpan w:val="2"/>
            <w:shd w:val="clear" w:color="auto" w:fill="CCCCCC"/>
          </w:tcPr>
          <w:p>
            <w:pPr>
              <w:jc w:val="right"/>
              <w:ind w:right="200"/>
              <w:spacing w:after="0"/>
              <w:rPr>
                <w:sz w:val="20"/>
                <w:szCs w:val="20"/>
                <w:color w:val="auto"/>
              </w:rPr>
            </w:pPr>
            <w:r>
              <w:rPr>
                <w:rFonts w:ascii="Arial" w:cs="Arial" w:eastAsia="Arial" w:hAnsi="Arial"/>
                <w:sz w:val="12"/>
                <w:szCs w:val="12"/>
                <w:color w:val="auto"/>
              </w:rPr>
              <w:t>$240- $300</w:t>
            </w:r>
          </w:p>
        </w:tc>
        <w:tc>
          <w:tcPr>
            <w:tcW w:w="25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 xml:space="preserve">Revised </w:t>
            </w:r>
            <w:r>
              <w:rPr>
                <w:rFonts w:ascii="Arial" w:cs="Arial" w:eastAsia="Arial" w:hAnsi="Arial"/>
                <w:sz w:val="9"/>
                <w:szCs w:val="9"/>
                <w:color w:val="auto"/>
              </w:rPr>
              <w:t>(previous: $280</w:t>
            </w:r>
          </w:p>
        </w:tc>
        <w:tc>
          <w:tcPr>
            <w:tcW w:w="960" w:type="dxa"/>
            <w:vAlign w:val="bottom"/>
            <w:shd w:val="clear" w:color="auto" w:fill="CCCCCC"/>
          </w:tcPr>
          <w:p>
            <w:pPr>
              <w:ind w:left="20"/>
              <w:spacing w:after="0"/>
              <w:rPr>
                <w:sz w:val="20"/>
                <w:szCs w:val="20"/>
                <w:color w:val="auto"/>
              </w:rPr>
            </w:pPr>
            <w:r>
              <w:rPr>
                <w:rFonts w:ascii="Arial" w:cs="Arial" w:eastAsia="Arial" w:hAnsi="Arial"/>
                <w:sz w:val="10"/>
                <w:szCs w:val="10"/>
                <w:color w:val="auto"/>
              </w:rPr>
              <w:t>- $340)</w:t>
            </w: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Net Income (1)</w:t>
            </w:r>
          </w:p>
        </w:tc>
        <w:tc>
          <w:tcPr>
            <w:tcW w:w="1920" w:type="dxa"/>
            <w:vAlign w:val="bottom"/>
            <w:gridSpan w:val="2"/>
            <w:shd w:val="clear" w:color="auto" w:fill="CCCCCC"/>
          </w:tcPr>
          <w:p>
            <w:pPr>
              <w:jc w:val="right"/>
              <w:ind w:right="220"/>
              <w:spacing w:after="0"/>
              <w:rPr>
                <w:sz w:val="20"/>
                <w:szCs w:val="20"/>
                <w:color w:val="auto"/>
              </w:rPr>
            </w:pPr>
            <w:r>
              <w:rPr>
                <w:rFonts w:ascii="Arial" w:cs="Arial" w:eastAsia="Arial" w:hAnsi="Arial"/>
                <w:sz w:val="12"/>
                <w:szCs w:val="12"/>
                <w:color w:val="auto"/>
              </w:rPr>
              <w:t>$95 - $140</w:t>
            </w:r>
          </w:p>
        </w:tc>
        <w:tc>
          <w:tcPr>
            <w:tcW w:w="25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 xml:space="preserve">Revised </w:t>
            </w:r>
            <w:r>
              <w:rPr>
                <w:rFonts w:ascii="Arial" w:cs="Arial" w:eastAsia="Arial" w:hAnsi="Arial"/>
                <w:sz w:val="9"/>
                <w:szCs w:val="9"/>
                <w:color w:val="auto"/>
              </w:rPr>
              <w:t>(previous: $135</w:t>
            </w:r>
          </w:p>
        </w:tc>
        <w:tc>
          <w:tcPr>
            <w:tcW w:w="960" w:type="dxa"/>
            <w:vAlign w:val="bottom"/>
            <w:shd w:val="clear" w:color="auto" w:fill="CCCCCC"/>
          </w:tcPr>
          <w:p>
            <w:pPr>
              <w:ind w:left="20"/>
              <w:spacing w:after="0"/>
              <w:rPr>
                <w:sz w:val="20"/>
                <w:szCs w:val="20"/>
                <w:color w:val="auto"/>
              </w:rPr>
            </w:pPr>
            <w:r>
              <w:rPr>
                <w:rFonts w:ascii="Arial" w:cs="Arial" w:eastAsia="Arial" w:hAnsi="Arial"/>
                <w:sz w:val="10"/>
                <w:szCs w:val="10"/>
                <w:color w:val="auto"/>
              </w:rPr>
              <w:t>- $180)</w:t>
            </w: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Margin %</w:t>
            </w:r>
          </w:p>
        </w:tc>
        <w:tc>
          <w:tcPr>
            <w:tcW w:w="1320" w:type="dxa"/>
            <w:vAlign w:val="bottom"/>
            <w:shd w:val="clear" w:color="auto" w:fill="CCCCCC"/>
          </w:tcPr>
          <w:p>
            <w:pPr>
              <w:jc w:val="right"/>
              <w:spacing w:after="0"/>
              <w:rPr>
                <w:sz w:val="20"/>
                <w:szCs w:val="20"/>
                <w:color w:val="auto"/>
              </w:rPr>
            </w:pPr>
            <w:r>
              <w:rPr>
                <w:rFonts w:ascii="Arial" w:cs="Arial" w:eastAsia="Arial" w:hAnsi="Arial"/>
                <w:sz w:val="12"/>
                <w:szCs w:val="12"/>
                <w:color w:val="auto"/>
              </w:rPr>
              <w:t>47%</w:t>
            </w:r>
          </w:p>
        </w:tc>
        <w:tc>
          <w:tcPr>
            <w:tcW w:w="600" w:type="dxa"/>
            <w:vAlign w:val="bottom"/>
            <w:shd w:val="clear" w:color="auto" w:fill="CCCCCC"/>
          </w:tcPr>
          <w:p>
            <w:pPr>
              <w:ind w:left="20"/>
              <w:spacing w:after="0"/>
              <w:rPr>
                <w:sz w:val="20"/>
                <w:szCs w:val="20"/>
                <w:color w:val="auto"/>
              </w:rPr>
            </w:pPr>
            <w:r>
              <w:rPr>
                <w:rFonts w:ascii="Arial" w:cs="Arial" w:eastAsia="Arial" w:hAnsi="Arial"/>
                <w:sz w:val="12"/>
                <w:szCs w:val="12"/>
                <w:color w:val="auto"/>
              </w:rPr>
              <w:t>- 51%</w:t>
            </w:r>
          </w:p>
        </w:tc>
        <w:tc>
          <w:tcPr>
            <w:tcW w:w="2580" w:type="dxa"/>
            <w:vAlign w:val="bottom"/>
            <w:shd w:val="clear" w:color="auto" w:fill="CCCCCC"/>
          </w:tcPr>
          <w:p>
            <w:pPr>
              <w:ind w:left="1880"/>
              <w:spacing w:after="0"/>
              <w:rPr>
                <w:sz w:val="20"/>
                <w:szCs w:val="20"/>
                <w:color w:val="auto"/>
              </w:rPr>
            </w:pPr>
            <w:r>
              <w:rPr>
                <w:rFonts w:ascii="Arial" w:cs="Arial" w:eastAsia="Arial" w:hAnsi="Arial"/>
                <w:sz w:val="12"/>
                <w:szCs w:val="12"/>
                <w:color w:val="auto"/>
              </w:rPr>
              <w:t>Reaffirmed</w:t>
            </w:r>
          </w:p>
        </w:tc>
        <w:tc>
          <w:tcPr>
            <w:tcW w:w="960" w:type="dxa"/>
            <w:vAlign w:val="bottom"/>
            <w:shd w:val="clear" w:color="auto" w:fill="CCCCCC"/>
          </w:tcPr>
          <w:p>
            <w:pPr>
              <w:spacing w:after="0"/>
              <w:rPr>
                <w:sz w:val="14"/>
                <w:szCs w:val="14"/>
                <w:color w:val="auto"/>
              </w:rPr>
            </w:pPr>
          </w:p>
        </w:tc>
      </w:tr>
      <w:tr>
        <w:trPr>
          <w:trHeight w:val="333"/>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Product/Service Level Revenue</w:t>
            </w:r>
          </w:p>
        </w:tc>
        <w:tc>
          <w:tcPr>
            <w:tcW w:w="132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2580" w:type="dxa"/>
            <w:vAlign w:val="bottom"/>
            <w:shd w:val="clear" w:color="auto" w:fill="CCCCCC"/>
          </w:tcPr>
          <w:p>
            <w:pPr>
              <w:spacing w:after="0"/>
              <w:rPr>
                <w:sz w:val="24"/>
                <w:szCs w:val="24"/>
                <w:color w:val="auto"/>
              </w:rPr>
            </w:pPr>
          </w:p>
        </w:tc>
        <w:tc>
          <w:tcPr>
            <w:tcW w:w="960" w:type="dxa"/>
            <w:vAlign w:val="bottom"/>
            <w:shd w:val="clear" w:color="auto" w:fill="CCCCCC"/>
          </w:tcPr>
          <w:p>
            <w:pPr>
              <w:spacing w:after="0"/>
              <w:rPr>
                <w:sz w:val="24"/>
                <w:szCs w:val="24"/>
                <w:color w:val="auto"/>
              </w:rPr>
            </w:pP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 Anthrax Vaccines</w:t>
            </w:r>
          </w:p>
        </w:tc>
        <w:tc>
          <w:tcPr>
            <w:tcW w:w="1320" w:type="dxa"/>
            <w:vAlign w:val="bottom"/>
            <w:shd w:val="clear" w:color="auto" w:fill="CCCCCC"/>
          </w:tcPr>
          <w:p>
            <w:pPr>
              <w:jc w:val="right"/>
              <w:spacing w:after="0"/>
              <w:rPr>
                <w:sz w:val="20"/>
                <w:szCs w:val="20"/>
                <w:color w:val="auto"/>
              </w:rPr>
            </w:pPr>
            <w:r>
              <w:rPr>
                <w:rFonts w:ascii="Arial" w:cs="Arial" w:eastAsia="Arial" w:hAnsi="Arial"/>
                <w:sz w:val="12"/>
                <w:szCs w:val="12"/>
                <w:color w:val="auto"/>
              </w:rPr>
              <w:t>$280</w:t>
            </w:r>
          </w:p>
        </w:tc>
        <w:tc>
          <w:tcPr>
            <w:tcW w:w="60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$300</w:t>
            </w:r>
          </w:p>
        </w:tc>
        <w:tc>
          <w:tcPr>
            <w:tcW w:w="2580" w:type="dxa"/>
            <w:vAlign w:val="bottom"/>
            <w:shd w:val="clear" w:color="auto" w:fill="CCCCCC"/>
          </w:tcPr>
          <w:p>
            <w:pPr>
              <w:ind w:left="1880"/>
              <w:spacing w:after="0"/>
              <w:rPr>
                <w:sz w:val="20"/>
                <w:szCs w:val="20"/>
                <w:color w:val="auto"/>
              </w:rPr>
            </w:pPr>
            <w:r>
              <w:rPr>
                <w:rFonts w:ascii="Arial" w:cs="Arial" w:eastAsia="Arial" w:hAnsi="Arial"/>
                <w:sz w:val="12"/>
                <w:szCs w:val="12"/>
                <w:color w:val="auto"/>
              </w:rPr>
              <w:t>Reaffirmed</w:t>
            </w:r>
          </w:p>
        </w:tc>
        <w:tc>
          <w:tcPr>
            <w:tcW w:w="960" w:type="dxa"/>
            <w:vAlign w:val="bottom"/>
            <w:shd w:val="clear" w:color="auto" w:fill="CCCCCC"/>
          </w:tcPr>
          <w:p>
            <w:pPr>
              <w:spacing w:after="0"/>
              <w:rPr>
                <w:sz w:val="14"/>
                <w:szCs w:val="14"/>
                <w:color w:val="auto"/>
              </w:rPr>
            </w:pP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 ACAM2000®</w:t>
            </w:r>
          </w:p>
        </w:tc>
        <w:tc>
          <w:tcPr>
            <w:tcW w:w="1320" w:type="dxa"/>
            <w:vAlign w:val="bottom"/>
            <w:shd w:val="clear" w:color="auto" w:fill="CCCCCC"/>
          </w:tcPr>
          <w:p>
            <w:pPr>
              <w:jc w:val="right"/>
              <w:spacing w:after="0"/>
              <w:rPr>
                <w:sz w:val="20"/>
                <w:szCs w:val="20"/>
                <w:color w:val="auto"/>
              </w:rPr>
            </w:pPr>
            <w:r>
              <w:rPr>
                <w:rFonts w:ascii="Arial" w:cs="Arial" w:eastAsia="Arial" w:hAnsi="Arial"/>
                <w:sz w:val="12"/>
                <w:szCs w:val="12"/>
                <w:color w:val="auto"/>
              </w:rPr>
              <w:t>$190</w:t>
            </w:r>
          </w:p>
        </w:tc>
        <w:tc>
          <w:tcPr>
            <w:tcW w:w="600" w:type="dxa"/>
            <w:vAlign w:val="bottom"/>
            <w:shd w:val="clear" w:color="auto" w:fill="CCCCCC"/>
          </w:tcPr>
          <w:p>
            <w:pPr>
              <w:ind w:left="20"/>
              <w:spacing w:after="0"/>
              <w:rPr>
                <w:sz w:val="20"/>
                <w:szCs w:val="20"/>
                <w:color w:val="auto"/>
              </w:rPr>
            </w:pPr>
            <w:r>
              <w:rPr>
                <w:rFonts w:ascii="Arial" w:cs="Arial" w:eastAsia="Arial" w:hAnsi="Arial"/>
                <w:sz w:val="12"/>
                <w:szCs w:val="12"/>
                <w:color w:val="auto"/>
              </w:rPr>
              <w:t>- $210</w:t>
            </w:r>
          </w:p>
        </w:tc>
        <w:tc>
          <w:tcPr>
            <w:tcW w:w="2580" w:type="dxa"/>
            <w:vAlign w:val="bottom"/>
            <w:shd w:val="clear" w:color="auto" w:fill="CCCCCC"/>
          </w:tcPr>
          <w:p>
            <w:pPr>
              <w:ind w:left="1880"/>
              <w:spacing w:after="0"/>
              <w:rPr>
                <w:sz w:val="20"/>
                <w:szCs w:val="20"/>
                <w:color w:val="auto"/>
              </w:rPr>
            </w:pPr>
            <w:r>
              <w:rPr>
                <w:rFonts w:ascii="Arial" w:cs="Arial" w:eastAsia="Arial" w:hAnsi="Arial"/>
                <w:sz w:val="12"/>
                <w:szCs w:val="12"/>
                <w:color w:val="auto"/>
              </w:rPr>
              <w:t>Reaffirmed</w:t>
            </w:r>
          </w:p>
        </w:tc>
        <w:tc>
          <w:tcPr>
            <w:tcW w:w="960" w:type="dxa"/>
            <w:vAlign w:val="bottom"/>
            <w:shd w:val="clear" w:color="auto" w:fill="CCCCCC"/>
          </w:tcPr>
          <w:p>
            <w:pPr>
              <w:spacing w:after="0"/>
              <w:rPr>
                <w:sz w:val="14"/>
                <w:szCs w:val="14"/>
                <w:color w:val="auto"/>
              </w:rPr>
            </w:pP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 Nasal Naloxone Products</w:t>
            </w:r>
          </w:p>
        </w:tc>
        <w:tc>
          <w:tcPr>
            <w:tcW w:w="1320" w:type="dxa"/>
            <w:vAlign w:val="bottom"/>
            <w:shd w:val="clear" w:color="auto" w:fill="CCCCCC"/>
          </w:tcPr>
          <w:p>
            <w:pPr>
              <w:jc w:val="right"/>
              <w:spacing w:after="0"/>
              <w:rPr>
                <w:sz w:val="20"/>
                <w:szCs w:val="20"/>
                <w:color w:val="auto"/>
              </w:rPr>
            </w:pPr>
            <w:r>
              <w:rPr>
                <w:rFonts w:ascii="Arial" w:cs="Arial" w:eastAsia="Arial" w:hAnsi="Arial"/>
                <w:sz w:val="12"/>
                <w:szCs w:val="12"/>
                <w:color w:val="auto"/>
              </w:rPr>
              <w:t>$240</w:t>
            </w:r>
          </w:p>
        </w:tc>
        <w:tc>
          <w:tcPr>
            <w:tcW w:w="60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$310</w:t>
            </w:r>
          </w:p>
        </w:tc>
        <w:tc>
          <w:tcPr>
            <w:tcW w:w="2580" w:type="dxa"/>
            <w:vAlign w:val="bottom"/>
            <w:shd w:val="clear" w:color="auto" w:fill="CCCCCC"/>
          </w:tcPr>
          <w:p>
            <w:pPr>
              <w:ind w:left="1880"/>
              <w:spacing w:after="0"/>
              <w:rPr>
                <w:sz w:val="20"/>
                <w:szCs w:val="20"/>
                <w:color w:val="auto"/>
              </w:rPr>
            </w:pPr>
            <w:r>
              <w:rPr>
                <w:rFonts w:ascii="Arial" w:cs="Arial" w:eastAsia="Arial" w:hAnsi="Arial"/>
                <w:sz w:val="12"/>
                <w:szCs w:val="12"/>
                <w:color w:val="auto"/>
              </w:rPr>
              <w:t>Reaffirmed</w:t>
            </w:r>
          </w:p>
        </w:tc>
        <w:tc>
          <w:tcPr>
            <w:tcW w:w="960" w:type="dxa"/>
            <w:vAlign w:val="bottom"/>
            <w:shd w:val="clear" w:color="auto" w:fill="CCCCCC"/>
          </w:tcPr>
          <w:p>
            <w:pPr>
              <w:spacing w:after="0"/>
              <w:rPr>
                <w:sz w:val="14"/>
                <w:szCs w:val="14"/>
                <w:color w:val="auto"/>
              </w:rPr>
            </w:pP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 CDMO Services</w:t>
            </w:r>
          </w:p>
        </w:tc>
        <w:tc>
          <w:tcPr>
            <w:tcW w:w="1320" w:type="dxa"/>
            <w:vAlign w:val="bottom"/>
            <w:shd w:val="clear" w:color="auto" w:fill="CCCCCC"/>
          </w:tcPr>
          <w:p>
            <w:pPr>
              <w:jc w:val="right"/>
              <w:spacing w:after="0"/>
              <w:rPr>
                <w:sz w:val="20"/>
                <w:szCs w:val="20"/>
                <w:color w:val="auto"/>
              </w:rPr>
            </w:pPr>
            <w:r>
              <w:rPr>
                <w:rFonts w:ascii="Arial" w:cs="Arial" w:eastAsia="Arial" w:hAnsi="Arial"/>
                <w:sz w:val="12"/>
                <w:szCs w:val="12"/>
                <w:color w:val="auto"/>
              </w:rPr>
              <w:t>$330</w:t>
            </w:r>
          </w:p>
        </w:tc>
        <w:tc>
          <w:tcPr>
            <w:tcW w:w="60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$380</w:t>
            </w:r>
          </w:p>
        </w:tc>
        <w:tc>
          <w:tcPr>
            <w:tcW w:w="25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 xml:space="preserve">Revised </w:t>
            </w:r>
            <w:r>
              <w:rPr>
                <w:rFonts w:ascii="Arial" w:cs="Arial" w:eastAsia="Arial" w:hAnsi="Arial"/>
                <w:sz w:val="9"/>
                <w:szCs w:val="9"/>
                <w:color w:val="auto"/>
              </w:rPr>
              <w:t>(previous: $430</w:t>
            </w:r>
          </w:p>
        </w:tc>
        <w:tc>
          <w:tcPr>
            <w:tcW w:w="960" w:type="dxa"/>
            <w:vAlign w:val="bottom"/>
            <w:shd w:val="clear" w:color="auto" w:fill="CCCCCC"/>
          </w:tcPr>
          <w:p>
            <w:pPr>
              <w:ind w:left="20"/>
              <w:spacing w:after="0"/>
              <w:rPr>
                <w:sz w:val="20"/>
                <w:szCs w:val="20"/>
                <w:color w:val="auto"/>
              </w:rPr>
            </w:pPr>
            <w:r>
              <w:rPr>
                <w:rFonts w:ascii="Arial" w:cs="Arial" w:eastAsia="Arial" w:hAnsi="Arial"/>
                <w:sz w:val="10"/>
                <w:szCs w:val="10"/>
                <w:color w:val="auto"/>
              </w:rPr>
              <w:t>- $480)</w:t>
            </w:r>
          </w:p>
        </w:tc>
      </w:tr>
      <w:tr>
        <w:trPr>
          <w:trHeight w:val="162"/>
        </w:trPr>
        <w:tc>
          <w:tcPr>
            <w:tcW w:w="5820" w:type="dxa"/>
            <w:vAlign w:val="bottom"/>
            <w:shd w:val="clear" w:color="auto" w:fill="CCCCCC"/>
          </w:tcPr>
          <w:p>
            <w:pPr>
              <w:ind w:left="20"/>
              <w:spacing w:after="0"/>
              <w:rPr>
                <w:sz w:val="20"/>
                <w:szCs w:val="20"/>
                <w:color w:val="auto"/>
              </w:rPr>
            </w:pPr>
            <w:r>
              <w:rPr>
                <w:rFonts w:ascii="Arial" w:cs="Arial" w:eastAsia="Arial" w:hAnsi="Arial"/>
                <w:sz w:val="12"/>
                <w:szCs w:val="12"/>
                <w:color w:val="auto"/>
              </w:rPr>
              <w:t>• Other Products + Contracts and Grants</w:t>
            </w:r>
          </w:p>
        </w:tc>
        <w:tc>
          <w:tcPr>
            <w:tcW w:w="1320" w:type="dxa"/>
            <w:vAlign w:val="bottom"/>
            <w:shd w:val="clear" w:color="auto" w:fill="CCCCCC"/>
          </w:tcPr>
          <w:p>
            <w:pPr>
              <w:jc w:val="right"/>
              <w:spacing w:after="0"/>
              <w:rPr>
                <w:sz w:val="20"/>
                <w:szCs w:val="20"/>
                <w:color w:val="auto"/>
              </w:rPr>
            </w:pPr>
            <w:r>
              <w:rPr>
                <w:rFonts w:ascii="Arial" w:cs="Arial" w:eastAsia="Arial" w:hAnsi="Arial"/>
                <w:sz w:val="12"/>
                <w:szCs w:val="12"/>
                <w:color w:val="auto"/>
              </w:rPr>
              <w:t>$200</w:t>
            </w:r>
          </w:p>
        </w:tc>
        <w:tc>
          <w:tcPr>
            <w:tcW w:w="600" w:type="dxa"/>
            <w:vAlign w:val="bottom"/>
            <w:shd w:val="clear" w:color="auto" w:fill="CCCCCC"/>
          </w:tcPr>
          <w:p>
            <w:pPr>
              <w:ind w:left="20"/>
              <w:spacing w:after="0"/>
              <w:rPr>
                <w:sz w:val="20"/>
                <w:szCs w:val="20"/>
                <w:color w:val="auto"/>
              </w:rPr>
            </w:pPr>
            <w:r>
              <w:rPr>
                <w:rFonts w:ascii="Arial" w:cs="Arial" w:eastAsia="Arial" w:hAnsi="Arial"/>
                <w:sz w:val="12"/>
                <w:szCs w:val="12"/>
                <w:color w:val="auto"/>
              </w:rPr>
              <w:t>- $260</w:t>
            </w:r>
          </w:p>
        </w:tc>
        <w:tc>
          <w:tcPr>
            <w:tcW w:w="2580" w:type="dxa"/>
            <w:vAlign w:val="bottom"/>
            <w:shd w:val="clear" w:color="auto" w:fill="CCCCCC"/>
          </w:tcPr>
          <w:p>
            <w:pPr>
              <w:ind w:left="1880"/>
              <w:spacing w:after="0"/>
              <w:rPr>
                <w:sz w:val="20"/>
                <w:szCs w:val="20"/>
                <w:color w:val="auto"/>
              </w:rPr>
            </w:pPr>
            <w:r>
              <w:rPr>
                <w:rFonts w:ascii="Arial" w:cs="Arial" w:eastAsia="Arial" w:hAnsi="Arial"/>
                <w:sz w:val="12"/>
                <w:szCs w:val="12"/>
                <w:color w:val="auto"/>
              </w:rPr>
              <w:t>Reaffirmed</w:t>
            </w:r>
          </w:p>
        </w:tc>
        <w:tc>
          <w:tcPr>
            <w:tcW w:w="960" w:type="dxa"/>
            <w:vAlign w:val="bottom"/>
            <w:shd w:val="clear" w:color="auto" w:fill="CCCCC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-1239520</wp:posOffset>
            </wp:positionV>
            <wp:extent cx="7172325" cy="1245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12458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The Company's 2022 financial forecast includes the following considerations: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Revised Considerations</w:t>
      </w:r>
    </w:p>
    <w:p>
      <w:pPr>
        <w:spacing w:after="0" w:line="180" w:lineRule="exact"/>
        <w:rPr>
          <w:sz w:val="20"/>
          <w:szCs w:val="20"/>
          <w:color w:val="auto"/>
        </w:rPr>
      </w:pPr>
    </w:p>
    <w:p>
      <w:pPr>
        <w:jc w:val="both"/>
        <w:ind w:right="40"/>
        <w:spacing w:after="0" w:line="261" w:lineRule="auto"/>
        <w:rPr>
          <w:sz w:val="20"/>
          <w:szCs w:val="20"/>
          <w:color w:val="auto"/>
        </w:rPr>
      </w:pPr>
      <w:r>
        <w:rPr>
          <w:rFonts w:ascii="Arial" w:cs="Arial" w:eastAsia="Arial" w:hAnsi="Arial"/>
          <w:sz w:val="12"/>
          <w:szCs w:val="12"/>
          <w:color w:val="auto"/>
        </w:rPr>
        <w:t>The revision to total revenues, CDMO services revenue, Adjusted EBITDA and adjusted net income reflect the impact of the Company's decision to take the opportunity to initiate a maintenance period that it would normally plan for the Bayview facility earlier than anticipated and also extend it in order to make additional improvements and modifications that will better position Bayview for future non-pandemic work.</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Unchanged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2022 Product/Service Level Revenues – Select Assumptions</w:t>
      </w:r>
    </w:p>
    <w:p>
      <w:pPr>
        <w:ind w:left="240" w:hanging="194"/>
        <w:spacing w:after="0"/>
        <w:tabs>
          <w:tab w:leader="none" w:pos="2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Anthrax vaccines revenues are expected to continue at similar levels to 2021 under the terms of the Company's existing contract with BARDA.</w:t>
      </w:r>
    </w:p>
    <w:p>
      <w:pPr>
        <w:ind w:left="260" w:right="360" w:hanging="214"/>
        <w:spacing w:after="0" w:line="219" w:lineRule="auto"/>
        <w:tabs>
          <w:tab w:leader="none" w:pos="230" w:val="left"/>
        </w:tabs>
        <w:numPr>
          <w:ilvl w:val="0"/>
          <w:numId w:val="5"/>
        </w:numPr>
        <w:rPr>
          <w:rFonts w:ascii="Arial" w:cs="Arial" w:eastAsia="Arial" w:hAnsi="Arial"/>
          <w:sz w:val="12"/>
          <w:szCs w:val="12"/>
          <w:color w:val="auto"/>
        </w:rPr>
      </w:pPr>
      <w:r>
        <w:rPr>
          <w:rFonts w:ascii="Arial" w:cs="Arial" w:eastAsia="Arial" w:hAnsi="Arial"/>
          <w:sz w:val="12"/>
          <w:szCs w:val="12"/>
          <w:color w:val="auto"/>
        </w:rPr>
        <w:t>ACAM2000® (Smallpox (Vaccinia) Vaccine, Live) vaccine deliveries are expected to continue under the terms of the Company’s existing contract with the U.S. Department of Health and Human Services (HHS) at unit volume levels consistent with 2021 deliveries.</w:t>
      </w:r>
    </w:p>
    <w:p>
      <w:pPr>
        <w:ind w:left="260" w:right="280" w:hanging="214"/>
        <w:spacing w:after="0" w:line="219" w:lineRule="auto"/>
        <w:tabs>
          <w:tab w:leader="none" w:pos="230" w:val="left"/>
        </w:tabs>
        <w:numPr>
          <w:ilvl w:val="0"/>
          <w:numId w:val="5"/>
        </w:numPr>
        <w:rPr>
          <w:rFonts w:ascii="Arial" w:cs="Arial" w:eastAsia="Arial" w:hAnsi="Arial"/>
          <w:sz w:val="12"/>
          <w:szCs w:val="12"/>
          <w:color w:val="auto"/>
        </w:rPr>
      </w:pPr>
      <w:r>
        <w:rPr>
          <w:rFonts w:ascii="Arial" w:cs="Arial" w:eastAsia="Arial" w:hAnsi="Arial"/>
          <w:sz w:val="12"/>
          <w:szCs w:val="12"/>
          <w:color w:val="auto"/>
        </w:rPr>
        <w:t>Nasal naloxone products revenues reflect the formation of a generic market and comprise revenues from a combination of NARCAN®(naloxone HCl) Nasal Spray and the authorized generic of NARCAN® Nasal Spray, a product licensed to Sandoz and launched in late 2021 and one in which the Company retains a financial interest.</w:t>
      </w:r>
    </w:p>
    <w:p>
      <w:pPr>
        <w:ind w:left="260" w:right="100" w:hanging="214"/>
        <w:spacing w:after="0" w:line="235" w:lineRule="auto"/>
        <w:tabs>
          <w:tab w:leader="none" w:pos="230" w:val="left"/>
        </w:tabs>
        <w:numPr>
          <w:ilvl w:val="0"/>
          <w:numId w:val="5"/>
        </w:numPr>
        <w:rPr>
          <w:rFonts w:ascii="Arial" w:cs="Arial" w:eastAsia="Arial" w:hAnsi="Arial"/>
          <w:sz w:val="12"/>
          <w:szCs w:val="12"/>
          <w:color w:val="auto"/>
        </w:rPr>
      </w:pPr>
      <w:r>
        <w:rPr>
          <w:rFonts w:ascii="Arial" w:cs="Arial" w:eastAsia="Arial" w:hAnsi="Arial"/>
          <w:sz w:val="12"/>
          <w:szCs w:val="12"/>
          <w:color w:val="auto"/>
        </w:rPr>
        <w:t>Other Products + Contracts and Grants revenues: 1) other products revenues reflect continued procurement of other products not highlighted on a standalone basis from various government customers under existing multi-year contracts; 2) contracts and grants revenues reflect continued funding of select development programs from various government and other non-dilutive sources.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 of 18</w:t>
      </w:r>
    </w:p>
    <w:p>
      <w:pPr>
        <w:sectPr>
          <w:pgSz w:w="11900" w:h="16838" w:orient="portrait"/>
          <w:cols w:equalWidth="0" w:num="1">
            <w:col w:w="11300"/>
          </w:cols>
          <w:pgMar w:left="300" w:top="1151"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Other 2022 Assumptions</w:t>
      </w:r>
    </w:p>
    <w:p>
      <w:pPr>
        <w:ind w:left="248" w:hanging="194"/>
        <w:spacing w:after="0" w:line="222" w:lineRule="auto"/>
        <w:tabs>
          <w:tab w:leader="none" w:pos="248" w:val="left"/>
        </w:tabs>
        <w:numPr>
          <w:ilvl w:val="0"/>
          <w:numId w:val="6"/>
        </w:numPr>
        <w:rPr>
          <w:rFonts w:ascii="Arial" w:cs="Arial" w:eastAsia="Arial" w:hAnsi="Arial"/>
          <w:sz w:val="12"/>
          <w:szCs w:val="12"/>
          <w:color w:val="auto"/>
        </w:rPr>
      </w:pPr>
      <w:r>
        <w:rPr>
          <w:rFonts w:ascii="Arial" w:cs="Arial" w:eastAsia="Arial" w:hAnsi="Arial"/>
          <w:sz w:val="12"/>
          <w:szCs w:val="12"/>
          <w:color w:val="auto"/>
        </w:rPr>
        <w:t>Gross margin primarily reflects the influence of the mix of product and services revenues.</w:t>
      </w:r>
    </w:p>
    <w:p>
      <w:pPr>
        <w:ind w:left="268" w:right="140" w:hanging="214"/>
        <w:spacing w:after="0" w:line="219" w:lineRule="auto"/>
        <w:tabs>
          <w:tab w:leader="none" w:pos="238" w:val="left"/>
        </w:tabs>
        <w:numPr>
          <w:ilvl w:val="0"/>
          <w:numId w:val="6"/>
        </w:numPr>
        <w:rPr>
          <w:rFonts w:ascii="Arial" w:cs="Arial" w:eastAsia="Arial" w:hAnsi="Arial"/>
          <w:sz w:val="12"/>
          <w:szCs w:val="12"/>
          <w:color w:val="auto"/>
        </w:rPr>
      </w:pPr>
      <w:r>
        <w:rPr>
          <w:rFonts w:ascii="Arial" w:cs="Arial" w:eastAsia="Arial" w:hAnsi="Arial"/>
          <w:sz w:val="12"/>
          <w:szCs w:val="12"/>
          <w:color w:val="auto"/>
        </w:rPr>
        <w:t>Pipeline progress is expected across the R&amp;D portfolio with the ongoing advancement of the CHIKV VLP Phase 3 clinical trial, the completion of the BLA filing for AV7909, and anticipated advancements of a number of early-stage programs.</w:t>
      </w:r>
    </w:p>
    <w:p>
      <w:pPr>
        <w:ind w:left="268" w:right="100" w:hanging="214"/>
        <w:spacing w:after="0" w:line="235" w:lineRule="auto"/>
        <w:tabs>
          <w:tab w:leader="none" w:pos="238" w:val="left"/>
        </w:tabs>
        <w:numPr>
          <w:ilvl w:val="0"/>
          <w:numId w:val="6"/>
        </w:numPr>
        <w:rPr>
          <w:rFonts w:ascii="Arial" w:cs="Arial" w:eastAsia="Arial" w:hAnsi="Arial"/>
          <w:sz w:val="12"/>
          <w:szCs w:val="12"/>
          <w:color w:val="auto"/>
        </w:rPr>
      </w:pPr>
      <w:r>
        <w:rPr>
          <w:rFonts w:ascii="Arial" w:cs="Arial" w:eastAsia="Arial" w:hAnsi="Arial"/>
          <w:sz w:val="12"/>
          <w:szCs w:val="12"/>
          <w:color w:val="auto"/>
        </w:rPr>
        <w:t>Capital expenditures, net of reimbursement, are expected to be approximately 10% of total revenues at the midpoint, reflecting ongoing investments in capacity and capability expansions related to the CDMO business and the Company's R&amp;D programs, and aligned with the average over the previous five-year period.</w:t>
      </w:r>
    </w:p>
    <w:p>
      <w:pPr>
        <w:spacing w:after="0" w:line="94" w:lineRule="exact"/>
        <w:rPr>
          <w:sz w:val="20"/>
          <w:szCs w:val="20"/>
          <w:color w:val="auto"/>
        </w:rPr>
      </w:pPr>
    </w:p>
    <w:p>
      <w:pPr>
        <w:ind w:left="168"/>
        <w:spacing w:after="0"/>
        <w:rPr>
          <w:sz w:val="20"/>
          <w:szCs w:val="20"/>
          <w:color w:val="auto"/>
        </w:rPr>
      </w:pPr>
      <w:r>
        <w:rPr>
          <w:rFonts w:ascii="Arial" w:cs="Arial" w:eastAsia="Arial" w:hAnsi="Arial"/>
          <w:sz w:val="12"/>
          <w:szCs w:val="12"/>
          <w:b w:val="1"/>
          <w:bCs w:val="1"/>
          <w:u w:val="single" w:color="auto"/>
          <w:color w:val="auto"/>
        </w:rPr>
        <w:t>Q1 2022</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Q1 2022, the Company expects total revenues of $280 million to $310 million.</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FOOTNOTES</w:t>
      </w:r>
    </w:p>
    <w:p>
      <w:pPr>
        <w:spacing w:after="0" w:line="170" w:lineRule="exact"/>
        <w:rPr>
          <w:sz w:val="20"/>
          <w:szCs w:val="20"/>
          <w:color w:val="auto"/>
        </w:rPr>
      </w:pPr>
    </w:p>
    <w:p>
      <w:pPr>
        <w:ind w:left="188" w:hanging="188"/>
        <w:spacing w:after="0"/>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All financial information incorporated within this release is unaudited.</w:t>
      </w:r>
    </w:p>
    <w:p>
      <w:pPr>
        <w:spacing w:after="0" w:line="18" w:lineRule="exact"/>
        <w:rPr>
          <w:rFonts w:ascii="Arial" w:cs="Arial" w:eastAsia="Arial" w:hAnsi="Arial"/>
          <w:sz w:val="12"/>
          <w:szCs w:val="12"/>
          <w:i w:val="1"/>
          <w:iCs w:val="1"/>
          <w:color w:val="auto"/>
        </w:rPr>
      </w:pPr>
    </w:p>
    <w:p>
      <w:pPr>
        <w:ind w:left="8" w:right="60" w:hanging="8"/>
        <w:spacing w:after="0" w:line="250"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See "Reconciliation of Net Income to Adjusted Net Income," "Reconciliation of Net Income to Adjusted EBITDA," "Reconciliation of Product Gross Margin and Adjusted Product Gross Margin," "Reconciliation of CDMO Gross Margin and Adjusted CDMO Gross Margin" and "Adjusted Revenues" for a definition of terms and the reconciliation tables.</w:t>
      </w:r>
    </w:p>
    <w:p>
      <w:pPr>
        <w:ind w:left="188" w:hanging="188"/>
        <w:spacing w:after="0"/>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Product sales, net are reported net of variable consideration including returns, rebates, wholesaler fees and prompt pay discounts.</w:t>
      </w:r>
    </w:p>
    <w:p>
      <w:pPr>
        <w:spacing w:after="0" w:line="6" w:lineRule="exact"/>
        <w:rPr>
          <w:rFonts w:ascii="Arial" w:cs="Arial" w:eastAsia="Arial" w:hAnsi="Arial"/>
          <w:sz w:val="12"/>
          <w:szCs w:val="12"/>
          <w:i w:val="1"/>
          <w:iCs w:val="1"/>
          <w:color w:val="auto"/>
        </w:rPr>
      </w:pPr>
    </w:p>
    <w:p>
      <w:pPr>
        <w:ind w:left="188" w:hanging="188"/>
        <w:spacing w:after="0" w:line="234"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Other can include a combination of sales of any of the following products: BAT, VIGIV, Anthrasil, raxibacumab, RSDL, Trobigard, Vivotif, and Vaxchora.</w:t>
      </w:r>
    </w:p>
    <w:p>
      <w:pPr>
        <w:ind w:left="188" w:hanging="188"/>
        <w:spacing w:after="0" w:line="219"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CDMO New Business Secured is defined as initial value of contracts secured as well as incremental value of existing contracts modified within the indicated period and is incorporated into Backlog.</w:t>
      </w:r>
    </w:p>
    <w:p>
      <w:pPr>
        <w:ind w:left="8" w:right="460" w:hanging="8"/>
        <w:spacing w:after="0" w:line="219"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CDMO Backlog is defined as estimated remaining contract value as of the indicated period pursuant to signed contracts, the majority of which is expected to be recognized over the next 24 months. This excludes any value associated with an extension of the commercial supply agreement (CSA) with Johnson &amp; Johnson.</w:t>
      </w:r>
    </w:p>
    <w:p>
      <w:pPr>
        <w:ind w:left="8" w:right="80" w:hanging="8"/>
        <w:spacing w:after="0" w:line="229"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CDMO Customers is defined as a client (commercial, government, NGO) for whom the Company has performed CDMO services where there is evidence of meeting all of the following criteria: i) completion of any invoiceable project milestones in the preceding 24-month period, indicating ongoing work; ii) secured project work planned in the future, which has not yet been invoiced, capturing future work not yet indicated in the invoice record; and, iii) neither the Company nor the client having yet to formally terminate the last remaining project, thereby removing any client for whom work has fully concluded.</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CONFERENCE CALL, PRESENTATION SUPPLEMENT AND WEBCAST INFORMATION</w:t>
      </w:r>
    </w:p>
    <w:p>
      <w:pPr>
        <w:spacing w:after="0" w:line="93" w:lineRule="exact"/>
        <w:rPr>
          <w:sz w:val="20"/>
          <w:szCs w:val="20"/>
          <w:color w:val="auto"/>
        </w:rPr>
      </w:pPr>
    </w:p>
    <w:p>
      <w:pPr>
        <w:ind w:left="8" w:right="180"/>
        <w:spacing w:after="0" w:line="261" w:lineRule="auto"/>
        <w:rPr>
          <w:sz w:val="20"/>
          <w:szCs w:val="20"/>
          <w:color w:val="auto"/>
        </w:rPr>
      </w:pPr>
      <w:r>
        <w:rPr>
          <w:rFonts w:ascii="Arial" w:cs="Arial" w:eastAsia="Arial" w:hAnsi="Arial"/>
          <w:sz w:val="12"/>
          <w:szCs w:val="12"/>
          <w:color w:val="auto"/>
        </w:rPr>
        <w:t>Company management will host a conference call at 5:00 pm (Eastern Time) today, February 24, 2022, to discuss these financial results. The conference call and presentation supplement can be accessed from the Company's website or through the following:</w:t>
      </w:r>
    </w:p>
    <w:p>
      <w:pPr>
        <w:ind w:left="8"/>
        <w:spacing w:after="0" w:line="229" w:lineRule="auto"/>
        <w:rPr>
          <w:sz w:val="20"/>
          <w:szCs w:val="20"/>
          <w:color w:val="auto"/>
        </w:rPr>
      </w:pPr>
      <w:r>
        <w:rPr>
          <w:rFonts w:ascii="Arial" w:cs="Arial" w:eastAsia="Arial" w:hAnsi="Arial"/>
          <w:sz w:val="12"/>
          <w:szCs w:val="12"/>
          <w:u w:val="single" w:color="auto"/>
          <w:color w:val="auto"/>
        </w:rPr>
        <w:t>Live Teleconference Information:</w:t>
      </w:r>
    </w:p>
    <w:p>
      <w:pPr>
        <w:ind w:left="8"/>
        <w:spacing w:after="0" w:line="219" w:lineRule="auto"/>
        <w:rPr>
          <w:sz w:val="20"/>
          <w:szCs w:val="20"/>
          <w:color w:val="auto"/>
        </w:rPr>
      </w:pPr>
      <w:r>
        <w:rPr>
          <w:rFonts w:ascii="Arial" w:cs="Arial" w:eastAsia="Arial" w:hAnsi="Arial"/>
          <w:sz w:val="12"/>
          <w:szCs w:val="12"/>
          <w:color w:val="auto"/>
        </w:rPr>
        <w:t>Dial in: [US] (855) 766-6521; [International] (262) 912-6157</w:t>
      </w:r>
    </w:p>
    <w:p>
      <w:pPr>
        <w:ind w:left="8"/>
        <w:spacing w:after="0"/>
        <w:rPr>
          <w:sz w:val="20"/>
          <w:szCs w:val="20"/>
          <w:color w:val="auto"/>
        </w:rPr>
      </w:pPr>
      <w:r>
        <w:rPr>
          <w:rFonts w:ascii="Arial" w:cs="Arial" w:eastAsia="Arial" w:hAnsi="Arial"/>
          <w:sz w:val="12"/>
          <w:szCs w:val="12"/>
          <w:color w:val="auto"/>
        </w:rPr>
        <w:t>Conference ID: 7619558</w:t>
      </w:r>
    </w:p>
    <w:p>
      <w:pPr>
        <w:spacing w:after="0" w:line="3"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Live Webcast Information:</w:t>
      </w:r>
    </w:p>
    <w:p>
      <w:pPr>
        <w:ind w:left="8"/>
        <w:spacing w:after="0"/>
        <w:rPr>
          <w:sz w:val="20"/>
          <w:szCs w:val="20"/>
          <w:color w:val="auto"/>
        </w:rPr>
      </w:pPr>
      <w:r>
        <w:rPr>
          <w:rFonts w:ascii="Arial" w:cs="Arial" w:eastAsia="Arial" w:hAnsi="Arial"/>
          <w:sz w:val="12"/>
          <w:szCs w:val="12"/>
          <w:color w:val="auto"/>
        </w:rPr>
        <w:t>Visit https://edge.media-server.com/mmc/p/tfd93ojy for the webcast.</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color w:val="auto"/>
        </w:rPr>
        <w:t>A replay of the call can be accessed from the Emergent website.</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ABOUT EMERGENT BIOSOLUTIONS INC.</w:t>
      </w:r>
    </w:p>
    <w:p>
      <w:pPr>
        <w:spacing w:after="0" w:line="93" w:lineRule="exact"/>
        <w:rPr>
          <w:sz w:val="20"/>
          <w:szCs w:val="20"/>
          <w:color w:val="auto"/>
        </w:rPr>
      </w:pPr>
    </w:p>
    <w:p>
      <w:pPr>
        <w:ind w:left="8"/>
        <w:spacing w:after="0" w:line="238" w:lineRule="auto"/>
        <w:rPr>
          <w:sz w:val="20"/>
          <w:szCs w:val="20"/>
          <w:color w:val="auto"/>
        </w:rPr>
      </w:pPr>
      <w:r>
        <w:rPr>
          <w:rFonts w:ascii="Arial" w:cs="Arial" w:eastAsia="Arial" w:hAnsi="Arial"/>
          <w:sz w:val="12"/>
          <w:szCs w:val="12"/>
          <w:color w:val="auto"/>
        </w:rPr>
        <w:t>At Emergent, our mission is to protect and enhance life. We develop, manufacture, and deliver protections against public health threats through a pipeline of innovative vaccines and therapeutics. For over 20 years, we’ve been at work defending people from things we hope will never happen—so that we’re prepared just in case they ever do. We do what we do because we see the opportunity to create a better, more secure world. One where preparedness empowers protection from the threats we face. And peace of mind prevails. In working together, we envision protecting or enhancing 1 billion lives by 2030. For more information, visit our website and follow us on LinkedIn, Twitter, and Instagram.</w:t>
      </w: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7 of 18</w:t>
      </w:r>
    </w:p>
    <w:p>
      <w:pPr>
        <w:sectPr>
          <w:pgSz w:w="11900" w:h="16838" w:orient="portrait"/>
          <w:cols w:equalWidth="0" w:num="1">
            <w:col w:w="11308"/>
          </w:cols>
          <w:pgMar w:left="292" w:top="980"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RECONCILIATION OF NON-GAAP MEASURES</w:t>
      </w:r>
    </w:p>
    <w:p>
      <w:pPr>
        <w:spacing w:after="0" w:line="78"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 xml:space="preserve">This press release contains financial measures </w:t>
      </w:r>
      <w:r>
        <w:rPr>
          <w:rFonts w:ascii="Arial" w:cs="Arial" w:eastAsia="Arial" w:hAnsi="Arial"/>
          <w:sz w:val="11"/>
          <w:szCs w:val="11"/>
          <w:b w:val="1"/>
          <w:bCs w:val="1"/>
          <w:color w:val="auto"/>
        </w:rPr>
        <w:t>(Adjusted Net Income, Adjusted EBITDA (Earnings Before Interest, Taxes, Depreciation and Amortization), Adjusted Revenues, Adjusted COGS, Adjusted</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Gross Margin, Adjusted Cost of Product Sales, Adjusted Product Margin, Adjusted CDMO Service Revenues and Adjusted CDMO Service Margin) </w:t>
      </w:r>
      <w:r>
        <w:rPr>
          <w:rFonts w:ascii="Arial" w:cs="Arial" w:eastAsia="Arial" w:hAnsi="Arial"/>
          <w:sz w:val="11"/>
          <w:szCs w:val="11"/>
          <w:color w:val="auto"/>
        </w:rPr>
        <w:t>that are considered “non-GAAP” financial measures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under 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For its non-GAAP measures, the Company adjusts for specified items that can be highly variable or difficult to predict, or reflect the non-cash impact of charges or accounting changes. As needed, such adjustments are tax effected utilizing the federal statutory tax rate for the U.S., except for both changes in the fair value of contingent consideration, the vast majority of which is non-deductible for tax purposes, and goodwill impairment, all of which is non-deductible for tax purposes.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 For more information on these non-GAAP financial measures, please see the tables captioned "Reconciliation of Net Income to Adjusted Net Income," "Reconciliation of Net Income to Adjusted EBITDA," "Reconciliation of Gross Margin and Adjusted Gross Margin," "Reconciliation of Product Margin and Adjusted Product Margin," and "Reconciliation of CDMO Services Margin and Adjusted CDMO Services Margin" and included at the end of this release.</w:t>
      </w:r>
    </w:p>
    <w:p>
      <w:pPr>
        <w:spacing w:after="0" w:line="159" w:lineRule="exact"/>
        <w:rPr>
          <w:sz w:val="20"/>
          <w:szCs w:val="20"/>
          <w:color w:val="auto"/>
        </w:rPr>
      </w:pPr>
    </w:p>
    <w:p>
      <w:pPr>
        <w:ind w:right="300"/>
        <w:spacing w:after="0" w:line="256" w:lineRule="auto"/>
        <w:rPr>
          <w:sz w:val="20"/>
          <w:szCs w:val="20"/>
          <w:color w:val="auto"/>
        </w:rPr>
      </w:pPr>
      <w:r>
        <w:rPr>
          <w:rFonts w:ascii="Arial" w:cs="Arial" w:eastAsia="Arial" w:hAnsi="Arial"/>
          <w:sz w:val="12"/>
          <w:szCs w:val="12"/>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w:t>
      </w:r>
    </w:p>
    <w:p>
      <w:pPr>
        <w:spacing w:after="0" w:line="84" w:lineRule="exact"/>
        <w:rPr>
          <w:sz w:val="20"/>
          <w:szCs w:val="20"/>
          <w:color w:val="auto"/>
        </w:rPr>
      </w:pPr>
    </w:p>
    <w:p>
      <w:pPr>
        <w:ind w:right="20"/>
        <w:spacing w:after="0" w:line="223" w:lineRule="auto"/>
        <w:rPr>
          <w:sz w:val="20"/>
          <w:szCs w:val="20"/>
          <w:color w:val="auto"/>
        </w:rPr>
      </w:pPr>
      <w:r>
        <w:rPr>
          <w:rFonts w:ascii="Arial" w:cs="Arial" w:eastAsia="Arial" w:hAnsi="Arial"/>
          <w:sz w:val="12"/>
          <w:szCs w:val="12"/>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statements regarding our future performance and future revenue levels and the sources of such revenues, capital expenditures, gross margin, ACAM2000 vaccine deliveries, the impact of a generic market on NARCAN Nasal Spray, the timing of advancement of early-stage programs and completion of a Biologics License Application filing for AV7909, progress of the CHIKV VLP Phase 3 clinical trial,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the timing of certain regulatory approvals or expenditures are forward-looking statements. These forward-looking statements are based on our current intentions, beliefs and expectations regarding future events. We cannot guarantee that any forward-looking statement will be accurate.</w:t>
      </w:r>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2"/>
          <w:szCs w:val="12"/>
          <w:color w:val="auto"/>
        </w:rPr>
        <w:t>The reader should realize that if underlying assumptions prove inaccurate or unknown risks or uncertainties materialize, actual results could differ materially from our expectations. Readers are, therefore, cautioned not to place undue reliance on any forward-looking statement. Any forward-looking statements speak only as of the date of this press release, and, except as required by law, we do not undertake to update any forward-looking statement to reflect new information, events or circumstances. There are a number of important factors that could cause our actual results to differ materially from those indicated by such forward-looking statements, including the availability of U.S. government funding for procurement of AV7909 and/or BioThrax or ACAM2000 and our other U.S. government procurement and development contracts, the timing of completion of our submission of the application for and our ability to secure licensure of AV7909 from the FDA within the anticipated timeframe, if at all, our ability to perform under our contracts with the U.S. government, including the timing of and specifications relating to deliveries, whether we will realize the full benefit of our investments in additional manufacturing and quality control systems, our ability to meet our commitments to continued quality and manufacturing compliance at our manufacturing facilities and the potential impact on our ability to continue production of bulk drug substance for Johnson &amp; Johnson’s COVID-19 vaccine, our ability to provide CDMO services for the development and/or manufacture of product candidates of our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8 of 18</w:t>
      </w:r>
    </w:p>
    <w:p>
      <w:pPr>
        <w:sectPr>
          <w:pgSz w:w="11900" w:h="16838" w:orient="portrait"/>
          <w:cols w:equalWidth="0" w:num="1">
            <w:col w:w="11280"/>
          </w:cols>
          <w:pgMar w:left="300" w:top="1061" w:right="319" w:bottom="1440" w:gutter="0" w:footer="0" w:header="0"/>
        </w:sectPr>
      </w:pPr>
    </w:p>
    <w:bookmarkStart w:id="10" w:name="page11"/>
    <w:bookmarkEnd w:id="10"/>
    <w:p>
      <w:pPr>
        <w:spacing w:after="0" w:line="22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208915</wp:posOffset>
            </wp:positionV>
            <wp:extent cx="73152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520" cy="91440"/>
                    </a:xfrm>
                    <a:prstGeom prst="rect">
                      <a:avLst/>
                    </a:prstGeom>
                    <a:noFill/>
                  </pic:spPr>
                </pic:pic>
              </a:graphicData>
            </a:graphic>
          </wp:anchor>
        </w:drawing>
        <w:t>customers at required levels and on required timelines, our ability and the ability of our contractors and suppliers to maintain compliance with Current Good Manufacturing Practices and other regulatory obligations, our ability to obtain and maintain regulatory approvals for our product candidates and the timing of any such approvals, changes to U.S. government priorities for the strategic national stockpile, our ability to negotiate additional U.S. government procurement or follow-on contracts for our public health threat products that have expired or will be expiring, the negotiation of further commitments or contracts related to the collaboration and deployment of capacity toward future commercial manufacturing under our CDMO contracts, our ability to comply with the operating and financial covenants required by our senior secured credit facilities and our 3.875% Senior Unsecured Notes due 2028, procurement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 the full impact of COVID-19 disease on our markets, operations and employees as well as those of our customers and suppliers, the impact on our revenues from and duration of declines in sales of our vaccine products that target travelers due to the reduction of international travel caused by the COVID-19 pandemic, our ability to identify and acquire companies, businesses, products or product candidates that satisfy our selection criteria, the success of our commercialization, marketing and manufacturing capabilities and strategy, and the accuracy of our estimates regarding future revenues, expenses and capital requirements and needs for additional financing. The foregoing sets forth many, but not all, of the factors that could cause actual results to differ from our expectations in any forward-looking statement. The reader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280"/>
          </w:cols>
          <w:pgMar w:left="300" w:top="994" w:right="31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203" w:lineRule="auto"/>
        <w:rPr>
          <w:sz w:val="20"/>
          <w:szCs w:val="20"/>
          <w:color w:val="auto"/>
        </w:rPr>
      </w:pPr>
      <w:r>
        <w:rPr>
          <w:rFonts w:ascii="Arial" w:cs="Arial" w:eastAsia="Arial" w:hAnsi="Arial"/>
          <w:sz w:val="12"/>
          <w:szCs w:val="12"/>
          <w:color w:val="auto"/>
        </w:rPr>
        <w:t>Robert Burrows</w:t>
      </w:r>
    </w:p>
    <w:p>
      <w:pPr>
        <w:spacing w:after="0" w:line="222" w:lineRule="auto"/>
        <w:rPr>
          <w:sz w:val="20"/>
          <w:szCs w:val="20"/>
          <w:color w:val="auto"/>
        </w:rPr>
      </w:pPr>
      <w:r>
        <w:rPr>
          <w:rFonts w:ascii="Arial" w:cs="Arial" w:eastAsia="Arial" w:hAnsi="Arial"/>
          <w:sz w:val="11"/>
          <w:szCs w:val="11"/>
          <w:color w:val="auto"/>
        </w:rPr>
        <w:t>Vice President, Investor Relations</w:t>
      </w:r>
    </w:p>
    <w:p>
      <w:pPr>
        <w:spacing w:after="0" w:line="203" w:lineRule="auto"/>
        <w:rPr>
          <w:sz w:val="20"/>
          <w:szCs w:val="20"/>
          <w:color w:val="auto"/>
        </w:rPr>
      </w:pPr>
      <w:r>
        <w:rPr>
          <w:rFonts w:ascii="Arial" w:cs="Arial" w:eastAsia="Arial" w:hAnsi="Arial"/>
          <w:sz w:val="12"/>
          <w:szCs w:val="12"/>
          <w:color w:val="auto"/>
        </w:rPr>
        <w:t>burrowsr@ebsi.com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(240) 413-1917</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203" w:lineRule="auto"/>
        <w:rPr>
          <w:sz w:val="20"/>
          <w:szCs w:val="20"/>
          <w:color w:val="auto"/>
        </w:rPr>
      </w:pPr>
      <w:r>
        <w:rPr>
          <w:rFonts w:ascii="Arial" w:cs="Arial" w:eastAsia="Arial" w:hAnsi="Arial"/>
          <w:sz w:val="12"/>
          <w:szCs w:val="12"/>
          <w:color w:val="auto"/>
        </w:rPr>
        <w:t>Matt Hartwig</w:t>
      </w:r>
    </w:p>
    <w:p>
      <w:pPr>
        <w:spacing w:after="0" w:line="222" w:lineRule="auto"/>
        <w:rPr>
          <w:sz w:val="20"/>
          <w:szCs w:val="20"/>
          <w:color w:val="auto"/>
        </w:rPr>
      </w:pPr>
      <w:r>
        <w:rPr>
          <w:rFonts w:ascii="Arial" w:cs="Arial" w:eastAsia="Arial" w:hAnsi="Arial"/>
          <w:sz w:val="11"/>
          <w:szCs w:val="11"/>
          <w:color w:val="auto"/>
        </w:rPr>
        <w:t>Senior Director, Media Relations</w:t>
      </w:r>
    </w:p>
    <w:p>
      <w:pPr>
        <w:spacing w:after="0"/>
        <w:rPr>
          <w:sz w:val="20"/>
          <w:szCs w:val="20"/>
          <w:color w:val="auto"/>
        </w:rPr>
      </w:pPr>
      <w:r>
        <w:rPr>
          <w:rFonts w:ascii="Arial" w:cs="Arial" w:eastAsia="Arial" w:hAnsi="Arial"/>
          <w:sz w:val="12"/>
          <w:szCs w:val="12"/>
          <w:color w:val="auto"/>
        </w:rPr>
        <w:t>mediarelations@ebsi.com</w:t>
      </w:r>
    </w:p>
    <w:p>
      <w:pPr>
        <w:spacing w:after="0" w:line="317" w:lineRule="exact"/>
        <w:rPr>
          <w:sz w:val="20"/>
          <w:szCs w:val="20"/>
          <w:color w:val="auto"/>
        </w:rPr>
      </w:pPr>
    </w:p>
    <w:p>
      <w:pPr>
        <w:sectPr>
          <w:pgSz w:w="11900" w:h="16838" w:orient="portrait"/>
          <w:cols w:equalWidth="0" w:num="2">
            <w:col w:w="4940" w:space="720"/>
            <w:col w:w="5620"/>
          </w:cols>
          <w:pgMar w:left="300" w:top="994" w:right="3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 of 18</w:t>
      </w:r>
    </w:p>
    <w:p>
      <w:pPr>
        <w:sectPr>
          <w:pgSz w:w="11900" w:h="16838" w:orient="portrait"/>
          <w:cols w:equalWidth="0" w:num="1">
            <w:col w:w="11280"/>
          </w:cols>
          <w:pgMar w:left="300" w:top="994" w:right="31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2"/>
          <w:szCs w:val="12"/>
          <w:b w:val="1"/>
          <w:bCs w:val="1"/>
          <w:color w:val="auto"/>
        </w:rPr>
        <w:t>Emergent BioSolutions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0637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2228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80" w:type="dxa"/>
            <w:vAlign w:val="bottom"/>
            <w:shd w:val="clear" w:color="auto" w:fill="B14A32"/>
          </w:tcPr>
          <w:p>
            <w:pPr>
              <w:spacing w:after="0"/>
              <w:rPr>
                <w:sz w:val="13"/>
                <w:szCs w:val="13"/>
                <w:color w:val="auto"/>
              </w:rPr>
            </w:pPr>
          </w:p>
        </w:tc>
        <w:tc>
          <w:tcPr>
            <w:tcW w:w="1500" w:type="dxa"/>
            <w:vAlign w:val="bottom"/>
            <w:shd w:val="clear" w:color="auto" w:fill="B14A32"/>
          </w:tcPr>
          <w:p>
            <w:pPr>
              <w:spacing w:after="0"/>
              <w:rPr>
                <w:sz w:val="13"/>
                <w:szCs w:val="13"/>
                <w:color w:val="auto"/>
              </w:rPr>
            </w:pPr>
          </w:p>
        </w:tc>
        <w:tc>
          <w:tcPr>
            <w:tcW w:w="1380" w:type="dxa"/>
            <w:vAlign w:val="bottom"/>
            <w:gridSpan w:val="3"/>
            <w:shd w:val="clear" w:color="auto" w:fill="B14A32"/>
          </w:tcPr>
          <w:p>
            <w:pPr>
              <w:jc w:val="right"/>
              <w:ind w:right="312"/>
              <w:spacing w:after="0"/>
              <w:rPr>
                <w:sz w:val="20"/>
                <w:szCs w:val="20"/>
                <w:color w:val="auto"/>
              </w:rPr>
            </w:pPr>
            <w:r>
              <w:rPr>
                <w:rFonts w:ascii="Arial" w:cs="Arial" w:eastAsia="Arial" w:hAnsi="Arial"/>
                <w:sz w:val="10"/>
                <w:szCs w:val="10"/>
                <w:b w:val="1"/>
                <w:bCs w:val="1"/>
                <w:color w:val="FFFFFF"/>
              </w:rPr>
              <w:t>December 31,</w:t>
            </w:r>
          </w:p>
        </w:tc>
        <w:tc>
          <w:tcPr>
            <w:tcW w:w="1540" w:type="dxa"/>
            <w:vAlign w:val="bottom"/>
            <w:shd w:val="clear" w:color="auto" w:fill="B14A32"/>
          </w:tcPr>
          <w:p>
            <w:pPr>
              <w:spacing w:after="0"/>
              <w:rPr>
                <w:sz w:val="13"/>
                <w:szCs w:val="13"/>
                <w:color w:val="auto"/>
              </w:rPr>
            </w:pPr>
          </w:p>
        </w:tc>
      </w:tr>
      <w:tr>
        <w:trPr>
          <w:trHeight w:val="188"/>
        </w:trPr>
        <w:tc>
          <w:tcPr>
            <w:tcW w:w="6680" w:type="dxa"/>
            <w:vAlign w:val="bottom"/>
            <w:shd w:val="clear" w:color="auto" w:fill="B14A32"/>
          </w:tcPr>
          <w:p>
            <w:pPr>
              <w:spacing w:after="0"/>
              <w:rPr>
                <w:sz w:val="16"/>
                <w:szCs w:val="16"/>
                <w:color w:val="auto"/>
              </w:rPr>
            </w:pPr>
          </w:p>
        </w:tc>
        <w:tc>
          <w:tcPr>
            <w:tcW w:w="1500" w:type="dxa"/>
            <w:vAlign w:val="bottom"/>
            <w:shd w:val="clear" w:color="auto" w:fill="B14A32"/>
          </w:tcPr>
          <w:p>
            <w:pPr>
              <w:jc w:val="right"/>
              <w:ind w:right="252"/>
              <w:spacing w:after="0"/>
              <w:rPr>
                <w:sz w:val="20"/>
                <w:szCs w:val="20"/>
                <w:color w:val="auto"/>
              </w:rPr>
            </w:pPr>
            <w:r>
              <w:rPr>
                <w:rFonts w:ascii="Arial" w:cs="Arial" w:eastAsia="Arial" w:hAnsi="Arial"/>
                <w:sz w:val="10"/>
                <w:szCs w:val="10"/>
                <w:b w:val="1"/>
                <w:bCs w:val="1"/>
                <w:color w:val="FFFFFF"/>
              </w:rPr>
              <w:t>2021</w:t>
            </w:r>
          </w:p>
        </w:tc>
        <w:tc>
          <w:tcPr>
            <w:tcW w:w="680" w:type="dxa"/>
            <w:vAlign w:val="bottom"/>
            <w:shd w:val="clear" w:color="auto" w:fill="B14A32"/>
          </w:tcPr>
          <w:p>
            <w:pPr>
              <w:spacing w:after="0"/>
              <w:rPr>
                <w:sz w:val="16"/>
                <w:szCs w:val="16"/>
                <w:color w:val="auto"/>
              </w:rPr>
            </w:pPr>
          </w:p>
        </w:tc>
        <w:tc>
          <w:tcPr>
            <w:tcW w:w="60" w:type="dxa"/>
            <w:vAlign w:val="bottom"/>
            <w:shd w:val="clear" w:color="auto" w:fill="B14A32"/>
          </w:tcPr>
          <w:p>
            <w:pPr>
              <w:spacing w:after="0"/>
              <w:rPr>
                <w:sz w:val="16"/>
                <w:szCs w:val="16"/>
                <w:color w:val="auto"/>
              </w:rPr>
            </w:pPr>
          </w:p>
        </w:tc>
        <w:tc>
          <w:tcPr>
            <w:tcW w:w="640" w:type="dxa"/>
            <w:vAlign w:val="bottom"/>
            <w:shd w:val="clear" w:color="auto" w:fill="B14A32"/>
          </w:tcPr>
          <w:p>
            <w:pPr>
              <w:spacing w:after="0"/>
              <w:rPr>
                <w:sz w:val="16"/>
                <w:szCs w:val="16"/>
                <w:color w:val="auto"/>
              </w:rPr>
            </w:pPr>
          </w:p>
        </w:tc>
        <w:tc>
          <w:tcPr>
            <w:tcW w:w="1540" w:type="dxa"/>
            <w:vAlign w:val="bottom"/>
            <w:shd w:val="clear" w:color="auto" w:fill="B14A32"/>
          </w:tcPr>
          <w:p>
            <w:pPr>
              <w:jc w:val="right"/>
              <w:ind w:right="932"/>
              <w:spacing w:after="0"/>
              <w:rPr>
                <w:sz w:val="20"/>
                <w:szCs w:val="20"/>
                <w:color w:val="auto"/>
              </w:rPr>
            </w:pPr>
            <w:r>
              <w:rPr>
                <w:rFonts w:ascii="Arial" w:cs="Arial" w:eastAsia="Arial" w:hAnsi="Arial"/>
                <w:sz w:val="10"/>
                <w:szCs w:val="10"/>
                <w:b w:val="1"/>
                <w:bCs w:val="1"/>
                <w:color w:val="FFFFFF"/>
              </w:rPr>
              <w:t>2020</w:t>
            </w:r>
          </w:p>
        </w:tc>
      </w:tr>
      <w:tr>
        <w:trPr>
          <w:trHeight w:val="136"/>
        </w:trPr>
        <w:tc>
          <w:tcPr>
            <w:tcW w:w="6680" w:type="dxa"/>
            <w:vAlign w:val="bottom"/>
          </w:tcPr>
          <w:p>
            <w:pPr>
              <w:spacing w:after="0"/>
              <w:rPr>
                <w:sz w:val="20"/>
                <w:szCs w:val="20"/>
                <w:color w:val="auto"/>
              </w:rPr>
            </w:pPr>
            <w:r>
              <w:rPr>
                <w:rFonts w:ascii="Arial" w:cs="Arial" w:eastAsia="Arial" w:hAnsi="Arial"/>
                <w:sz w:val="10"/>
                <w:szCs w:val="10"/>
                <w:color w:val="auto"/>
              </w:rPr>
              <w:t>ASSETS</w:t>
            </w: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Current assets:</w:t>
            </w: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Cash and cash equivalents</w:t>
            </w:r>
          </w:p>
        </w:tc>
        <w:tc>
          <w:tcPr>
            <w:tcW w:w="1500" w:type="dxa"/>
            <w:vAlign w:val="bottom"/>
          </w:tcPr>
          <w:p>
            <w:pPr>
              <w:jc w:val="right"/>
              <w:ind w:right="139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576.1</w:t>
            </w:r>
          </w:p>
        </w:tc>
        <w:tc>
          <w:tcPr>
            <w:tcW w:w="60" w:type="dxa"/>
            <w:vAlign w:val="bottom"/>
          </w:tcPr>
          <w:p>
            <w:pPr>
              <w:spacing w:after="0"/>
              <w:rPr>
                <w:sz w:val="10"/>
                <w:szCs w:val="10"/>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621.3</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Restricted cash</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0.2</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Accounts receivable, net</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274.7</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230.9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Inventories, net</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350.8</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307.0</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70.3</w:t>
            </w: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36.5</w:t>
            </w:r>
          </w:p>
        </w:tc>
      </w:tr>
      <w:tr>
        <w:trPr>
          <w:trHeight w:val="116"/>
        </w:trPr>
        <w:tc>
          <w:tcPr>
            <w:tcW w:w="6680" w:type="dxa"/>
            <w:vAlign w:val="bottom"/>
          </w:tcPr>
          <w:p>
            <w:pPr>
              <w:spacing w:after="0"/>
              <w:rPr>
                <w:sz w:val="20"/>
                <w:szCs w:val="20"/>
                <w:color w:val="auto"/>
              </w:rPr>
            </w:pPr>
            <w:r>
              <w:rPr>
                <w:rFonts w:ascii="Arial" w:cs="Arial" w:eastAsia="Arial" w:hAnsi="Arial"/>
                <w:sz w:val="10"/>
                <w:szCs w:val="10"/>
                <w:color w:val="auto"/>
              </w:rPr>
              <w:t>Total current assets</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1,272.1</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1,195.9</w:t>
            </w:r>
          </w:p>
        </w:tc>
      </w:tr>
      <w:tr>
        <w:trPr>
          <w:trHeight w:val="261"/>
        </w:trPr>
        <w:tc>
          <w:tcPr>
            <w:tcW w:w="6680" w:type="dxa"/>
            <w:vAlign w:val="bottom"/>
          </w:tcPr>
          <w:p>
            <w:pPr>
              <w:ind w:left="80"/>
              <w:spacing w:after="0"/>
              <w:rPr>
                <w:sz w:val="20"/>
                <w:szCs w:val="20"/>
                <w:color w:val="auto"/>
              </w:rPr>
            </w:pPr>
            <w:r>
              <w:rPr>
                <w:rFonts w:ascii="Arial" w:cs="Arial" w:eastAsia="Arial" w:hAnsi="Arial"/>
                <w:sz w:val="10"/>
                <w:szCs w:val="10"/>
                <w:color w:val="auto"/>
              </w:rPr>
              <w:t>Property, plant and equipment, net</w:t>
            </w:r>
          </w:p>
        </w:tc>
        <w:tc>
          <w:tcPr>
            <w:tcW w:w="15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800.1</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644.1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Intangible assets, net</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604.6</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663.1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Goodwill</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224.9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266.7</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assets</w:t>
            </w:r>
          </w:p>
        </w:tc>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57.3</w:t>
            </w: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113.4</w:t>
            </w: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assets</w:t>
            </w:r>
          </w:p>
        </w:tc>
        <w:tc>
          <w:tcPr>
            <w:tcW w:w="1500" w:type="dxa"/>
            <w:vAlign w:val="bottom"/>
            <w:tcBorders>
              <w:bottom w:val="single" w:sz="8" w:color="auto"/>
            </w:tcBorders>
          </w:tcPr>
          <w:p>
            <w:pPr>
              <w:jc w:val="right"/>
              <w:ind w:right="13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2,959.0</w:t>
            </w:r>
          </w:p>
        </w:tc>
        <w:tc>
          <w:tcPr>
            <w:tcW w:w="60" w:type="dxa"/>
            <w:vAlign w:val="bottom"/>
          </w:tcPr>
          <w:p>
            <w:pPr>
              <w:spacing w:after="0"/>
              <w:rPr>
                <w:sz w:val="10"/>
                <w:szCs w:val="10"/>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r>
      <w:tr>
        <w:trPr>
          <w:trHeight w:val="242"/>
        </w:trPr>
        <w:tc>
          <w:tcPr>
            <w:tcW w:w="6680" w:type="dxa"/>
            <w:vAlign w:val="bottom"/>
          </w:tcPr>
          <w:p>
            <w:pPr>
              <w:ind w:left="80"/>
              <w:spacing w:after="0"/>
              <w:rPr>
                <w:sz w:val="20"/>
                <w:szCs w:val="20"/>
                <w:color w:val="auto"/>
              </w:rPr>
            </w:pPr>
            <w:r>
              <w:rPr>
                <w:rFonts w:ascii="Arial" w:cs="Arial" w:eastAsia="Arial" w:hAnsi="Arial"/>
                <w:sz w:val="10"/>
                <w:szCs w:val="10"/>
                <w:color w:val="auto"/>
              </w:rPr>
              <w:t>LIABILITIES AND STOCKHOLDERS' EQUITY</w:t>
            </w:r>
          </w:p>
        </w:tc>
        <w:tc>
          <w:tcPr>
            <w:tcW w:w="1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Current liabilities:</w:t>
            </w: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Accounts payable</w:t>
            </w:r>
          </w:p>
        </w:tc>
        <w:tc>
          <w:tcPr>
            <w:tcW w:w="1500" w:type="dxa"/>
            <w:vAlign w:val="bottom"/>
          </w:tcPr>
          <w:p>
            <w:pPr>
              <w:jc w:val="right"/>
              <w:ind w:right="139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128.9</w:t>
            </w:r>
          </w:p>
        </w:tc>
        <w:tc>
          <w:tcPr>
            <w:tcW w:w="60" w:type="dxa"/>
            <w:vAlign w:val="bottom"/>
          </w:tcPr>
          <w:p>
            <w:pPr>
              <w:spacing w:after="0"/>
              <w:rPr>
                <w:sz w:val="10"/>
                <w:szCs w:val="10"/>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136.1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Accrued expenses</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51.7</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46.9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Accrued compensation</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88.7</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84.6</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Debt, current portion</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31.6</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33.8</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current liabilities</w:t>
            </w:r>
          </w:p>
        </w:tc>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72.9</w:t>
            </w: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83.1</w:t>
            </w:r>
          </w:p>
        </w:tc>
      </w:tr>
      <w:tr>
        <w:trPr>
          <w:trHeight w:val="116"/>
        </w:trPr>
        <w:tc>
          <w:tcPr>
            <w:tcW w:w="6680" w:type="dxa"/>
            <w:vAlign w:val="bottom"/>
          </w:tcPr>
          <w:p>
            <w:pPr>
              <w:spacing w:after="0"/>
              <w:rPr>
                <w:sz w:val="20"/>
                <w:szCs w:val="20"/>
                <w:color w:val="auto"/>
              </w:rPr>
            </w:pPr>
            <w:r>
              <w:rPr>
                <w:rFonts w:ascii="Arial" w:cs="Arial" w:eastAsia="Arial" w:hAnsi="Arial"/>
                <w:sz w:val="10"/>
                <w:szCs w:val="10"/>
                <w:color w:val="auto"/>
              </w:rPr>
              <w:t>Total current liabilities</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373.8</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384.5</w:t>
            </w:r>
          </w:p>
        </w:tc>
      </w:tr>
      <w:tr>
        <w:trPr>
          <w:trHeight w:val="261"/>
        </w:trPr>
        <w:tc>
          <w:tcPr>
            <w:tcW w:w="6680" w:type="dxa"/>
            <w:vAlign w:val="bottom"/>
          </w:tcPr>
          <w:p>
            <w:pPr>
              <w:ind w:left="80"/>
              <w:spacing w:after="0"/>
              <w:rPr>
                <w:sz w:val="20"/>
                <w:szCs w:val="20"/>
                <w:color w:val="auto"/>
              </w:rPr>
            </w:pPr>
            <w:r>
              <w:rPr>
                <w:rFonts w:ascii="Arial" w:cs="Arial" w:eastAsia="Arial" w:hAnsi="Arial"/>
                <w:sz w:val="10"/>
                <w:szCs w:val="10"/>
                <w:color w:val="auto"/>
              </w:rPr>
              <w:t>Contingent consideration, net of current portion</w:t>
            </w:r>
          </w:p>
        </w:tc>
        <w:tc>
          <w:tcPr>
            <w:tcW w:w="15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4.5</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34.2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Debt, net of current portion</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809.4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841.0</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Deferred tax liability</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94.9</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53.2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Contract liabilities, net of current portion</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4.7</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55.5</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liabilities</w:t>
            </w:r>
          </w:p>
        </w:tc>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52.7</w:t>
            </w: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w:t>
            </w: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liabilities</w:t>
            </w:r>
          </w:p>
        </w:tc>
        <w:tc>
          <w:tcPr>
            <w:tcW w:w="1500" w:type="dxa"/>
            <w:vAlign w:val="bottom"/>
            <w:tcBorders>
              <w:bottom w:val="single" w:sz="8" w:color="auto"/>
            </w:tcBorders>
          </w:tcPr>
          <w:p>
            <w:pPr>
              <w:jc w:val="right"/>
              <w:ind w:right="13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1,340.0</w:t>
            </w:r>
          </w:p>
        </w:tc>
        <w:tc>
          <w:tcPr>
            <w:tcW w:w="60" w:type="dxa"/>
            <w:vAlign w:val="bottom"/>
          </w:tcPr>
          <w:p>
            <w:pPr>
              <w:spacing w:after="0"/>
              <w:rPr>
                <w:sz w:val="10"/>
                <w:szCs w:val="10"/>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1,436.2</w:t>
            </w:r>
          </w:p>
        </w:tc>
      </w:tr>
      <w:tr>
        <w:trPr>
          <w:trHeight w:val="242"/>
        </w:trPr>
        <w:tc>
          <w:tcPr>
            <w:tcW w:w="6680" w:type="dxa"/>
            <w:vAlign w:val="bottom"/>
          </w:tcPr>
          <w:p>
            <w:pPr>
              <w:ind w:left="80"/>
              <w:spacing w:after="0"/>
              <w:rPr>
                <w:sz w:val="20"/>
                <w:szCs w:val="20"/>
                <w:color w:val="auto"/>
              </w:rPr>
            </w:pPr>
            <w:r>
              <w:rPr>
                <w:rFonts w:ascii="Arial" w:cs="Arial" w:eastAsia="Arial" w:hAnsi="Arial"/>
                <w:sz w:val="10"/>
                <w:szCs w:val="10"/>
                <w:color w:val="auto"/>
              </w:rPr>
              <w:t>Stockholders’ equity:</w:t>
            </w:r>
          </w:p>
        </w:tc>
        <w:tc>
          <w:tcPr>
            <w:tcW w:w="1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Preferred stock, $0.001 par value; 15.0 shares authorized, no shares issued and outstanding</w:t>
            </w:r>
          </w:p>
        </w:tc>
        <w:tc>
          <w:tcPr>
            <w:tcW w:w="150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Common stock, $0.001 par value; 200.0 shares authorized, 55.1 and 54.3 shares issued; 51.4 and 53.1 shares outstanding, respectively.</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0.1</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0.1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Treasury stock, at cost, 3.8 and 1.2 common shares, respectively</w:t>
            </w:r>
          </w:p>
        </w:tc>
        <w:tc>
          <w:tcPr>
            <w:tcW w:w="15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(152.2)</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(39.6)</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500" w:type="dxa"/>
            <w:vAlign w:val="bottom"/>
          </w:tcPr>
          <w:p>
            <w:pPr>
              <w:spacing w:after="0"/>
              <w:rPr>
                <w:sz w:val="10"/>
                <w:szCs w:val="10"/>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829.4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784.9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Accumulated other comprehensive loss, net</w:t>
            </w:r>
          </w:p>
        </w:tc>
        <w:tc>
          <w:tcPr>
            <w:tcW w:w="15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(16.1)</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(25.3)</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957.8</w:t>
            </w: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726.9</w:t>
            </w:r>
          </w:p>
        </w:tc>
      </w:tr>
      <w:tr>
        <w:trPr>
          <w:trHeight w:val="115"/>
        </w:trPr>
        <w:tc>
          <w:tcPr>
            <w:tcW w:w="6680" w:type="dxa"/>
            <w:vAlign w:val="bottom"/>
          </w:tcPr>
          <w:p>
            <w:pPr>
              <w:ind w:left="220"/>
              <w:spacing w:after="0"/>
              <w:rPr>
                <w:sz w:val="20"/>
                <w:szCs w:val="20"/>
                <w:color w:val="auto"/>
              </w:rPr>
            </w:pPr>
            <w:r>
              <w:rPr>
                <w:rFonts w:ascii="Arial" w:cs="Arial" w:eastAsia="Arial" w:hAnsi="Arial"/>
                <w:sz w:val="10"/>
                <w:szCs w:val="10"/>
                <w:color w:val="auto"/>
              </w:rPr>
              <w:t>Total stockholders’ equity</w:t>
            </w:r>
          </w:p>
        </w:tc>
        <w:tc>
          <w:tcPr>
            <w:tcW w:w="1500" w:type="dxa"/>
            <w:vAlign w:val="bottom"/>
            <w:tcBorders>
              <w:bottom w:val="single" w:sz="8" w:color="auto"/>
            </w:tcBorders>
          </w:tcPr>
          <w:p>
            <w:pPr>
              <w:jc w:val="right"/>
              <w:ind w:right="13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1,619.0</w:t>
            </w:r>
          </w:p>
        </w:tc>
        <w:tc>
          <w:tcPr>
            <w:tcW w:w="60" w:type="dxa"/>
            <w:vAlign w:val="bottom"/>
          </w:tcPr>
          <w:p>
            <w:pPr>
              <w:spacing w:after="0"/>
              <w:rPr>
                <w:sz w:val="10"/>
                <w:szCs w:val="10"/>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1,447.0</w:t>
            </w:r>
          </w:p>
        </w:tc>
      </w:tr>
      <w:tr>
        <w:trPr>
          <w:trHeight w:val="115"/>
        </w:trPr>
        <w:tc>
          <w:tcPr>
            <w:tcW w:w="6680" w:type="dxa"/>
            <w:vAlign w:val="bottom"/>
          </w:tcPr>
          <w:p>
            <w:pPr>
              <w:ind w:left="220"/>
              <w:spacing w:after="0"/>
              <w:rPr>
                <w:sz w:val="20"/>
                <w:szCs w:val="20"/>
                <w:color w:val="auto"/>
              </w:rPr>
            </w:pPr>
            <w:r>
              <w:rPr>
                <w:rFonts w:ascii="Arial" w:cs="Arial" w:eastAsia="Arial" w:hAnsi="Arial"/>
                <w:sz w:val="10"/>
                <w:szCs w:val="10"/>
                <w:color w:val="auto"/>
              </w:rPr>
              <w:t>Total liabilities and stockholders’ equity</w:t>
            </w:r>
          </w:p>
        </w:tc>
        <w:tc>
          <w:tcPr>
            <w:tcW w:w="1500" w:type="dxa"/>
            <w:vAlign w:val="bottom"/>
            <w:tcBorders>
              <w:bottom w:val="single" w:sz="8" w:color="auto"/>
            </w:tcBorders>
          </w:tcPr>
          <w:p>
            <w:pPr>
              <w:jc w:val="right"/>
              <w:ind w:right="13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2,959.0</w:t>
            </w:r>
          </w:p>
        </w:tc>
        <w:tc>
          <w:tcPr>
            <w:tcW w:w="60" w:type="dxa"/>
            <w:vAlign w:val="bottom"/>
          </w:tcPr>
          <w:p>
            <w:pPr>
              <w:spacing w:after="0"/>
              <w:rPr>
                <w:sz w:val="10"/>
                <w:szCs w:val="10"/>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r>
      <w:tr>
        <w:trPr>
          <w:trHeight w:val="20"/>
        </w:trPr>
        <w:tc>
          <w:tcPr>
            <w:tcW w:w="6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10 of 18</w:t>
      </w:r>
    </w:p>
    <w:p>
      <w:pPr>
        <w:sectPr>
          <w:pgSz w:w="11900" w:h="16838" w:orient="portrait"/>
          <w:cols w:equalWidth="0" w:num="1">
            <w:col w:w="11100"/>
          </w:cols>
          <w:pgMar w:left="400" w:top="638" w:right="3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2"/>
          <w:szCs w:val="12"/>
          <w:b w:val="1"/>
          <w:bCs w:val="1"/>
          <w:color w:val="auto"/>
        </w:rPr>
        <w:t>Emergent BioSolutions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06374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3740" cy="18859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80" w:type="dxa"/>
            <w:vAlign w:val="bottom"/>
            <w:shd w:val="clear" w:color="auto" w:fill="B14A32"/>
          </w:tcPr>
          <w:p>
            <w:pPr>
              <w:spacing w:after="0"/>
              <w:rPr>
                <w:sz w:val="12"/>
                <w:szCs w:val="12"/>
                <w:color w:val="auto"/>
              </w:rPr>
            </w:pPr>
          </w:p>
        </w:tc>
        <w:tc>
          <w:tcPr>
            <w:tcW w:w="1300" w:type="dxa"/>
            <w:vAlign w:val="bottom"/>
            <w:shd w:val="clear" w:color="auto" w:fill="B14A32"/>
          </w:tcPr>
          <w:p>
            <w:pPr>
              <w:spacing w:after="0"/>
              <w:rPr>
                <w:sz w:val="12"/>
                <w:szCs w:val="12"/>
                <w:color w:val="auto"/>
              </w:rPr>
            </w:pPr>
          </w:p>
        </w:tc>
        <w:tc>
          <w:tcPr>
            <w:tcW w:w="1820" w:type="dxa"/>
            <w:vAlign w:val="bottom"/>
            <w:gridSpan w:val="3"/>
            <w:shd w:val="clear" w:color="auto" w:fill="B14A32"/>
          </w:tcPr>
          <w:p>
            <w:pPr>
              <w:jc w:val="right"/>
              <w:ind w:right="52"/>
              <w:spacing w:after="0"/>
              <w:rPr>
                <w:sz w:val="20"/>
                <w:szCs w:val="20"/>
                <w:color w:val="auto"/>
              </w:rPr>
            </w:pPr>
            <w:r>
              <w:rPr>
                <w:rFonts w:ascii="Arial" w:cs="Arial" w:eastAsia="Arial" w:hAnsi="Arial"/>
                <w:sz w:val="10"/>
                <w:szCs w:val="10"/>
                <w:b w:val="1"/>
                <w:bCs w:val="1"/>
                <w:color w:val="FFFFFF"/>
              </w:rPr>
              <w:t>Three Months Ended December 31,</w:t>
            </w:r>
          </w:p>
        </w:tc>
        <w:tc>
          <w:tcPr>
            <w:tcW w:w="1300" w:type="dxa"/>
            <w:vAlign w:val="bottom"/>
            <w:shd w:val="clear" w:color="auto" w:fill="B14A32"/>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80" w:type="dxa"/>
            <w:vAlign w:val="bottom"/>
            <w:shd w:val="clear" w:color="auto" w:fill="B14A32"/>
          </w:tcPr>
          <w:p>
            <w:pPr>
              <w:spacing w:after="0"/>
              <w:rPr>
                <w:sz w:val="12"/>
                <w:szCs w:val="12"/>
                <w:color w:val="auto"/>
              </w:rPr>
            </w:pPr>
          </w:p>
        </w:tc>
        <w:tc>
          <w:tcPr>
            <w:tcW w:w="1300" w:type="dxa"/>
            <w:vAlign w:val="bottom"/>
            <w:shd w:val="clear" w:color="auto" w:fill="B14A32"/>
          </w:tcPr>
          <w:p>
            <w:pPr>
              <w:jc w:val="right"/>
              <w:ind w:right="52"/>
              <w:spacing w:after="0"/>
              <w:rPr>
                <w:sz w:val="20"/>
                <w:szCs w:val="20"/>
                <w:color w:val="auto"/>
              </w:rPr>
            </w:pPr>
            <w:r>
              <w:rPr>
                <w:rFonts w:ascii="Arial" w:cs="Arial" w:eastAsia="Arial" w:hAnsi="Arial"/>
                <w:sz w:val="10"/>
                <w:szCs w:val="10"/>
                <w:b w:val="1"/>
                <w:bCs w:val="1"/>
                <w:color w:val="FFFFFF"/>
              </w:rPr>
              <w:t>2021</w:t>
            </w:r>
          </w:p>
        </w:tc>
        <w:tc>
          <w:tcPr>
            <w:tcW w:w="880" w:type="dxa"/>
            <w:vAlign w:val="bottom"/>
            <w:shd w:val="clear" w:color="auto" w:fill="B14A32"/>
          </w:tcPr>
          <w:p>
            <w:pPr>
              <w:spacing w:after="0"/>
              <w:rPr>
                <w:sz w:val="12"/>
                <w:szCs w:val="12"/>
                <w:color w:val="auto"/>
              </w:rPr>
            </w:pPr>
          </w:p>
        </w:tc>
        <w:tc>
          <w:tcPr>
            <w:tcW w:w="60" w:type="dxa"/>
            <w:vAlign w:val="bottom"/>
            <w:shd w:val="clear" w:color="auto" w:fill="B14A32"/>
          </w:tcPr>
          <w:p>
            <w:pPr>
              <w:spacing w:after="0"/>
              <w:rPr>
                <w:sz w:val="12"/>
                <w:szCs w:val="12"/>
                <w:color w:val="auto"/>
              </w:rPr>
            </w:pPr>
          </w:p>
        </w:tc>
        <w:tc>
          <w:tcPr>
            <w:tcW w:w="880" w:type="dxa"/>
            <w:vAlign w:val="bottom"/>
            <w:shd w:val="clear" w:color="auto" w:fill="B14A32"/>
          </w:tcPr>
          <w:p>
            <w:pPr>
              <w:spacing w:after="0"/>
              <w:rPr>
                <w:sz w:val="12"/>
                <w:szCs w:val="12"/>
                <w:color w:val="auto"/>
              </w:rPr>
            </w:pPr>
          </w:p>
        </w:tc>
        <w:tc>
          <w:tcPr>
            <w:tcW w:w="1300" w:type="dxa"/>
            <w:vAlign w:val="bottom"/>
            <w:shd w:val="clear" w:color="auto" w:fill="B14A32"/>
          </w:tcPr>
          <w:p>
            <w:pPr>
              <w:jc w:val="right"/>
              <w:ind w:right="932"/>
              <w:spacing w:after="0"/>
              <w:rPr>
                <w:sz w:val="20"/>
                <w:szCs w:val="20"/>
                <w:color w:val="auto"/>
              </w:rPr>
            </w:pPr>
            <w:r>
              <w:rPr>
                <w:rFonts w:ascii="Arial" w:cs="Arial" w:eastAsia="Arial" w:hAnsi="Arial"/>
                <w:sz w:val="10"/>
                <w:szCs w:val="10"/>
                <w:b w:val="1"/>
                <w:bCs w:val="1"/>
                <w:color w:val="FFFFFF"/>
              </w:rPr>
              <w:t>2020</w:t>
            </w:r>
          </w:p>
        </w:tc>
        <w:tc>
          <w:tcPr>
            <w:tcW w:w="0" w:type="dxa"/>
            <w:vAlign w:val="bottom"/>
          </w:tcPr>
          <w:p>
            <w:pPr>
              <w:spacing w:after="0"/>
              <w:rPr>
                <w:sz w:val="1"/>
                <w:szCs w:val="1"/>
                <w:color w:val="auto"/>
              </w:rPr>
            </w:pPr>
          </w:p>
        </w:tc>
      </w:tr>
      <w:tr>
        <w:trPr>
          <w:trHeight w:val="262"/>
        </w:trPr>
        <w:tc>
          <w:tcPr>
            <w:tcW w:w="6680" w:type="dxa"/>
            <w:vAlign w:val="bottom"/>
          </w:tcPr>
          <w:p>
            <w:pPr>
              <w:spacing w:after="0"/>
              <w:rPr>
                <w:sz w:val="20"/>
                <w:szCs w:val="20"/>
                <w:color w:val="auto"/>
              </w:rPr>
            </w:pPr>
            <w:r>
              <w:rPr>
                <w:rFonts w:ascii="Arial" w:cs="Arial" w:eastAsia="Arial" w:hAnsi="Arial"/>
                <w:sz w:val="10"/>
                <w:szCs w:val="10"/>
                <w:color w:val="auto"/>
              </w:rPr>
              <w:t>Revenues:</w:t>
            </w:r>
          </w:p>
        </w:tc>
        <w:tc>
          <w:tcPr>
            <w:tcW w:w="1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Product sales, net</w:t>
            </w:r>
          </w:p>
        </w:tc>
        <w:tc>
          <w:tcPr>
            <w:tcW w:w="1300" w:type="dxa"/>
            <w:vAlign w:val="bottom"/>
          </w:tcPr>
          <w:p>
            <w:pPr>
              <w:jc w:val="right"/>
              <w:ind w:right="11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434.3</w:t>
            </w:r>
          </w:p>
        </w:tc>
        <w:tc>
          <w:tcPr>
            <w:tcW w:w="60" w:type="dxa"/>
            <w:vAlign w:val="bottom"/>
          </w:tcPr>
          <w:p>
            <w:pPr>
              <w:spacing w:after="0"/>
              <w:rPr>
                <w:sz w:val="10"/>
                <w:szCs w:val="10"/>
                <w:color w:val="auto"/>
              </w:rPr>
            </w:pP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340.9</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CDMO:</w:t>
            </w:r>
          </w:p>
        </w:tc>
        <w:tc>
          <w:tcPr>
            <w:tcW w:w="1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Services</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51.2</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64.0</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Leases</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167.1</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135.1</w:t>
            </w:r>
          </w:p>
        </w:tc>
        <w:tc>
          <w:tcPr>
            <w:tcW w:w="0" w:type="dxa"/>
            <w:vAlign w:val="bottom"/>
          </w:tcPr>
          <w:p>
            <w:pPr>
              <w:spacing w:after="0"/>
              <w:rPr>
                <w:sz w:val="1"/>
                <w:szCs w:val="1"/>
                <w:color w:val="auto"/>
              </w:rPr>
            </w:pPr>
          </w:p>
        </w:tc>
      </w:tr>
      <w:tr>
        <w:trPr>
          <w:trHeight w:val="116"/>
        </w:trPr>
        <w:tc>
          <w:tcPr>
            <w:tcW w:w="6680" w:type="dxa"/>
            <w:vAlign w:val="bottom"/>
          </w:tcPr>
          <w:p>
            <w:pPr>
              <w:spacing w:after="0"/>
              <w:rPr>
                <w:sz w:val="20"/>
                <w:szCs w:val="20"/>
                <w:color w:val="auto"/>
              </w:rPr>
            </w:pPr>
            <w:r>
              <w:rPr>
                <w:rFonts w:ascii="Arial" w:cs="Arial" w:eastAsia="Arial" w:hAnsi="Arial"/>
                <w:sz w:val="10"/>
                <w:szCs w:val="10"/>
                <w:color w:val="auto"/>
              </w:rPr>
              <w:t>Total CDMO</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218.3</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199.1</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Contracts and grants</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70.6</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revenues</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723.2</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583.0</w:t>
            </w:r>
          </w:p>
        </w:tc>
        <w:tc>
          <w:tcPr>
            <w:tcW w:w="0" w:type="dxa"/>
            <w:vAlign w:val="bottom"/>
          </w:tcPr>
          <w:p>
            <w:pPr>
              <w:spacing w:after="0"/>
              <w:rPr>
                <w:sz w:val="1"/>
                <w:szCs w:val="1"/>
                <w:color w:val="auto"/>
              </w:rPr>
            </w:pPr>
          </w:p>
        </w:tc>
      </w:tr>
      <w:tr>
        <w:trPr>
          <w:trHeight w:val="242"/>
        </w:trPr>
        <w:tc>
          <w:tcPr>
            <w:tcW w:w="6680" w:type="dxa"/>
            <w:vAlign w:val="bottom"/>
          </w:tcPr>
          <w:p>
            <w:pPr>
              <w:spacing w:after="0"/>
              <w:rPr>
                <w:sz w:val="20"/>
                <w:szCs w:val="20"/>
                <w:color w:val="auto"/>
              </w:rPr>
            </w:pPr>
            <w:r>
              <w:rPr>
                <w:rFonts w:ascii="Arial" w:cs="Arial" w:eastAsia="Arial" w:hAnsi="Arial"/>
                <w:sz w:val="10"/>
                <w:szCs w:val="10"/>
                <w:color w:val="auto"/>
              </w:rPr>
              <w:t>Operating expenses:</w:t>
            </w: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Cost of product sales</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145.0</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104.4</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Cost of CDMO</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67.9</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63.9</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Research and development</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83.0</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59.5</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Selling, general and administrative</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94.2</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82.1</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Goodwill impairment</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41.7</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Amortization of intangible assets</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operating expenses</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445.8</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324.9</w:t>
            </w:r>
          </w:p>
        </w:tc>
        <w:tc>
          <w:tcPr>
            <w:tcW w:w="0" w:type="dxa"/>
            <w:vAlign w:val="bottom"/>
          </w:tcPr>
          <w:p>
            <w:pPr>
              <w:spacing w:after="0"/>
              <w:rPr>
                <w:sz w:val="1"/>
                <w:szCs w:val="1"/>
                <w:color w:val="auto"/>
              </w:rPr>
            </w:pPr>
          </w:p>
        </w:tc>
      </w:tr>
      <w:tr>
        <w:trPr>
          <w:trHeight w:val="242"/>
        </w:trPr>
        <w:tc>
          <w:tcPr>
            <w:tcW w:w="6680" w:type="dxa"/>
            <w:vAlign w:val="bottom"/>
          </w:tcPr>
          <w:p>
            <w:pPr>
              <w:spacing w:after="0"/>
              <w:rPr>
                <w:sz w:val="20"/>
                <w:szCs w:val="20"/>
                <w:color w:val="auto"/>
              </w:rPr>
            </w:pPr>
            <w:r>
              <w:rPr>
                <w:rFonts w:ascii="Arial" w:cs="Arial" w:eastAsia="Arial" w:hAnsi="Arial"/>
                <w:sz w:val="10"/>
                <w:szCs w:val="10"/>
                <w:color w:val="auto"/>
              </w:rPr>
              <w:t>Income from operations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277.4</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258.1</w:t>
            </w:r>
          </w:p>
        </w:tc>
        <w:tc>
          <w:tcPr>
            <w:tcW w:w="0" w:type="dxa"/>
            <w:vAlign w:val="bottom"/>
          </w:tcPr>
          <w:p>
            <w:pPr>
              <w:spacing w:after="0"/>
              <w:rPr>
                <w:sz w:val="1"/>
                <w:szCs w:val="1"/>
                <w:color w:val="auto"/>
              </w:rPr>
            </w:pPr>
          </w:p>
        </w:tc>
      </w:tr>
      <w:tr>
        <w:trPr>
          <w:trHeight w:val="261"/>
        </w:trPr>
        <w:tc>
          <w:tcPr>
            <w:tcW w:w="6680" w:type="dxa"/>
            <w:vAlign w:val="bottom"/>
          </w:tcPr>
          <w:p>
            <w:pPr>
              <w:spacing w:after="0"/>
              <w:rPr>
                <w:sz w:val="20"/>
                <w:szCs w:val="20"/>
                <w:color w:val="auto"/>
              </w:rPr>
            </w:pPr>
            <w:r>
              <w:rPr>
                <w:rFonts w:ascii="Arial" w:cs="Arial" w:eastAsia="Arial" w:hAnsi="Arial"/>
                <w:sz w:val="10"/>
                <w:szCs w:val="10"/>
                <w:color w:val="auto"/>
              </w:rPr>
              <w:t>Other income (expense):</w:t>
            </w:r>
          </w:p>
        </w:tc>
        <w:tc>
          <w:tcPr>
            <w:tcW w:w="1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Interest expense</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(9.0)</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Other, net</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other income (expense), net</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0" w:type="dxa"/>
            <w:vAlign w:val="bottom"/>
          </w:tcPr>
          <w:p>
            <w:pPr>
              <w:spacing w:after="0"/>
              <w:rPr>
                <w:sz w:val="1"/>
                <w:szCs w:val="1"/>
                <w:color w:val="auto"/>
              </w:rPr>
            </w:pPr>
          </w:p>
        </w:tc>
      </w:tr>
      <w:tr>
        <w:trPr>
          <w:trHeight w:val="242"/>
        </w:trPr>
        <w:tc>
          <w:tcPr>
            <w:tcW w:w="6680" w:type="dxa"/>
            <w:vAlign w:val="bottom"/>
          </w:tcPr>
          <w:p>
            <w:pPr>
              <w:spacing w:after="0"/>
              <w:rPr>
                <w:sz w:val="20"/>
                <w:szCs w:val="20"/>
                <w:color w:val="auto"/>
              </w:rPr>
            </w:pPr>
            <w:r>
              <w:rPr>
                <w:rFonts w:ascii="Arial" w:cs="Arial" w:eastAsia="Arial" w:hAnsi="Arial"/>
                <w:sz w:val="10"/>
                <w:szCs w:val="10"/>
                <w:color w:val="auto"/>
              </w:rPr>
              <w:t>Income before income taxes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267.5</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252.8</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Income taxes</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78.2</w:t>
            </w: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67.4</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Net income</w:t>
            </w:r>
          </w:p>
        </w:tc>
        <w:tc>
          <w:tcPr>
            <w:tcW w:w="1300" w:type="dxa"/>
            <w:vAlign w:val="bottom"/>
            <w:tcBorders>
              <w:bottom w:val="single" w:sz="8" w:color="auto"/>
            </w:tcBorders>
          </w:tcPr>
          <w:p>
            <w:pPr>
              <w:jc w:val="right"/>
              <w:ind w:right="119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189.3</w:t>
            </w:r>
          </w:p>
        </w:tc>
        <w:tc>
          <w:tcPr>
            <w:tcW w:w="60" w:type="dxa"/>
            <w:vAlign w:val="bottom"/>
          </w:tcPr>
          <w:p>
            <w:pPr>
              <w:spacing w:after="0"/>
              <w:rPr>
                <w:sz w:val="10"/>
                <w:szCs w:val="10"/>
                <w:color w:val="auto"/>
              </w:rPr>
            </w:pP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0"/>
                <w:szCs w:val="10"/>
                <w:color w:val="auto"/>
              </w:rPr>
              <w:t>Net income per common share</w:t>
            </w: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Basic</w:t>
            </w:r>
          </w:p>
        </w:tc>
        <w:tc>
          <w:tcPr>
            <w:tcW w:w="1300" w:type="dxa"/>
            <w:vAlign w:val="bottom"/>
          </w:tcPr>
          <w:p>
            <w:pPr>
              <w:jc w:val="right"/>
              <w:ind w:right="11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3.54</w:t>
            </w:r>
          </w:p>
        </w:tc>
        <w:tc>
          <w:tcPr>
            <w:tcW w:w="60" w:type="dxa"/>
            <w:vAlign w:val="bottom"/>
          </w:tcPr>
          <w:p>
            <w:pPr>
              <w:spacing w:after="0"/>
              <w:rPr>
                <w:sz w:val="10"/>
                <w:szCs w:val="10"/>
                <w:color w:val="auto"/>
              </w:rPr>
            </w:pP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3.51</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Diluted</w:t>
            </w:r>
          </w:p>
        </w:tc>
        <w:tc>
          <w:tcPr>
            <w:tcW w:w="1300" w:type="dxa"/>
            <w:vAlign w:val="bottom"/>
          </w:tcPr>
          <w:p>
            <w:pPr>
              <w:jc w:val="right"/>
              <w:ind w:right="11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3.50</w:t>
            </w:r>
          </w:p>
        </w:tc>
        <w:tc>
          <w:tcPr>
            <w:tcW w:w="60" w:type="dxa"/>
            <w:vAlign w:val="bottom"/>
          </w:tcPr>
          <w:p>
            <w:pPr>
              <w:spacing w:after="0"/>
              <w:rPr>
                <w:sz w:val="10"/>
                <w:szCs w:val="10"/>
                <w:color w:val="auto"/>
              </w:rPr>
            </w:pP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261"/>
        </w:trPr>
        <w:tc>
          <w:tcPr>
            <w:tcW w:w="6680" w:type="dxa"/>
            <w:vAlign w:val="bottom"/>
          </w:tcPr>
          <w:p>
            <w:pPr>
              <w:spacing w:after="0"/>
              <w:rPr>
                <w:sz w:val="20"/>
                <w:szCs w:val="20"/>
                <w:color w:val="auto"/>
              </w:rPr>
            </w:pPr>
            <w:r>
              <w:rPr>
                <w:rFonts w:ascii="Arial" w:cs="Arial" w:eastAsia="Arial" w:hAnsi="Arial"/>
                <w:sz w:val="10"/>
                <w:szCs w:val="10"/>
                <w:color w:val="auto"/>
              </w:rPr>
              <w:t>Shares used in computing net income per share</w:t>
            </w:r>
          </w:p>
        </w:tc>
        <w:tc>
          <w:tcPr>
            <w:tcW w:w="1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Basic</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53.5</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53.1</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Diluted</w:t>
            </w:r>
          </w:p>
        </w:tc>
        <w:tc>
          <w:tcPr>
            <w:tcW w:w="1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54.1</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11 of 18</w:t>
      </w:r>
    </w:p>
    <w:p>
      <w:pPr>
        <w:sectPr>
          <w:pgSz w:w="11900" w:h="16838" w:orient="portrait"/>
          <w:cols w:equalWidth="0" w:num="1">
            <w:col w:w="11100"/>
          </w:cols>
          <w:pgMar w:left="400" w:top="638" w:right="399" w:bottom="1440" w:gutter="0" w:footer="0" w:header="0"/>
        </w:sectPr>
      </w:pPr>
    </w:p>
    <w:bookmarkStart w:id="13" w:name="page14"/>
    <w:bookmarkEnd w:id="13"/>
    <w:p>
      <w:pPr>
        <w:jc w:val="center"/>
        <w:ind w:right="-179"/>
        <w:spacing w:after="0"/>
        <w:rPr>
          <w:sz w:val="20"/>
          <w:szCs w:val="20"/>
          <w:color w:val="auto"/>
        </w:rPr>
      </w:pPr>
      <w:r>
        <w:rPr>
          <w:rFonts w:ascii="Arial" w:cs="Arial" w:eastAsia="Arial" w:hAnsi="Arial"/>
          <w:sz w:val="12"/>
          <w:szCs w:val="12"/>
          <w:b w:val="1"/>
          <w:bCs w:val="1"/>
          <w:color w:val="auto"/>
        </w:rPr>
        <w:t>Emergent BioSolutions Inc.</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(unaudited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06374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18859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80" w:type="dxa"/>
            <w:vAlign w:val="bottom"/>
            <w:shd w:val="clear" w:color="auto" w:fill="B14A32"/>
          </w:tcPr>
          <w:p>
            <w:pPr>
              <w:spacing w:after="0"/>
              <w:rPr>
                <w:sz w:val="12"/>
                <w:szCs w:val="12"/>
                <w:color w:val="auto"/>
              </w:rPr>
            </w:pPr>
          </w:p>
        </w:tc>
        <w:tc>
          <w:tcPr>
            <w:tcW w:w="1420" w:type="dxa"/>
            <w:vAlign w:val="bottom"/>
            <w:shd w:val="clear" w:color="auto" w:fill="B14A32"/>
          </w:tcPr>
          <w:p>
            <w:pPr>
              <w:spacing w:after="0"/>
              <w:rPr>
                <w:sz w:val="12"/>
                <w:szCs w:val="12"/>
                <w:color w:val="auto"/>
              </w:rPr>
            </w:pPr>
          </w:p>
        </w:tc>
        <w:tc>
          <w:tcPr>
            <w:tcW w:w="1600" w:type="dxa"/>
            <w:vAlign w:val="bottom"/>
            <w:gridSpan w:val="3"/>
            <w:shd w:val="clear" w:color="auto" w:fill="B14A32"/>
          </w:tcPr>
          <w:p>
            <w:pPr>
              <w:jc w:val="right"/>
              <w:ind w:right="172"/>
              <w:spacing w:after="0"/>
              <w:rPr>
                <w:sz w:val="20"/>
                <w:szCs w:val="20"/>
                <w:color w:val="auto"/>
              </w:rPr>
            </w:pPr>
            <w:r>
              <w:rPr>
                <w:rFonts w:ascii="Arial" w:cs="Arial" w:eastAsia="Arial" w:hAnsi="Arial"/>
                <w:sz w:val="10"/>
                <w:szCs w:val="10"/>
                <w:b w:val="1"/>
                <w:bCs w:val="1"/>
                <w:color w:val="FFFFFF"/>
              </w:rPr>
              <w:t>Year Ended December 31,</w:t>
            </w:r>
          </w:p>
        </w:tc>
        <w:tc>
          <w:tcPr>
            <w:tcW w:w="1400" w:type="dxa"/>
            <w:vAlign w:val="bottom"/>
            <w:shd w:val="clear" w:color="auto" w:fill="B14A32"/>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80" w:type="dxa"/>
            <w:vAlign w:val="bottom"/>
            <w:shd w:val="clear" w:color="auto" w:fill="B14A32"/>
          </w:tcPr>
          <w:p>
            <w:pPr>
              <w:spacing w:after="0"/>
              <w:rPr>
                <w:sz w:val="12"/>
                <w:szCs w:val="12"/>
                <w:color w:val="auto"/>
              </w:rPr>
            </w:pPr>
          </w:p>
        </w:tc>
        <w:tc>
          <w:tcPr>
            <w:tcW w:w="1420" w:type="dxa"/>
            <w:vAlign w:val="bottom"/>
            <w:shd w:val="clear" w:color="auto" w:fill="B14A32"/>
          </w:tcPr>
          <w:p>
            <w:pPr>
              <w:jc w:val="right"/>
              <w:ind w:right="172"/>
              <w:spacing w:after="0"/>
              <w:rPr>
                <w:sz w:val="20"/>
                <w:szCs w:val="20"/>
                <w:color w:val="auto"/>
              </w:rPr>
            </w:pPr>
            <w:r>
              <w:rPr>
                <w:rFonts w:ascii="Arial" w:cs="Arial" w:eastAsia="Arial" w:hAnsi="Arial"/>
                <w:sz w:val="10"/>
                <w:szCs w:val="10"/>
                <w:b w:val="1"/>
                <w:bCs w:val="1"/>
                <w:color w:val="FFFFFF"/>
              </w:rPr>
              <w:t>2021</w:t>
            </w:r>
          </w:p>
        </w:tc>
        <w:tc>
          <w:tcPr>
            <w:tcW w:w="760" w:type="dxa"/>
            <w:vAlign w:val="bottom"/>
            <w:shd w:val="clear" w:color="auto" w:fill="B14A32"/>
          </w:tcPr>
          <w:p>
            <w:pPr>
              <w:spacing w:after="0"/>
              <w:rPr>
                <w:sz w:val="12"/>
                <w:szCs w:val="12"/>
                <w:color w:val="auto"/>
              </w:rPr>
            </w:pPr>
          </w:p>
        </w:tc>
        <w:tc>
          <w:tcPr>
            <w:tcW w:w="60" w:type="dxa"/>
            <w:vAlign w:val="bottom"/>
            <w:shd w:val="clear" w:color="auto" w:fill="B14A32"/>
          </w:tcPr>
          <w:p>
            <w:pPr>
              <w:spacing w:after="0"/>
              <w:rPr>
                <w:sz w:val="12"/>
                <w:szCs w:val="12"/>
                <w:color w:val="auto"/>
              </w:rPr>
            </w:pPr>
          </w:p>
        </w:tc>
        <w:tc>
          <w:tcPr>
            <w:tcW w:w="780" w:type="dxa"/>
            <w:vAlign w:val="bottom"/>
            <w:shd w:val="clear" w:color="auto" w:fill="B14A32"/>
          </w:tcPr>
          <w:p>
            <w:pPr>
              <w:spacing w:after="0"/>
              <w:rPr>
                <w:sz w:val="12"/>
                <w:szCs w:val="12"/>
                <w:color w:val="auto"/>
              </w:rPr>
            </w:pPr>
          </w:p>
        </w:tc>
        <w:tc>
          <w:tcPr>
            <w:tcW w:w="1400" w:type="dxa"/>
            <w:vAlign w:val="bottom"/>
            <w:shd w:val="clear" w:color="auto" w:fill="B14A32"/>
          </w:tcPr>
          <w:p>
            <w:pPr>
              <w:jc w:val="right"/>
              <w:ind w:right="932"/>
              <w:spacing w:after="0"/>
              <w:rPr>
                <w:sz w:val="20"/>
                <w:szCs w:val="20"/>
                <w:color w:val="auto"/>
              </w:rPr>
            </w:pPr>
            <w:r>
              <w:rPr>
                <w:rFonts w:ascii="Arial" w:cs="Arial" w:eastAsia="Arial" w:hAnsi="Arial"/>
                <w:sz w:val="10"/>
                <w:szCs w:val="10"/>
                <w:b w:val="1"/>
                <w:bCs w:val="1"/>
                <w:color w:val="FFFFFF"/>
              </w:rPr>
              <w:t>2020</w:t>
            </w:r>
          </w:p>
        </w:tc>
        <w:tc>
          <w:tcPr>
            <w:tcW w:w="0" w:type="dxa"/>
            <w:vAlign w:val="bottom"/>
          </w:tcPr>
          <w:p>
            <w:pPr>
              <w:spacing w:after="0"/>
              <w:rPr>
                <w:sz w:val="1"/>
                <w:szCs w:val="1"/>
                <w:color w:val="auto"/>
              </w:rPr>
            </w:pPr>
          </w:p>
        </w:tc>
      </w:tr>
      <w:tr>
        <w:trPr>
          <w:trHeight w:val="262"/>
        </w:trPr>
        <w:tc>
          <w:tcPr>
            <w:tcW w:w="6680" w:type="dxa"/>
            <w:vAlign w:val="bottom"/>
          </w:tcPr>
          <w:p>
            <w:pPr>
              <w:spacing w:after="0"/>
              <w:rPr>
                <w:sz w:val="20"/>
                <w:szCs w:val="20"/>
                <w:color w:val="auto"/>
              </w:rPr>
            </w:pPr>
            <w:r>
              <w:rPr>
                <w:rFonts w:ascii="Arial" w:cs="Arial" w:eastAsia="Arial" w:hAnsi="Arial"/>
                <w:sz w:val="10"/>
                <w:szCs w:val="10"/>
                <w:color w:val="auto"/>
              </w:rPr>
              <w:t>Revenues:</w:t>
            </w:r>
          </w:p>
        </w:tc>
        <w:tc>
          <w:tcPr>
            <w:tcW w:w="1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Product sales, net</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1,023.9</w:t>
            </w:r>
          </w:p>
        </w:tc>
        <w:tc>
          <w:tcPr>
            <w:tcW w:w="60" w:type="dxa"/>
            <w:vAlign w:val="bottom"/>
          </w:tcPr>
          <w:p>
            <w:pPr>
              <w:spacing w:after="0"/>
              <w:rPr>
                <w:sz w:val="10"/>
                <w:szCs w:val="10"/>
                <w:color w:val="auto"/>
              </w:rPr>
            </w:pPr>
          </w:p>
        </w:tc>
        <w:tc>
          <w:tcPr>
            <w:tcW w:w="780" w:type="dxa"/>
            <w:vAlign w:val="bottom"/>
          </w:tcPr>
          <w:p>
            <w:pPr>
              <w:jc w:val="right"/>
              <w:ind w:right="652"/>
              <w:spacing w:after="0"/>
              <w:rPr>
                <w:sz w:val="20"/>
                <w:szCs w:val="20"/>
                <w:color w:val="auto"/>
              </w:rPr>
            </w:pPr>
            <w:r>
              <w:rPr>
                <w:rFonts w:ascii="Arial" w:cs="Arial" w:eastAsia="Arial" w:hAnsi="Arial"/>
                <w:sz w:val="10"/>
                <w:szCs w:val="10"/>
                <w:color w:val="auto"/>
              </w:rPr>
              <w:t>$</w:t>
            </w:r>
          </w:p>
        </w:tc>
        <w:tc>
          <w:tcPr>
            <w:tcW w:w="1400" w:type="dxa"/>
            <w:vAlign w:val="bottom"/>
          </w:tcPr>
          <w:p>
            <w:pPr>
              <w:jc w:val="right"/>
              <w:spacing w:after="0"/>
              <w:rPr>
                <w:sz w:val="20"/>
                <w:szCs w:val="20"/>
                <w:color w:val="auto"/>
              </w:rPr>
            </w:pPr>
            <w:r>
              <w:rPr>
                <w:rFonts w:ascii="Arial" w:cs="Arial" w:eastAsia="Arial" w:hAnsi="Arial"/>
                <w:sz w:val="10"/>
                <w:szCs w:val="10"/>
                <w:color w:val="auto"/>
              </w:rPr>
              <w:t>989.8</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CDMO:</w:t>
            </w:r>
          </w:p>
        </w:tc>
        <w:tc>
          <w:tcPr>
            <w:tcW w:w="1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Services</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334.9</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166.7</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Leases</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299.7</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283.8</w:t>
            </w:r>
          </w:p>
        </w:tc>
        <w:tc>
          <w:tcPr>
            <w:tcW w:w="0" w:type="dxa"/>
            <w:vAlign w:val="bottom"/>
          </w:tcPr>
          <w:p>
            <w:pPr>
              <w:spacing w:after="0"/>
              <w:rPr>
                <w:sz w:val="1"/>
                <w:szCs w:val="1"/>
                <w:color w:val="auto"/>
              </w:rPr>
            </w:pPr>
          </w:p>
        </w:tc>
      </w:tr>
      <w:tr>
        <w:trPr>
          <w:trHeight w:val="116"/>
        </w:trPr>
        <w:tc>
          <w:tcPr>
            <w:tcW w:w="6680" w:type="dxa"/>
            <w:vAlign w:val="bottom"/>
          </w:tcPr>
          <w:p>
            <w:pPr>
              <w:spacing w:after="0"/>
              <w:rPr>
                <w:sz w:val="20"/>
                <w:szCs w:val="20"/>
                <w:color w:val="auto"/>
              </w:rPr>
            </w:pPr>
            <w:r>
              <w:rPr>
                <w:rFonts w:ascii="Arial" w:cs="Arial" w:eastAsia="Arial" w:hAnsi="Arial"/>
                <w:sz w:val="10"/>
                <w:szCs w:val="10"/>
                <w:color w:val="auto"/>
              </w:rPr>
              <w:t>Total CDMO</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634.6</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450.5</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Contracts and grants</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134.2</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115.1</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revenues</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1,792.7</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1,555.4</w:t>
            </w:r>
          </w:p>
        </w:tc>
        <w:tc>
          <w:tcPr>
            <w:tcW w:w="0" w:type="dxa"/>
            <w:vAlign w:val="bottom"/>
          </w:tcPr>
          <w:p>
            <w:pPr>
              <w:spacing w:after="0"/>
              <w:rPr>
                <w:sz w:val="1"/>
                <w:szCs w:val="1"/>
                <w:color w:val="auto"/>
              </w:rPr>
            </w:pPr>
          </w:p>
        </w:tc>
      </w:tr>
      <w:tr>
        <w:trPr>
          <w:trHeight w:val="242"/>
        </w:trPr>
        <w:tc>
          <w:tcPr>
            <w:tcW w:w="6680" w:type="dxa"/>
            <w:vAlign w:val="bottom"/>
          </w:tcPr>
          <w:p>
            <w:pPr>
              <w:spacing w:after="0"/>
              <w:rPr>
                <w:sz w:val="20"/>
                <w:szCs w:val="20"/>
                <w:color w:val="auto"/>
              </w:rPr>
            </w:pPr>
            <w:r>
              <w:rPr>
                <w:rFonts w:ascii="Arial" w:cs="Arial" w:eastAsia="Arial" w:hAnsi="Arial"/>
                <w:sz w:val="10"/>
                <w:szCs w:val="10"/>
                <w:color w:val="auto"/>
              </w:rPr>
              <w:t>Operating expenses:</w:t>
            </w:r>
          </w:p>
        </w:tc>
        <w:tc>
          <w:tcPr>
            <w:tcW w:w="1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Cost of product sales</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382.0</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392.0</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Cost of CDMO</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375.5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132.0</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Research and development</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234.0</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234.5</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Selling, general and administrative</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348.4</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303.3</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Goodwill impairment</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41.7</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Amortization of intangible assets</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58.5</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59.8</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operating expenses</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1,440.1</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1,121.6</w:t>
            </w:r>
          </w:p>
        </w:tc>
        <w:tc>
          <w:tcPr>
            <w:tcW w:w="0" w:type="dxa"/>
            <w:vAlign w:val="bottom"/>
          </w:tcPr>
          <w:p>
            <w:pPr>
              <w:spacing w:after="0"/>
              <w:rPr>
                <w:sz w:val="1"/>
                <w:szCs w:val="1"/>
                <w:color w:val="auto"/>
              </w:rPr>
            </w:pPr>
          </w:p>
        </w:tc>
      </w:tr>
      <w:tr>
        <w:trPr>
          <w:trHeight w:val="242"/>
        </w:trPr>
        <w:tc>
          <w:tcPr>
            <w:tcW w:w="6680" w:type="dxa"/>
            <w:vAlign w:val="bottom"/>
          </w:tcPr>
          <w:p>
            <w:pPr>
              <w:spacing w:after="0"/>
              <w:rPr>
                <w:sz w:val="20"/>
                <w:szCs w:val="20"/>
                <w:color w:val="auto"/>
              </w:rPr>
            </w:pPr>
            <w:r>
              <w:rPr>
                <w:rFonts w:ascii="Arial" w:cs="Arial" w:eastAsia="Arial" w:hAnsi="Arial"/>
                <w:sz w:val="10"/>
                <w:szCs w:val="10"/>
                <w:color w:val="auto"/>
              </w:rPr>
              <w:t>Income from operations</w:t>
            </w:r>
          </w:p>
        </w:tc>
        <w:tc>
          <w:tcPr>
            <w:tcW w:w="1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352.6</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433.8</w:t>
            </w:r>
          </w:p>
        </w:tc>
        <w:tc>
          <w:tcPr>
            <w:tcW w:w="0" w:type="dxa"/>
            <w:vAlign w:val="bottom"/>
          </w:tcPr>
          <w:p>
            <w:pPr>
              <w:spacing w:after="0"/>
              <w:rPr>
                <w:sz w:val="1"/>
                <w:szCs w:val="1"/>
                <w:color w:val="auto"/>
              </w:rPr>
            </w:pPr>
          </w:p>
        </w:tc>
      </w:tr>
      <w:tr>
        <w:trPr>
          <w:trHeight w:val="261"/>
        </w:trPr>
        <w:tc>
          <w:tcPr>
            <w:tcW w:w="6680" w:type="dxa"/>
            <w:vAlign w:val="bottom"/>
          </w:tcPr>
          <w:p>
            <w:pPr>
              <w:spacing w:after="0"/>
              <w:rPr>
                <w:sz w:val="20"/>
                <w:szCs w:val="20"/>
                <w:color w:val="auto"/>
              </w:rPr>
            </w:pPr>
            <w:r>
              <w:rPr>
                <w:rFonts w:ascii="Arial" w:cs="Arial" w:eastAsia="Arial" w:hAnsi="Arial"/>
                <w:sz w:val="10"/>
                <w:szCs w:val="10"/>
                <w:color w:val="auto"/>
              </w:rPr>
              <w:t>Other income (expense):</w:t>
            </w:r>
          </w:p>
        </w:tc>
        <w:tc>
          <w:tcPr>
            <w:tcW w:w="1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Interest expense</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(34.5)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(31.3)</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Other, net</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Total other income (expense), net</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(38.2)</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(26.6)</w:t>
            </w:r>
          </w:p>
        </w:tc>
        <w:tc>
          <w:tcPr>
            <w:tcW w:w="0" w:type="dxa"/>
            <w:vAlign w:val="bottom"/>
          </w:tcPr>
          <w:p>
            <w:pPr>
              <w:spacing w:after="0"/>
              <w:rPr>
                <w:sz w:val="1"/>
                <w:szCs w:val="1"/>
                <w:color w:val="auto"/>
              </w:rPr>
            </w:pPr>
          </w:p>
        </w:tc>
      </w:tr>
      <w:tr>
        <w:trPr>
          <w:trHeight w:val="242"/>
        </w:trPr>
        <w:tc>
          <w:tcPr>
            <w:tcW w:w="6680" w:type="dxa"/>
            <w:vAlign w:val="bottom"/>
          </w:tcPr>
          <w:p>
            <w:pPr>
              <w:spacing w:after="0"/>
              <w:rPr>
                <w:sz w:val="20"/>
                <w:szCs w:val="20"/>
                <w:color w:val="auto"/>
              </w:rPr>
            </w:pPr>
            <w:r>
              <w:rPr>
                <w:rFonts w:ascii="Arial" w:cs="Arial" w:eastAsia="Arial" w:hAnsi="Arial"/>
                <w:sz w:val="10"/>
                <w:szCs w:val="10"/>
                <w:color w:val="auto"/>
              </w:rPr>
              <w:t>Income before income taxes</w:t>
            </w:r>
          </w:p>
        </w:tc>
        <w:tc>
          <w:tcPr>
            <w:tcW w:w="1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314.4</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407.2</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Arial" w:cs="Arial" w:eastAsia="Arial" w:hAnsi="Arial"/>
                <w:sz w:val="10"/>
                <w:szCs w:val="10"/>
                <w:color w:val="auto"/>
              </w:rPr>
              <w:t>Income taxes</w:t>
            </w:r>
          </w:p>
        </w:tc>
        <w:tc>
          <w:tcPr>
            <w:tcW w:w="1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83.5</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102.1</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20"/>
                <w:szCs w:val="20"/>
                <w:color w:val="auto"/>
              </w:rPr>
            </w:pPr>
            <w:r>
              <w:rPr>
                <w:rFonts w:ascii="Arial" w:cs="Arial" w:eastAsia="Arial" w:hAnsi="Arial"/>
                <w:sz w:val="10"/>
                <w:szCs w:val="10"/>
                <w:color w:val="auto"/>
              </w:rPr>
              <w:t>Net income</w:t>
            </w:r>
          </w:p>
        </w:tc>
        <w:tc>
          <w:tcPr>
            <w:tcW w:w="1420" w:type="dxa"/>
            <w:vAlign w:val="bottom"/>
            <w:tcBorders>
              <w:bottom w:val="single" w:sz="8" w:color="auto"/>
            </w:tcBorders>
          </w:tcPr>
          <w:p>
            <w:pPr>
              <w:jc w:val="right"/>
              <w:ind w:right="13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230.9</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305.1</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0"/>
                <w:szCs w:val="10"/>
                <w:color w:val="auto"/>
              </w:rPr>
              <w:t>Net income per common share</w:t>
            </w: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Basic</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4.32</w:t>
            </w:r>
          </w:p>
        </w:tc>
        <w:tc>
          <w:tcPr>
            <w:tcW w:w="60" w:type="dxa"/>
            <w:vAlign w:val="bottom"/>
          </w:tcPr>
          <w:p>
            <w:pPr>
              <w:spacing w:after="0"/>
              <w:rPr>
                <w:sz w:val="10"/>
                <w:szCs w:val="10"/>
                <w:color w:val="auto"/>
              </w:rPr>
            </w:pPr>
          </w:p>
        </w:tc>
        <w:tc>
          <w:tcPr>
            <w:tcW w:w="780" w:type="dxa"/>
            <w:vAlign w:val="bottom"/>
          </w:tcPr>
          <w:p>
            <w:pPr>
              <w:jc w:val="right"/>
              <w:ind w:right="652"/>
              <w:spacing w:after="0"/>
              <w:rPr>
                <w:sz w:val="20"/>
                <w:szCs w:val="20"/>
                <w:color w:val="auto"/>
              </w:rPr>
            </w:pPr>
            <w:r>
              <w:rPr>
                <w:rFonts w:ascii="Arial" w:cs="Arial" w:eastAsia="Arial" w:hAnsi="Arial"/>
                <w:sz w:val="10"/>
                <w:szCs w:val="10"/>
                <w:color w:val="auto"/>
              </w:rPr>
              <w:t>$</w:t>
            </w:r>
          </w:p>
        </w:tc>
        <w:tc>
          <w:tcPr>
            <w:tcW w:w="1400" w:type="dxa"/>
            <w:vAlign w:val="bottom"/>
          </w:tcPr>
          <w:p>
            <w:pPr>
              <w:jc w:val="right"/>
              <w:spacing w:after="0"/>
              <w:rPr>
                <w:sz w:val="20"/>
                <w:szCs w:val="20"/>
                <w:color w:val="auto"/>
              </w:rPr>
            </w:pPr>
            <w:r>
              <w:rPr>
                <w:rFonts w:ascii="Arial" w:cs="Arial" w:eastAsia="Arial" w:hAnsi="Arial"/>
                <w:sz w:val="10"/>
                <w:szCs w:val="10"/>
                <w:color w:val="auto"/>
              </w:rPr>
              <w:t>5.79</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Diluted</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4.27</w:t>
            </w:r>
          </w:p>
        </w:tc>
        <w:tc>
          <w:tcPr>
            <w:tcW w:w="60" w:type="dxa"/>
            <w:vAlign w:val="bottom"/>
          </w:tcPr>
          <w:p>
            <w:pPr>
              <w:spacing w:after="0"/>
              <w:rPr>
                <w:sz w:val="10"/>
                <w:szCs w:val="10"/>
                <w:color w:val="auto"/>
              </w:rPr>
            </w:pPr>
          </w:p>
        </w:tc>
        <w:tc>
          <w:tcPr>
            <w:tcW w:w="780" w:type="dxa"/>
            <w:vAlign w:val="bottom"/>
          </w:tcPr>
          <w:p>
            <w:pPr>
              <w:jc w:val="right"/>
              <w:ind w:right="652"/>
              <w:spacing w:after="0"/>
              <w:rPr>
                <w:sz w:val="20"/>
                <w:szCs w:val="20"/>
                <w:color w:val="auto"/>
              </w:rPr>
            </w:pPr>
            <w:r>
              <w:rPr>
                <w:rFonts w:ascii="Arial" w:cs="Arial" w:eastAsia="Arial" w:hAnsi="Arial"/>
                <w:sz w:val="10"/>
                <w:szCs w:val="10"/>
                <w:color w:val="auto"/>
              </w:rPr>
              <w:t>$</w:t>
            </w:r>
          </w:p>
        </w:tc>
        <w:tc>
          <w:tcPr>
            <w:tcW w:w="1400" w:type="dxa"/>
            <w:vAlign w:val="bottom"/>
          </w:tcPr>
          <w:p>
            <w:pPr>
              <w:jc w:val="right"/>
              <w:spacing w:after="0"/>
              <w:rPr>
                <w:sz w:val="20"/>
                <w:szCs w:val="20"/>
                <w:color w:val="auto"/>
              </w:rPr>
            </w:pPr>
            <w:r>
              <w:rPr>
                <w:rFonts w:ascii="Arial" w:cs="Arial" w:eastAsia="Arial" w:hAnsi="Arial"/>
                <w:sz w:val="10"/>
                <w:szCs w:val="10"/>
                <w:color w:val="auto"/>
              </w:rPr>
              <w:t>5.67</w:t>
            </w:r>
          </w:p>
        </w:tc>
        <w:tc>
          <w:tcPr>
            <w:tcW w:w="0" w:type="dxa"/>
            <w:vAlign w:val="bottom"/>
          </w:tcPr>
          <w:p>
            <w:pPr>
              <w:spacing w:after="0"/>
              <w:rPr>
                <w:sz w:val="1"/>
                <w:szCs w:val="1"/>
                <w:color w:val="auto"/>
              </w:rPr>
            </w:pPr>
          </w:p>
        </w:tc>
      </w:tr>
      <w:tr>
        <w:trPr>
          <w:trHeight w:val="261"/>
        </w:trPr>
        <w:tc>
          <w:tcPr>
            <w:tcW w:w="6680" w:type="dxa"/>
            <w:vAlign w:val="bottom"/>
          </w:tcPr>
          <w:p>
            <w:pPr>
              <w:spacing w:after="0"/>
              <w:rPr>
                <w:sz w:val="20"/>
                <w:szCs w:val="20"/>
                <w:color w:val="auto"/>
              </w:rPr>
            </w:pPr>
            <w:r>
              <w:rPr>
                <w:rFonts w:ascii="Arial" w:cs="Arial" w:eastAsia="Arial" w:hAnsi="Arial"/>
                <w:sz w:val="10"/>
                <w:szCs w:val="10"/>
                <w:color w:val="auto"/>
              </w:rPr>
              <w:t>Shares used in computing net income per share</w:t>
            </w:r>
          </w:p>
        </w:tc>
        <w:tc>
          <w:tcPr>
            <w:tcW w:w="1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Basic</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53.5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52.7</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Diluted</w:t>
            </w:r>
          </w:p>
        </w:tc>
        <w:tc>
          <w:tcPr>
            <w:tcW w:w="14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54.1</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53.8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1"/>
          <w:szCs w:val="11"/>
          <w:color w:val="auto"/>
        </w:rPr>
        <w:t>12 of 18</w:t>
      </w:r>
    </w:p>
    <w:p>
      <w:pPr>
        <w:sectPr>
          <w:pgSz w:w="11900" w:h="16838" w:orient="portrait"/>
          <w:cols w:equalWidth="0" w:num="1">
            <w:col w:w="11100"/>
          </w:cols>
          <w:pgMar w:left="300" w:top="638" w:right="4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2"/>
          <w:szCs w:val="12"/>
          <w:b w:val="1"/>
          <w:bCs w:val="1"/>
          <w:color w:val="auto"/>
        </w:rPr>
        <w:t>Emergent BioSolutions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086600" cy="200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20002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660" w:type="dxa"/>
            <w:vAlign w:val="bottom"/>
            <w:shd w:val="clear" w:color="auto" w:fill="B14A32"/>
          </w:tcPr>
          <w:p>
            <w:pPr>
              <w:spacing w:after="0"/>
              <w:rPr>
                <w:sz w:val="12"/>
                <w:szCs w:val="12"/>
                <w:color w:val="auto"/>
              </w:rPr>
            </w:pPr>
          </w:p>
        </w:tc>
        <w:tc>
          <w:tcPr>
            <w:tcW w:w="2480" w:type="dxa"/>
            <w:vAlign w:val="bottom"/>
            <w:shd w:val="clear" w:color="auto" w:fill="B14A32"/>
          </w:tcPr>
          <w:p>
            <w:pPr>
              <w:jc w:val="right"/>
              <w:ind w:right="1152"/>
              <w:spacing w:after="0"/>
              <w:rPr>
                <w:sz w:val="20"/>
                <w:szCs w:val="20"/>
                <w:color w:val="auto"/>
              </w:rPr>
            </w:pPr>
            <w:r>
              <w:rPr>
                <w:rFonts w:ascii="Arial" w:cs="Arial" w:eastAsia="Arial" w:hAnsi="Arial"/>
                <w:sz w:val="10"/>
                <w:szCs w:val="10"/>
                <w:b w:val="1"/>
                <w:bCs w:val="1"/>
                <w:color w:val="FFFFFF"/>
              </w:rPr>
              <w:t>Year Ended December 31,</w:t>
            </w:r>
          </w:p>
        </w:tc>
      </w:tr>
      <w:tr>
        <w:trPr>
          <w:trHeight w:val="157"/>
        </w:trPr>
        <w:tc>
          <w:tcPr>
            <w:tcW w:w="8660" w:type="dxa"/>
            <w:vAlign w:val="bottom"/>
            <w:shd w:val="clear" w:color="auto" w:fill="B14A32"/>
          </w:tcPr>
          <w:p>
            <w:pPr>
              <w:jc w:val="right"/>
              <w:ind w:right="72"/>
              <w:spacing w:after="0"/>
              <w:rPr>
                <w:sz w:val="20"/>
                <w:szCs w:val="20"/>
                <w:color w:val="auto"/>
              </w:rPr>
            </w:pPr>
            <w:r>
              <w:rPr>
                <w:rFonts w:ascii="Arial" w:cs="Arial" w:eastAsia="Arial" w:hAnsi="Arial"/>
                <w:sz w:val="10"/>
                <w:szCs w:val="10"/>
                <w:b w:val="1"/>
                <w:bCs w:val="1"/>
                <w:color w:val="FFFFFF"/>
              </w:rPr>
              <w:t>2021</w:t>
            </w:r>
          </w:p>
        </w:tc>
        <w:tc>
          <w:tcPr>
            <w:tcW w:w="2480" w:type="dxa"/>
            <w:vAlign w:val="bottom"/>
            <w:shd w:val="clear" w:color="auto" w:fill="B14A32"/>
          </w:tcPr>
          <w:p>
            <w:pPr>
              <w:jc w:val="right"/>
              <w:ind w:right="732"/>
              <w:spacing w:after="0"/>
              <w:rPr>
                <w:sz w:val="20"/>
                <w:szCs w:val="20"/>
                <w:color w:val="auto"/>
              </w:rPr>
            </w:pPr>
            <w:r>
              <w:rPr>
                <w:rFonts w:ascii="Arial" w:cs="Arial" w:eastAsia="Arial" w:hAnsi="Arial"/>
                <w:sz w:val="10"/>
                <w:szCs w:val="10"/>
                <w:b w:val="1"/>
                <w:bCs w:val="1"/>
                <w:color w:val="FFFFFF"/>
              </w:rPr>
              <w:t>2020</w:t>
            </w:r>
          </w:p>
        </w:tc>
      </w:tr>
    </w:tbl>
    <w:p>
      <w:pPr>
        <w:spacing w:after="0" w:line="21" w:lineRule="exact"/>
        <w:rPr>
          <w:sz w:val="20"/>
          <w:szCs w:val="20"/>
          <w:color w:val="auto"/>
        </w:rPr>
      </w:pPr>
    </w:p>
    <w:p>
      <w:pPr>
        <w:sectPr>
          <w:pgSz w:w="11900" w:h="16838" w:orient="portrait"/>
          <w:cols w:equalWidth="0" w:num="1">
            <w:col w:w="11140"/>
          </w:cols>
          <w:pgMar w:left="380" w:top="638" w:right="379" w:bottom="1440" w:gutter="0" w:footer="0" w:header="0"/>
        </w:sectPr>
      </w:pPr>
    </w:p>
    <w:p>
      <w:pPr>
        <w:spacing w:after="0"/>
        <w:rPr>
          <w:sz w:val="20"/>
          <w:szCs w:val="20"/>
          <w:color w:val="auto"/>
        </w:rPr>
      </w:pPr>
      <w:r>
        <w:rPr>
          <w:rFonts w:ascii="Arial" w:cs="Arial" w:eastAsia="Arial" w:hAnsi="Arial"/>
          <w:sz w:val="10"/>
          <w:szCs w:val="10"/>
          <w:color w:val="auto"/>
        </w:rPr>
        <w:t>Cash flows from operating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Net income</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8"/>
          <w:szCs w:val="8"/>
          <w:color w:val="auto"/>
        </w:rPr>
        <w:t>Adjustments to reconcile net income to net cash provided by operating activities:</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0"/>
          <w:szCs w:val="10"/>
          <w:color w:val="auto"/>
        </w:rPr>
        <w:t>Stock-based compensation expense</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Depreciation and amortization</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Change in fair value of contingent obligations, net</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Amortization of deferred financing costs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Impairments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Deferred income taxes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Write off of contract asset and liability</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Other</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Changes in operating assets and liabilities: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Accounts receivable</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Inventories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Prepaid expenses and other assets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Accounts payable</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Accrued expenses and other liabilities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Accrued compensation</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Contract liabilities</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Net cash provided by operating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flows from investing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Purchases of property, plant and equipment</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Milestone payment from prior asset acquisition</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Net cash used in investing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flows (used in) provided by financing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Purchases of treasury stock</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Proceeds from revolving credit facility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Proceeds from senior unsecured notes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convertible senior notes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revolving credit facility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term loan facility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Proceeds from stock-based compensation activity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Taxes paid for stock-based compensation activity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Debt issuance costs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Contingent consideration payments</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0"/>
          <w:szCs w:val="10"/>
          <w:color w:val="auto"/>
        </w:rPr>
        <w:t>Net cash (used in) provided by financing activities:</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8"/>
          <w:szCs w:val="8"/>
          <w:color w:val="auto"/>
        </w:rPr>
        <w:t>Effect of exchange rate changes on cash, cash equivalents and restricted cash</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0"/>
          <w:szCs w:val="10"/>
          <w:color w:val="auto"/>
        </w:rPr>
        <w:t>Net change in cash, cash equivalents and restricted cash</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cash equivalents and restricted cash at beginning of period</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Cash, cash equivalents and restricted cash at end of period</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Supplemental disclosure of cash flow information:</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Cash paid during the year for interest</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Cash paid during the year for income taxes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Supplemental information on non-cash investing and financing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Purchases of property, plant and equipment unpaid at period end</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Purchase of Treasury Stock</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Reconciliation of cash and cash equivalents and restricted cash:</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and cash equivalents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Restricted cash</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Total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230.9</w:t>
            </w:r>
          </w:p>
        </w:tc>
        <w:tc>
          <w:tcPr>
            <w:tcW w:w="60" w:type="dxa"/>
            <w:vAlign w:val="bottom"/>
          </w:tcPr>
          <w:p>
            <w:pPr>
              <w:spacing w:after="0"/>
              <w:rPr>
                <w:sz w:val="10"/>
                <w:szCs w:val="10"/>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305.1</w:t>
            </w:r>
          </w:p>
        </w:tc>
      </w:tr>
      <w:tr>
        <w:trPr>
          <w:trHeight w:val="252"/>
        </w:trPr>
        <w:tc>
          <w:tcPr>
            <w:tcW w:w="7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42.4</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51.0</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123.8</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114.5</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31.7</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4.1</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3.5</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41.7</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29.0</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46.9</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(17.2)</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2.0</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(5.2)</w:t>
            </w:r>
          </w:p>
        </w:tc>
      </w:tr>
      <w:tr>
        <w:trPr>
          <w:trHeight w:val="252"/>
        </w:trPr>
        <w:tc>
          <w:tcPr>
            <w:tcW w:w="7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(48.2)</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49.0</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(44.0)</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(83.2)</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(24.7)</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(29.2)</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(2.5)</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19.8</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(9.2)</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19.4</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4.0</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21.8</w:t>
            </w:r>
          </w:p>
        </w:tc>
      </w:tr>
      <w:tr>
        <w:trPr>
          <w:trHeight w:val="125"/>
        </w:trPr>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(31.8)</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w:t>
            </w:r>
          </w:p>
        </w:tc>
      </w:tr>
      <w:tr>
        <w:trPr>
          <w:trHeight w:val="115"/>
        </w:trPr>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321.1</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536.0</w:t>
            </w:r>
          </w:p>
        </w:tc>
      </w:tr>
      <w:tr>
        <w:trPr>
          <w:trHeight w:val="233"/>
        </w:trPr>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(225.0)</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(141.0)</w:t>
            </w:r>
          </w:p>
        </w:tc>
      </w:tr>
      <w:tr>
        <w:trPr>
          <w:trHeight w:val="125"/>
        </w:trPr>
        <w:tc>
          <w:tcPr>
            <w:tcW w:w="740" w:type="dxa"/>
            <w:vAlign w:val="bottom"/>
          </w:tcPr>
          <w:p>
            <w:pPr>
              <w:spacing w:after="0"/>
              <w:rPr>
                <w:sz w:val="10"/>
                <w:szCs w:val="1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(10.0)</w:t>
            </w:r>
          </w:p>
        </w:tc>
      </w:tr>
      <w:tr>
        <w:trPr>
          <w:trHeight w:val="115"/>
        </w:trPr>
        <w:tc>
          <w:tcPr>
            <w:tcW w:w="74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(225.0)</w:t>
            </w:r>
          </w:p>
        </w:tc>
        <w:tc>
          <w:tcPr>
            <w:tcW w:w="60" w:type="dxa"/>
            <w:vAlign w:val="bottom"/>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(151.0)</w:t>
            </w:r>
          </w:p>
        </w:tc>
      </w:tr>
      <w:tr>
        <w:trPr>
          <w:trHeight w:val="233"/>
        </w:trPr>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(106.0)</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740" w:type="dxa"/>
            <w:vAlign w:val="bottom"/>
          </w:tcPr>
          <w:p>
            <w:pPr>
              <w:spacing w:after="0"/>
              <w:rPr>
                <w:sz w:val="10"/>
                <w:szCs w:val="1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740" w:type="dxa"/>
            <w:vAlign w:val="bottom"/>
          </w:tcPr>
          <w:p>
            <w:pPr>
              <w:spacing w:after="0"/>
              <w:rPr>
                <w:sz w:val="10"/>
                <w:szCs w:val="1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450.0</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(10.6)</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740" w:type="dxa"/>
            <w:vAlign w:val="bottom"/>
          </w:tcPr>
          <w:p>
            <w:pPr>
              <w:spacing w:after="0"/>
              <w:rPr>
                <w:sz w:val="10"/>
                <w:szCs w:val="1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(373.0)</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(25.3)</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(14.1)</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15.9</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31.6</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(13.8)</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(13.8)</w:t>
            </w:r>
          </w:p>
        </w:tc>
      </w:tr>
      <w:tr>
        <w:trPr>
          <w:trHeight w:val="126"/>
        </w:trPr>
        <w:tc>
          <w:tcPr>
            <w:tcW w:w="740" w:type="dxa"/>
            <w:vAlign w:val="bottom"/>
          </w:tcPr>
          <w:p>
            <w:pPr>
              <w:spacing w:after="0"/>
              <w:rPr>
                <w:sz w:val="10"/>
                <w:szCs w:val="1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(8.4)</w:t>
            </w:r>
          </w:p>
        </w:tc>
      </w:tr>
      <w:tr>
        <w:trPr>
          <w:trHeight w:val="125"/>
        </w:trPr>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w:t>
            </w:r>
          </w:p>
        </w:tc>
      </w:tr>
      <w:tr>
        <w:trPr>
          <w:trHeight w:val="115"/>
        </w:trPr>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(141.0)</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69.5</w:t>
            </w:r>
          </w:p>
        </w:tc>
      </w:tr>
      <w:tr>
        <w:trPr>
          <w:trHeight w:val="11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(0.3)</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w:t>
            </w:r>
          </w:p>
        </w:tc>
      </w:tr>
      <w:tr>
        <w:trPr>
          <w:trHeight w:val="126"/>
        </w:trPr>
        <w:tc>
          <w:tcPr>
            <w:tcW w:w="7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(45.2)</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453.5</w:t>
            </w:r>
          </w:p>
        </w:tc>
      </w:tr>
      <w:tr>
        <w:trPr>
          <w:trHeight w:val="125"/>
        </w:trPr>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621.5</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168.0</w:t>
            </w:r>
          </w:p>
        </w:tc>
      </w:tr>
      <w:tr>
        <w:trPr>
          <w:trHeight w:val="115"/>
        </w:trPr>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576.3</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621.5</w:t>
            </w:r>
          </w:p>
        </w:tc>
      </w:tr>
      <w:tr>
        <w:trPr>
          <w:trHeight w:val="233"/>
        </w:trPr>
        <w:tc>
          <w:tcPr>
            <w:tcW w:w="7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30.4</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21.0</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71.6</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109.3</w:t>
            </w:r>
          </w:p>
        </w:tc>
      </w:tr>
      <w:tr>
        <w:trPr>
          <w:trHeight w:val="252"/>
        </w:trPr>
        <w:tc>
          <w:tcPr>
            <w:tcW w:w="7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20.0</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22.0</w:t>
            </w:r>
          </w:p>
        </w:tc>
      </w:tr>
      <w:tr>
        <w:trPr>
          <w:trHeight w:val="126"/>
        </w:trPr>
        <w:tc>
          <w:tcPr>
            <w:tcW w:w="74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6.6</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52"/>
        </w:trPr>
        <w:tc>
          <w:tcPr>
            <w:tcW w:w="7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576.1</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621.3</w:t>
            </w:r>
          </w:p>
        </w:tc>
      </w:tr>
      <w:tr>
        <w:trPr>
          <w:trHeight w:val="125"/>
        </w:trPr>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0.2</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w:t>
            </w:r>
          </w:p>
        </w:tc>
      </w:tr>
      <w:tr>
        <w:trPr>
          <w:trHeight w:val="115"/>
        </w:trPr>
        <w:tc>
          <w:tcPr>
            <w:tcW w:w="7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576.3</w:t>
            </w:r>
          </w:p>
        </w:tc>
        <w:tc>
          <w:tcPr>
            <w:tcW w:w="60" w:type="dxa"/>
            <w:vAlign w:val="bottom"/>
          </w:tcPr>
          <w:p>
            <w:pPr>
              <w:spacing w:after="0"/>
              <w:rPr>
                <w:sz w:val="10"/>
                <w:szCs w:val="10"/>
                <w:color w:val="auto"/>
              </w:rPr>
            </w:pPr>
          </w:p>
        </w:tc>
        <w:tc>
          <w:tcPr>
            <w:tcW w:w="76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621.5</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580"/>
          </w:cols>
          <w:pgMar w:left="380" w:top="638" w:right="379" w:bottom="1440" w:gutter="0" w:footer="0" w:header="0"/>
          <w:type w:val="continuous"/>
        </w:sect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13 of 18</w:t>
      </w:r>
    </w:p>
    <w:p>
      <w:pPr>
        <w:sectPr>
          <w:pgSz w:w="11900" w:h="16838" w:orient="portrait"/>
          <w:cols w:equalWidth="0" w:num="1">
            <w:col w:w="11140"/>
          </w:cols>
          <w:pgMar w:left="380" w:top="638"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t>Reconciliation of Net Income to Adjusted Net Income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1354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13544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 except per share value)</w:t>
            </w:r>
          </w:p>
        </w:tc>
        <w:tc>
          <w:tcPr>
            <w:tcW w:w="2180" w:type="dxa"/>
            <w:vAlign w:val="bottom"/>
            <w:shd w:val="clear" w:color="auto" w:fill="B14A32"/>
          </w:tcPr>
          <w:p>
            <w:pPr>
              <w:spacing w:after="0"/>
              <w:rPr>
                <w:sz w:val="14"/>
                <w:szCs w:val="14"/>
                <w:color w:val="auto"/>
              </w:rPr>
            </w:pPr>
          </w:p>
        </w:tc>
        <w:tc>
          <w:tcPr>
            <w:tcW w:w="20" w:type="dxa"/>
            <w:vAlign w:val="bottom"/>
            <w:shd w:val="clear" w:color="auto" w:fill="B14A32"/>
          </w:tcPr>
          <w:p>
            <w:pPr>
              <w:spacing w:after="0"/>
              <w:rPr>
                <w:sz w:val="14"/>
                <w:szCs w:val="14"/>
                <w:color w:val="auto"/>
              </w:rPr>
            </w:pPr>
          </w:p>
        </w:tc>
        <w:tc>
          <w:tcPr>
            <w:tcW w:w="1200" w:type="dxa"/>
            <w:vAlign w:val="bottom"/>
            <w:shd w:val="clear" w:color="auto" w:fill="B14A32"/>
          </w:tcPr>
          <w:p>
            <w:pPr>
              <w:spacing w:after="0"/>
              <w:rPr>
                <w:sz w:val="14"/>
                <w:szCs w:val="14"/>
                <w:color w:val="auto"/>
              </w:rPr>
            </w:pPr>
          </w:p>
        </w:tc>
        <w:tc>
          <w:tcPr>
            <w:tcW w:w="3820" w:type="dxa"/>
            <w:vAlign w:val="bottom"/>
            <w:gridSpan w:val="3"/>
            <w:shd w:val="clear" w:color="auto" w:fill="B14A32"/>
          </w:tcPr>
          <w:p>
            <w:pPr>
              <w:jc w:val="center"/>
              <w:ind w:right="1220"/>
              <w:spacing w:after="0"/>
              <w:rPr>
                <w:sz w:val="20"/>
                <w:szCs w:val="20"/>
                <w:color w:val="auto"/>
              </w:rPr>
            </w:pPr>
            <w:r>
              <w:rPr>
                <w:rFonts w:ascii="Arial" w:cs="Arial" w:eastAsia="Arial" w:hAnsi="Arial"/>
                <w:sz w:val="11"/>
                <w:szCs w:val="11"/>
                <w:b w:val="1"/>
                <w:bCs w:val="1"/>
                <w:color w:val="FFFFFF"/>
                <w:w w:val="98"/>
              </w:rPr>
              <w:t>Three Months Ended December 31,</w:t>
            </w:r>
          </w:p>
        </w:tc>
        <w:tc>
          <w:tcPr>
            <w:tcW w:w="0" w:type="dxa"/>
            <w:vAlign w:val="bottom"/>
          </w:tcPr>
          <w:p>
            <w:pPr>
              <w:spacing w:after="0"/>
              <w:rPr>
                <w:sz w:val="1"/>
                <w:szCs w:val="1"/>
                <w:color w:val="auto"/>
              </w:rPr>
            </w:pPr>
          </w:p>
        </w:tc>
      </w:tr>
      <w:tr>
        <w:trPr>
          <w:trHeight w:val="75"/>
        </w:trPr>
        <w:tc>
          <w:tcPr>
            <w:tcW w:w="4080" w:type="dxa"/>
            <w:vAlign w:val="bottom"/>
            <w:vMerge w:val="continue"/>
            <w:shd w:val="clear" w:color="auto" w:fill="B14A32"/>
          </w:tcPr>
          <w:p>
            <w:pPr>
              <w:spacing w:after="0"/>
              <w:rPr>
                <w:sz w:val="6"/>
                <w:szCs w:val="6"/>
                <w:color w:val="auto"/>
              </w:rPr>
            </w:pPr>
          </w:p>
        </w:tc>
        <w:tc>
          <w:tcPr>
            <w:tcW w:w="3400" w:type="dxa"/>
            <w:vAlign w:val="bottom"/>
            <w:gridSpan w:val="3"/>
            <w:vMerge w:val="restart"/>
            <w:shd w:val="clear" w:color="auto" w:fill="B14A32"/>
          </w:tcPr>
          <w:p>
            <w:pPr>
              <w:jc w:val="center"/>
              <w:ind w:left="2626"/>
              <w:spacing w:after="0"/>
              <w:rPr>
                <w:sz w:val="20"/>
                <w:szCs w:val="20"/>
                <w:color w:val="auto"/>
              </w:rPr>
            </w:pPr>
            <w:r>
              <w:rPr>
                <w:rFonts w:ascii="Arial" w:cs="Arial" w:eastAsia="Arial" w:hAnsi="Arial"/>
                <w:sz w:val="11"/>
                <w:szCs w:val="11"/>
                <w:b w:val="1"/>
                <w:bCs w:val="1"/>
                <w:color w:val="FFFFFF"/>
                <w:w w:val="97"/>
              </w:rPr>
              <w:t>2021</w:t>
            </w:r>
          </w:p>
        </w:tc>
        <w:tc>
          <w:tcPr>
            <w:tcW w:w="2160" w:type="dxa"/>
            <w:vAlign w:val="bottom"/>
            <w:vMerge w:val="restart"/>
            <w:shd w:val="clear" w:color="auto" w:fill="B14A32"/>
          </w:tcPr>
          <w:p>
            <w:pPr>
              <w:jc w:val="center"/>
              <w:ind w:left="426"/>
              <w:spacing w:after="0"/>
              <w:rPr>
                <w:sz w:val="20"/>
                <w:szCs w:val="20"/>
                <w:color w:val="auto"/>
              </w:rPr>
            </w:pPr>
            <w:r>
              <w:rPr>
                <w:rFonts w:ascii="Arial" w:cs="Arial" w:eastAsia="Arial" w:hAnsi="Arial"/>
                <w:sz w:val="11"/>
                <w:szCs w:val="11"/>
                <w:b w:val="1"/>
                <w:bCs w:val="1"/>
                <w:color w:val="FFFFFF"/>
                <w:w w:val="97"/>
              </w:rPr>
              <w:t>2020</w:t>
            </w:r>
          </w:p>
        </w:tc>
        <w:tc>
          <w:tcPr>
            <w:tcW w:w="1660" w:type="dxa"/>
            <w:vAlign w:val="bottom"/>
            <w:gridSpan w:val="2"/>
            <w:vMerge w:val="restart"/>
            <w:shd w:val="clear" w:color="auto" w:fill="B14A32"/>
          </w:tcPr>
          <w:p>
            <w:pPr>
              <w:jc w:val="center"/>
              <w:ind w:right="20"/>
              <w:spacing w:after="0"/>
              <w:rPr>
                <w:sz w:val="20"/>
                <w:szCs w:val="20"/>
                <w:color w:val="auto"/>
              </w:rPr>
            </w:pPr>
            <w:r>
              <w:rPr>
                <w:rFonts w:ascii="Arial" w:cs="Arial" w:eastAsia="Arial" w:hAnsi="Arial"/>
                <w:sz w:val="12"/>
                <w:szCs w:val="12"/>
                <w:b w:val="1"/>
                <w:bCs w:val="1"/>
                <w:color w:val="FFFFFF"/>
                <w:w w:val="98"/>
              </w:rPr>
              <w:t>Source</w:t>
            </w:r>
          </w:p>
        </w:tc>
        <w:tc>
          <w:tcPr>
            <w:tcW w:w="0" w:type="dxa"/>
            <w:vAlign w:val="bottom"/>
          </w:tcPr>
          <w:p>
            <w:pPr>
              <w:spacing w:after="0"/>
              <w:rPr>
                <w:sz w:val="1"/>
                <w:szCs w:val="1"/>
                <w:color w:val="auto"/>
              </w:rPr>
            </w:pPr>
          </w:p>
        </w:tc>
      </w:tr>
      <w:tr>
        <w:trPr>
          <w:trHeight w:val="94"/>
        </w:trPr>
        <w:tc>
          <w:tcPr>
            <w:tcW w:w="4080" w:type="dxa"/>
            <w:vAlign w:val="bottom"/>
            <w:shd w:val="clear" w:color="auto" w:fill="B14A32"/>
          </w:tcPr>
          <w:p>
            <w:pPr>
              <w:spacing w:after="0"/>
              <w:rPr>
                <w:sz w:val="8"/>
                <w:szCs w:val="8"/>
                <w:color w:val="auto"/>
              </w:rPr>
            </w:pPr>
          </w:p>
        </w:tc>
        <w:tc>
          <w:tcPr>
            <w:tcW w:w="3400" w:type="dxa"/>
            <w:vAlign w:val="bottom"/>
            <w:gridSpan w:val="3"/>
            <w:vMerge w:val="continue"/>
            <w:shd w:val="clear" w:color="auto" w:fill="B14A32"/>
          </w:tcPr>
          <w:p>
            <w:pPr>
              <w:spacing w:after="0"/>
              <w:rPr>
                <w:sz w:val="8"/>
                <w:szCs w:val="8"/>
                <w:color w:val="auto"/>
              </w:rPr>
            </w:pPr>
          </w:p>
        </w:tc>
        <w:tc>
          <w:tcPr>
            <w:tcW w:w="2160" w:type="dxa"/>
            <w:vAlign w:val="bottom"/>
            <w:vMerge w:val="continue"/>
            <w:shd w:val="clear" w:color="auto" w:fill="B14A32"/>
          </w:tcPr>
          <w:p>
            <w:pPr>
              <w:spacing w:after="0"/>
              <w:rPr>
                <w:sz w:val="8"/>
                <w:szCs w:val="8"/>
                <w:color w:val="auto"/>
              </w:rPr>
            </w:pPr>
          </w:p>
        </w:tc>
        <w:tc>
          <w:tcPr>
            <w:tcW w:w="1660" w:type="dxa"/>
            <w:vAlign w:val="bottom"/>
            <w:gridSpan w:val="2"/>
            <w:vMerge w:val="continue"/>
            <w:shd w:val="clear" w:color="auto" w:fill="B14A3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3400" w:type="dxa"/>
            <w:vAlign w:val="bottom"/>
            <w:gridSpan w:val="3"/>
            <w:shd w:val="clear" w:color="auto" w:fill="CCCCCC"/>
          </w:tcPr>
          <w:p>
            <w:pPr>
              <w:jc w:val="center"/>
              <w:ind w:left="2626"/>
              <w:spacing w:after="0"/>
              <w:rPr>
                <w:sz w:val="20"/>
                <w:szCs w:val="20"/>
                <w:color w:val="auto"/>
              </w:rPr>
            </w:pPr>
            <w:r>
              <w:rPr>
                <w:rFonts w:ascii="Arial" w:cs="Arial" w:eastAsia="Arial" w:hAnsi="Arial"/>
                <w:sz w:val="11"/>
                <w:szCs w:val="11"/>
                <w:color w:val="auto"/>
                <w:w w:val="94"/>
              </w:rPr>
              <w:t>$189.3</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rPr>
              <w:t>$185.4</w:t>
            </w:r>
          </w:p>
        </w:tc>
        <w:tc>
          <w:tcPr>
            <w:tcW w:w="164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spacing w:after="0"/>
              <w:rPr>
                <w:sz w:val="13"/>
                <w:szCs w:val="13"/>
                <w:color w:val="auto"/>
              </w:rPr>
            </w:pPr>
          </w:p>
        </w:tc>
        <w:tc>
          <w:tcPr>
            <w:tcW w:w="2160" w:type="dxa"/>
            <w:vAlign w:val="bottom"/>
            <w:shd w:val="clear" w:color="auto" w:fill="CCCCCC"/>
          </w:tcPr>
          <w:p>
            <w:pPr>
              <w:spacing w:after="0"/>
              <w:rPr>
                <w:sz w:val="13"/>
                <w:szCs w:val="13"/>
                <w:color w:val="auto"/>
              </w:rPr>
            </w:pPr>
          </w:p>
        </w:tc>
        <w:tc>
          <w:tcPr>
            <w:tcW w:w="164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80" w:type="dxa"/>
            <w:vAlign w:val="bottom"/>
            <w:vMerge w:val="restart"/>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18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200" w:type="dxa"/>
            <w:vAlign w:val="bottom"/>
            <w:vMerge w:val="restart"/>
            <w:shd w:val="clear" w:color="auto" w:fill="CCCCCC"/>
          </w:tcPr>
          <w:p>
            <w:pPr>
              <w:jc w:val="center"/>
              <w:ind w:left="426"/>
              <w:spacing w:after="0"/>
              <w:rPr>
                <w:sz w:val="20"/>
                <w:szCs w:val="20"/>
                <w:color w:val="auto"/>
              </w:rPr>
            </w:pPr>
            <w:r>
              <w:rPr>
                <w:rFonts w:ascii="Arial" w:cs="Arial" w:eastAsia="Arial" w:hAnsi="Arial"/>
                <w:sz w:val="11"/>
                <w:szCs w:val="11"/>
                <w:color w:val="auto"/>
                <w:w w:val="93"/>
              </w:rPr>
              <w:t>15.2</w:t>
            </w:r>
          </w:p>
        </w:tc>
        <w:tc>
          <w:tcPr>
            <w:tcW w:w="2160" w:type="dxa"/>
            <w:vAlign w:val="bottom"/>
            <w:vMerge w:val="restart"/>
            <w:shd w:val="clear" w:color="auto" w:fill="CCCCCC"/>
          </w:tcPr>
          <w:p>
            <w:pPr>
              <w:jc w:val="center"/>
              <w:ind w:left="406"/>
              <w:spacing w:after="0"/>
              <w:rPr>
                <w:sz w:val="20"/>
                <w:szCs w:val="20"/>
                <w:color w:val="auto"/>
              </w:rPr>
            </w:pPr>
            <w:r>
              <w:rPr>
                <w:rFonts w:ascii="Arial" w:cs="Arial" w:eastAsia="Arial" w:hAnsi="Arial"/>
                <w:sz w:val="11"/>
                <w:szCs w:val="11"/>
                <w:color w:val="auto"/>
              </w:rPr>
              <w:t>16.2</w:t>
            </w:r>
          </w:p>
        </w:tc>
        <w:tc>
          <w:tcPr>
            <w:tcW w:w="1660" w:type="dxa"/>
            <w:vAlign w:val="bottom"/>
            <w:gridSpan w:val="2"/>
            <w:shd w:val="clear" w:color="auto" w:fill="CCCCCC"/>
          </w:tcPr>
          <w:p>
            <w:pPr>
              <w:jc w:val="center"/>
              <w:ind w:right="20"/>
              <w:spacing w:after="0"/>
              <w:rPr>
                <w:sz w:val="20"/>
                <w:szCs w:val="20"/>
                <w:color w:val="auto"/>
              </w:rPr>
            </w:pPr>
            <w:r>
              <w:rPr>
                <w:rFonts w:ascii="Arial" w:cs="Arial" w:eastAsia="Arial" w:hAnsi="Arial"/>
                <w:sz w:val="11"/>
                <w:szCs w:val="11"/>
                <w:color w:val="auto"/>
                <w:w w:val="98"/>
              </w:rPr>
              <w:t>Intangible Asset (IA) Amortization,</w:t>
            </w:r>
          </w:p>
        </w:tc>
        <w:tc>
          <w:tcPr>
            <w:tcW w:w="0" w:type="dxa"/>
            <w:vAlign w:val="bottom"/>
          </w:tcPr>
          <w:p>
            <w:pPr>
              <w:spacing w:after="0"/>
              <w:rPr>
                <w:sz w:val="1"/>
                <w:szCs w:val="1"/>
                <w:color w:val="auto"/>
              </w:rPr>
            </w:pPr>
          </w:p>
        </w:tc>
      </w:tr>
      <w:tr>
        <w:trPr>
          <w:trHeight w:val="76"/>
        </w:trPr>
        <w:tc>
          <w:tcPr>
            <w:tcW w:w="4080" w:type="dxa"/>
            <w:vAlign w:val="bottom"/>
            <w:vMerge w:val="continue"/>
            <w:shd w:val="clear" w:color="auto" w:fill="CCCCCC"/>
          </w:tcPr>
          <w:p>
            <w:pPr>
              <w:spacing w:after="0"/>
              <w:rPr>
                <w:sz w:val="6"/>
                <w:szCs w:val="6"/>
                <w:color w:val="auto"/>
              </w:rPr>
            </w:pPr>
          </w:p>
        </w:tc>
        <w:tc>
          <w:tcPr>
            <w:tcW w:w="2180" w:type="dxa"/>
            <w:vAlign w:val="bottom"/>
            <w:shd w:val="clear" w:color="auto" w:fill="CCCCCC"/>
          </w:tcPr>
          <w:p>
            <w:pPr>
              <w:spacing w:after="0"/>
              <w:rPr>
                <w:sz w:val="6"/>
                <w:szCs w:val="6"/>
                <w:color w:val="auto"/>
              </w:rPr>
            </w:pPr>
          </w:p>
        </w:tc>
        <w:tc>
          <w:tcPr>
            <w:tcW w:w="20" w:type="dxa"/>
            <w:vAlign w:val="bottom"/>
            <w:shd w:val="clear" w:color="auto" w:fill="CCCCCC"/>
          </w:tcPr>
          <w:p>
            <w:pPr>
              <w:spacing w:after="0"/>
              <w:rPr>
                <w:sz w:val="6"/>
                <w:szCs w:val="6"/>
                <w:color w:val="auto"/>
              </w:rPr>
            </w:pPr>
          </w:p>
        </w:tc>
        <w:tc>
          <w:tcPr>
            <w:tcW w:w="1200" w:type="dxa"/>
            <w:vAlign w:val="bottom"/>
            <w:vMerge w:val="continue"/>
            <w:shd w:val="clear" w:color="auto" w:fill="CCCCCC"/>
          </w:tcPr>
          <w:p>
            <w:pPr>
              <w:spacing w:after="0"/>
              <w:rPr>
                <w:sz w:val="6"/>
                <w:szCs w:val="6"/>
                <w:color w:val="auto"/>
              </w:rPr>
            </w:pPr>
          </w:p>
        </w:tc>
        <w:tc>
          <w:tcPr>
            <w:tcW w:w="2160" w:type="dxa"/>
            <w:vAlign w:val="bottom"/>
            <w:vMerge w:val="continue"/>
            <w:shd w:val="clear" w:color="auto" w:fill="CCCCCC"/>
          </w:tcPr>
          <w:p>
            <w:pPr>
              <w:spacing w:after="0"/>
              <w:rPr>
                <w:sz w:val="6"/>
                <w:szCs w:val="6"/>
                <w:color w:val="auto"/>
              </w:rPr>
            </w:pPr>
          </w:p>
        </w:tc>
        <w:tc>
          <w:tcPr>
            <w:tcW w:w="1660" w:type="dxa"/>
            <w:vAlign w:val="bottom"/>
            <w:gridSpan w:val="2"/>
            <w:vMerge w:val="restart"/>
            <w:shd w:val="clear" w:color="auto" w:fill="CCCCCC"/>
          </w:tcPr>
          <w:p>
            <w:pPr>
              <w:jc w:val="center"/>
              <w:spacing w:after="0"/>
              <w:rPr>
                <w:sz w:val="20"/>
                <w:szCs w:val="20"/>
                <w:color w:val="auto"/>
              </w:rPr>
            </w:pPr>
            <w:r>
              <w:rPr>
                <w:rFonts w:ascii="Arial" w:cs="Arial" w:eastAsia="Arial" w:hAnsi="Arial"/>
                <w:sz w:val="11"/>
                <w:szCs w:val="11"/>
                <w:color w:val="auto"/>
                <w:w w:val="98"/>
              </w:rPr>
              <w:t>Other Income</w:t>
            </w:r>
          </w:p>
        </w:tc>
        <w:tc>
          <w:tcPr>
            <w:tcW w:w="0" w:type="dxa"/>
            <w:vAlign w:val="bottom"/>
          </w:tcPr>
          <w:p>
            <w:pPr>
              <w:spacing w:after="0"/>
              <w:rPr>
                <w:sz w:val="1"/>
                <w:szCs w:val="1"/>
                <w:color w:val="auto"/>
              </w:rPr>
            </w:pPr>
          </w:p>
        </w:tc>
      </w:tr>
      <w:tr>
        <w:trPr>
          <w:trHeight w:val="54"/>
        </w:trPr>
        <w:tc>
          <w:tcPr>
            <w:tcW w:w="4080" w:type="dxa"/>
            <w:vAlign w:val="bottom"/>
            <w:shd w:val="clear" w:color="auto" w:fill="CCCCCC"/>
          </w:tcPr>
          <w:p>
            <w:pPr>
              <w:spacing w:after="0"/>
              <w:rPr>
                <w:sz w:val="4"/>
                <w:szCs w:val="4"/>
                <w:color w:val="auto"/>
              </w:rPr>
            </w:pPr>
          </w:p>
        </w:tc>
        <w:tc>
          <w:tcPr>
            <w:tcW w:w="2180" w:type="dxa"/>
            <w:vAlign w:val="bottom"/>
            <w:shd w:val="clear" w:color="auto" w:fill="CCCCCC"/>
          </w:tcPr>
          <w:p>
            <w:pPr>
              <w:spacing w:after="0"/>
              <w:rPr>
                <w:sz w:val="4"/>
                <w:szCs w:val="4"/>
                <w:color w:val="auto"/>
              </w:rPr>
            </w:pPr>
          </w:p>
        </w:tc>
        <w:tc>
          <w:tcPr>
            <w:tcW w:w="20" w:type="dxa"/>
            <w:vAlign w:val="bottom"/>
            <w:shd w:val="clear" w:color="auto" w:fill="CCCCCC"/>
          </w:tcPr>
          <w:p>
            <w:pPr>
              <w:spacing w:after="0"/>
              <w:rPr>
                <w:sz w:val="4"/>
                <w:szCs w:val="4"/>
                <w:color w:val="auto"/>
              </w:rPr>
            </w:pPr>
          </w:p>
        </w:tc>
        <w:tc>
          <w:tcPr>
            <w:tcW w:w="1200" w:type="dxa"/>
            <w:vAlign w:val="bottom"/>
            <w:shd w:val="clear" w:color="auto" w:fill="CCCCCC"/>
          </w:tcPr>
          <w:p>
            <w:pPr>
              <w:spacing w:after="0"/>
              <w:rPr>
                <w:sz w:val="4"/>
                <w:szCs w:val="4"/>
                <w:color w:val="auto"/>
              </w:rPr>
            </w:pPr>
          </w:p>
        </w:tc>
        <w:tc>
          <w:tcPr>
            <w:tcW w:w="2160" w:type="dxa"/>
            <w:vAlign w:val="bottom"/>
            <w:shd w:val="clear" w:color="auto" w:fill="CCCCCC"/>
          </w:tcPr>
          <w:p>
            <w:pPr>
              <w:spacing w:after="0"/>
              <w:rPr>
                <w:sz w:val="4"/>
                <w:szCs w:val="4"/>
                <w:color w:val="auto"/>
              </w:rPr>
            </w:pPr>
          </w:p>
        </w:tc>
        <w:tc>
          <w:tcPr>
            <w:tcW w:w="1660" w:type="dxa"/>
            <w:vAlign w:val="bottom"/>
            <w:gridSpan w:val="2"/>
            <w:vMerge w:val="continue"/>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0.3</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w w:val="91"/>
              </w:rPr>
              <w:t>0.4</w:t>
            </w:r>
          </w:p>
        </w:tc>
        <w:tc>
          <w:tcPr>
            <w:tcW w:w="1660" w:type="dxa"/>
            <w:vAlign w:val="bottom"/>
            <w:gridSpan w:val="2"/>
            <w:shd w:val="clear" w:color="auto" w:fill="CCCCCC"/>
          </w:tcPr>
          <w:p>
            <w:pPr>
              <w:jc w:val="center"/>
              <w:ind w:right="20"/>
              <w:spacing w:after="0"/>
              <w:rPr>
                <w:sz w:val="20"/>
                <w:szCs w:val="20"/>
                <w:color w:val="auto"/>
              </w:rPr>
            </w:pPr>
            <w:r>
              <w:rPr>
                <w:rFonts w:ascii="Arial" w:cs="Arial" w:eastAsia="Arial" w:hAnsi="Arial"/>
                <w:sz w:val="11"/>
                <w:szCs w:val="11"/>
                <w:color w:val="auto"/>
                <w:w w:val="98"/>
              </w:rPr>
              <w:t>Product 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w w:val="93"/>
              </w:rPr>
              <w:t>41.7</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w w:val="90"/>
              </w:rPr>
              <w:t>—</w:t>
            </w:r>
          </w:p>
        </w:tc>
        <w:tc>
          <w:tcPr>
            <w:tcW w:w="1660" w:type="dxa"/>
            <w:vAlign w:val="bottom"/>
            <w:gridSpan w:val="2"/>
            <w:shd w:val="clear" w:color="auto" w:fill="CCCCCC"/>
          </w:tcPr>
          <w:p>
            <w:pPr>
              <w:jc w:val="center"/>
              <w:spacing w:after="0"/>
              <w:rPr>
                <w:sz w:val="20"/>
                <w:szCs w:val="20"/>
                <w:color w:val="auto"/>
              </w:rPr>
            </w:pPr>
            <w:r>
              <w:rPr>
                <w:rFonts w:ascii="Arial" w:cs="Arial" w:eastAsia="Arial" w:hAnsi="Arial"/>
                <w:sz w:val="11"/>
                <w:szCs w:val="11"/>
                <w:color w:val="auto"/>
                <w:w w:val="98"/>
              </w:rPr>
              <w:t>Goodwill impairment</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w w:val="91"/>
              </w:rPr>
              <w:t>0.1</w:t>
            </w:r>
          </w:p>
        </w:tc>
        <w:tc>
          <w:tcPr>
            <w:tcW w:w="1660" w:type="dxa"/>
            <w:vAlign w:val="bottom"/>
            <w:gridSpan w:val="2"/>
            <w:shd w:val="clear" w:color="auto" w:fill="CCCCCC"/>
          </w:tcPr>
          <w:p>
            <w:pPr>
              <w:jc w:val="center"/>
              <w:ind w:right="20"/>
              <w:spacing w:after="0"/>
              <w:rPr>
                <w:sz w:val="20"/>
                <w:szCs w:val="20"/>
                <w:color w:val="auto"/>
              </w:rPr>
            </w:pPr>
            <w:r>
              <w:rPr>
                <w:rFonts w:ascii="Arial" w:cs="Arial" w:eastAsia="Arial" w:hAnsi="Arial"/>
                <w:sz w:val="11"/>
                <w:szCs w:val="11"/>
                <w:color w:val="auto"/>
                <w:w w:val="98"/>
              </w:rPr>
              <w:t>COGS, SG&amp;A, Other Income</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0.2</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w w:val="91"/>
              </w:rPr>
              <w:t>0.1</w:t>
            </w:r>
          </w:p>
        </w:tc>
        <w:tc>
          <w:tcPr>
            <w:tcW w:w="1660" w:type="dxa"/>
            <w:vAlign w:val="bottom"/>
            <w:gridSpan w:val="2"/>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180" w:type="dxa"/>
            <w:vAlign w:val="bottom"/>
            <w:tcBorders>
              <w:bottom w:val="single" w:sz="8" w:color="CCCCCC"/>
            </w:tcBorders>
            <w:shd w:val="clear" w:color="auto" w:fill="CCCCCC"/>
          </w:tcPr>
          <w:p>
            <w:pPr>
              <w:spacing w:after="0"/>
              <w:rPr>
                <w:sz w:val="13"/>
                <w:szCs w:val="13"/>
                <w:color w:val="auto"/>
              </w:rPr>
            </w:pPr>
          </w:p>
        </w:tc>
        <w:tc>
          <w:tcPr>
            <w:tcW w:w="20" w:type="dxa"/>
            <w:vAlign w:val="bottom"/>
            <w:tcBorders>
              <w:bottom w:val="single" w:sz="8" w:color="CCCCCC"/>
            </w:tcBorders>
            <w:shd w:val="clear" w:color="auto" w:fill="CCCCCC"/>
          </w:tcPr>
          <w:p>
            <w:pPr>
              <w:spacing w:after="0"/>
              <w:rPr>
                <w:sz w:val="13"/>
                <w:szCs w:val="13"/>
                <w:color w:val="auto"/>
              </w:rPr>
            </w:pPr>
          </w:p>
        </w:tc>
        <w:tc>
          <w:tcPr>
            <w:tcW w:w="1200" w:type="dxa"/>
            <w:vAlign w:val="bottom"/>
            <w:tcBorders>
              <w:bottom w:val="single" w:sz="8" w:color="auto"/>
            </w:tcBorders>
            <w:shd w:val="clear" w:color="auto" w:fill="CCCCCC"/>
          </w:tcPr>
          <w:p>
            <w:pPr>
              <w:jc w:val="center"/>
              <w:ind w:left="426"/>
              <w:spacing w:after="0"/>
              <w:rPr>
                <w:sz w:val="20"/>
                <w:szCs w:val="20"/>
                <w:color w:val="auto"/>
              </w:rPr>
            </w:pPr>
            <w:r>
              <w:rPr>
                <w:rFonts w:ascii="Arial" w:cs="Arial" w:eastAsia="Arial" w:hAnsi="Arial"/>
                <w:sz w:val="11"/>
                <w:szCs w:val="11"/>
                <w:color w:val="auto"/>
              </w:rPr>
              <w:t>(3.3)</w:t>
            </w:r>
          </w:p>
        </w:tc>
        <w:tc>
          <w:tcPr>
            <w:tcW w:w="2160" w:type="dxa"/>
            <w:vAlign w:val="bottom"/>
            <w:tcBorders>
              <w:bottom w:val="single" w:sz="8" w:color="auto"/>
            </w:tcBorders>
            <w:shd w:val="clear" w:color="auto" w:fill="CCCCCC"/>
          </w:tcPr>
          <w:p>
            <w:pPr>
              <w:jc w:val="center"/>
              <w:ind w:left="406"/>
              <w:spacing w:after="0"/>
              <w:rPr>
                <w:sz w:val="20"/>
                <w:szCs w:val="20"/>
                <w:color w:val="auto"/>
              </w:rPr>
            </w:pPr>
            <w:r>
              <w:rPr>
                <w:rFonts w:ascii="Arial" w:cs="Arial" w:eastAsia="Arial" w:hAnsi="Arial"/>
                <w:sz w:val="11"/>
                <w:szCs w:val="11"/>
                <w:color w:val="auto"/>
                <w:w w:val="97"/>
              </w:rPr>
              <w:t>(3.4)</w:t>
            </w:r>
          </w:p>
        </w:tc>
        <w:tc>
          <w:tcPr>
            <w:tcW w:w="1640" w:type="dxa"/>
            <w:vAlign w:val="bottom"/>
            <w:tcBorders>
              <w:bottom w:val="single" w:sz="8" w:color="CCCCCC"/>
            </w:tcBorders>
            <w:shd w:val="clear" w:color="auto" w:fill="CCCCCC"/>
          </w:tcPr>
          <w:p>
            <w:pPr>
              <w:spacing w:after="0"/>
              <w:rPr>
                <w:sz w:val="13"/>
                <w:szCs w:val="13"/>
                <w:color w:val="auto"/>
              </w:rPr>
            </w:pPr>
          </w:p>
        </w:tc>
        <w:tc>
          <w:tcPr>
            <w:tcW w:w="2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18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1200" w:type="dxa"/>
            <w:vAlign w:val="bottom"/>
            <w:tcBorders>
              <w:bottom w:val="single" w:sz="8" w:color="auto"/>
            </w:tcBorders>
            <w:shd w:val="clear" w:color="auto" w:fill="CCCCCC"/>
          </w:tcPr>
          <w:p>
            <w:pPr>
              <w:jc w:val="center"/>
              <w:ind w:left="426"/>
              <w:spacing w:after="0"/>
              <w:rPr>
                <w:sz w:val="20"/>
                <w:szCs w:val="20"/>
                <w:color w:val="auto"/>
              </w:rPr>
            </w:pPr>
            <w:r>
              <w:rPr>
                <w:rFonts w:ascii="Arial" w:cs="Arial" w:eastAsia="Arial" w:hAnsi="Arial"/>
                <w:sz w:val="11"/>
                <w:szCs w:val="11"/>
                <w:color w:val="auto"/>
              </w:rPr>
              <w:t>$54.1</w:t>
            </w:r>
          </w:p>
        </w:tc>
        <w:tc>
          <w:tcPr>
            <w:tcW w:w="2160" w:type="dxa"/>
            <w:vAlign w:val="bottom"/>
            <w:tcBorders>
              <w:bottom w:val="single" w:sz="8" w:color="auto"/>
            </w:tcBorders>
            <w:shd w:val="clear" w:color="auto" w:fill="CCCCCC"/>
          </w:tcPr>
          <w:p>
            <w:pPr>
              <w:jc w:val="center"/>
              <w:ind w:left="406"/>
              <w:spacing w:after="0"/>
              <w:rPr>
                <w:sz w:val="20"/>
                <w:szCs w:val="20"/>
                <w:color w:val="auto"/>
              </w:rPr>
            </w:pPr>
            <w:r>
              <w:rPr>
                <w:rFonts w:ascii="Arial" w:cs="Arial" w:eastAsia="Arial" w:hAnsi="Arial"/>
                <w:sz w:val="11"/>
                <w:szCs w:val="11"/>
                <w:color w:val="auto"/>
                <w:w w:val="94"/>
              </w:rPr>
              <w:t>$13.4</w:t>
            </w:r>
          </w:p>
        </w:tc>
        <w:tc>
          <w:tcPr>
            <w:tcW w:w="164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18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1200" w:type="dxa"/>
            <w:vAlign w:val="bottom"/>
            <w:tcBorders>
              <w:bottom w:val="single" w:sz="8" w:color="auto"/>
            </w:tcBorders>
            <w:shd w:val="clear" w:color="auto" w:fill="CCCCCC"/>
          </w:tcPr>
          <w:p>
            <w:pPr>
              <w:jc w:val="center"/>
              <w:ind w:left="426"/>
              <w:spacing w:after="0"/>
              <w:rPr>
                <w:sz w:val="20"/>
                <w:szCs w:val="20"/>
                <w:color w:val="auto"/>
              </w:rPr>
            </w:pPr>
            <w:r>
              <w:rPr>
                <w:rFonts w:ascii="Arial" w:cs="Arial" w:eastAsia="Arial" w:hAnsi="Arial"/>
                <w:sz w:val="11"/>
                <w:szCs w:val="11"/>
                <w:color w:val="auto"/>
                <w:w w:val="94"/>
              </w:rPr>
              <w:t>$243.4</w:t>
            </w:r>
          </w:p>
        </w:tc>
        <w:tc>
          <w:tcPr>
            <w:tcW w:w="2160" w:type="dxa"/>
            <w:vAlign w:val="bottom"/>
            <w:tcBorders>
              <w:bottom w:val="single" w:sz="8" w:color="auto"/>
            </w:tcBorders>
            <w:shd w:val="clear" w:color="auto" w:fill="CCCCCC"/>
          </w:tcPr>
          <w:p>
            <w:pPr>
              <w:jc w:val="center"/>
              <w:ind w:left="406"/>
              <w:spacing w:after="0"/>
              <w:rPr>
                <w:sz w:val="20"/>
                <w:szCs w:val="20"/>
                <w:color w:val="auto"/>
              </w:rPr>
            </w:pPr>
            <w:r>
              <w:rPr>
                <w:rFonts w:ascii="Arial" w:cs="Arial" w:eastAsia="Arial" w:hAnsi="Arial"/>
                <w:sz w:val="11"/>
                <w:szCs w:val="11"/>
                <w:color w:val="auto"/>
              </w:rPr>
              <w:t>$198.8</w:t>
            </w:r>
          </w:p>
        </w:tc>
        <w:tc>
          <w:tcPr>
            <w:tcW w:w="164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 per diluted share</w:t>
            </w:r>
          </w:p>
        </w:tc>
        <w:tc>
          <w:tcPr>
            <w:tcW w:w="218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$4.50</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w w:val="94"/>
              </w:rPr>
              <w:t>$3.67</w:t>
            </w:r>
          </w:p>
        </w:tc>
        <w:tc>
          <w:tcPr>
            <w:tcW w:w="164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 except per share value)</w:t>
            </w:r>
          </w:p>
        </w:tc>
        <w:tc>
          <w:tcPr>
            <w:tcW w:w="2180" w:type="dxa"/>
            <w:vAlign w:val="bottom"/>
            <w:shd w:val="clear" w:color="auto" w:fill="B14A32"/>
          </w:tcPr>
          <w:p>
            <w:pPr>
              <w:spacing w:after="0"/>
              <w:rPr>
                <w:sz w:val="12"/>
                <w:szCs w:val="12"/>
                <w:color w:val="auto"/>
              </w:rPr>
            </w:pPr>
          </w:p>
        </w:tc>
        <w:tc>
          <w:tcPr>
            <w:tcW w:w="20" w:type="dxa"/>
            <w:vAlign w:val="bottom"/>
            <w:shd w:val="clear" w:color="auto" w:fill="B14A32"/>
          </w:tcPr>
          <w:p>
            <w:pPr>
              <w:spacing w:after="0"/>
              <w:rPr>
                <w:sz w:val="12"/>
                <w:szCs w:val="12"/>
                <w:color w:val="auto"/>
              </w:rPr>
            </w:pPr>
          </w:p>
        </w:tc>
        <w:tc>
          <w:tcPr>
            <w:tcW w:w="1200" w:type="dxa"/>
            <w:vAlign w:val="bottom"/>
            <w:shd w:val="clear" w:color="auto" w:fill="B14A32"/>
          </w:tcPr>
          <w:p>
            <w:pPr>
              <w:spacing w:after="0"/>
              <w:rPr>
                <w:sz w:val="12"/>
                <w:szCs w:val="12"/>
                <w:color w:val="auto"/>
              </w:rPr>
            </w:pPr>
          </w:p>
        </w:tc>
        <w:tc>
          <w:tcPr>
            <w:tcW w:w="3820" w:type="dxa"/>
            <w:vAlign w:val="bottom"/>
            <w:gridSpan w:val="3"/>
            <w:shd w:val="clear" w:color="auto" w:fill="B14A32"/>
          </w:tcPr>
          <w:p>
            <w:pPr>
              <w:jc w:val="center"/>
              <w:ind w:right="1200"/>
              <w:spacing w:after="0"/>
              <w:rPr>
                <w:sz w:val="20"/>
                <w:szCs w:val="20"/>
                <w:color w:val="auto"/>
              </w:rPr>
            </w:pPr>
            <w:r>
              <w:rPr>
                <w:rFonts w:ascii="Arial" w:cs="Arial" w:eastAsia="Arial" w:hAnsi="Arial"/>
                <w:sz w:val="11"/>
                <w:szCs w:val="11"/>
                <w:b w:val="1"/>
                <w:bCs w:val="1"/>
                <w:color w:val="FFFFFF"/>
                <w:w w:val="97"/>
              </w:rPr>
              <w:t>Twelve Months Ended December 31,</w:t>
            </w:r>
          </w:p>
        </w:tc>
        <w:tc>
          <w:tcPr>
            <w:tcW w:w="0" w:type="dxa"/>
            <w:vAlign w:val="bottom"/>
          </w:tcPr>
          <w:p>
            <w:pPr>
              <w:spacing w:after="0"/>
              <w:rPr>
                <w:sz w:val="1"/>
                <w:szCs w:val="1"/>
                <w:color w:val="auto"/>
              </w:rPr>
            </w:pPr>
          </w:p>
        </w:tc>
      </w:tr>
      <w:tr>
        <w:trPr>
          <w:trHeight w:val="90"/>
        </w:trPr>
        <w:tc>
          <w:tcPr>
            <w:tcW w:w="4080" w:type="dxa"/>
            <w:vAlign w:val="bottom"/>
            <w:vMerge w:val="continue"/>
            <w:shd w:val="clear" w:color="auto" w:fill="B14A32"/>
          </w:tcPr>
          <w:p>
            <w:pPr>
              <w:spacing w:after="0"/>
              <w:rPr>
                <w:sz w:val="7"/>
                <w:szCs w:val="7"/>
                <w:color w:val="auto"/>
              </w:rPr>
            </w:pPr>
          </w:p>
        </w:tc>
        <w:tc>
          <w:tcPr>
            <w:tcW w:w="3400" w:type="dxa"/>
            <w:vAlign w:val="bottom"/>
            <w:gridSpan w:val="3"/>
            <w:vMerge w:val="restart"/>
            <w:shd w:val="clear" w:color="auto" w:fill="B14A32"/>
          </w:tcPr>
          <w:p>
            <w:pPr>
              <w:jc w:val="center"/>
              <w:ind w:left="2626"/>
              <w:spacing w:after="0"/>
              <w:rPr>
                <w:sz w:val="20"/>
                <w:szCs w:val="20"/>
                <w:color w:val="auto"/>
              </w:rPr>
            </w:pPr>
            <w:r>
              <w:rPr>
                <w:rFonts w:ascii="Arial" w:cs="Arial" w:eastAsia="Arial" w:hAnsi="Arial"/>
                <w:sz w:val="11"/>
                <w:szCs w:val="11"/>
                <w:b w:val="1"/>
                <w:bCs w:val="1"/>
                <w:color w:val="FFFFFF"/>
                <w:w w:val="97"/>
              </w:rPr>
              <w:t>2021</w:t>
            </w:r>
          </w:p>
        </w:tc>
        <w:tc>
          <w:tcPr>
            <w:tcW w:w="2160" w:type="dxa"/>
            <w:vAlign w:val="bottom"/>
            <w:vMerge w:val="restart"/>
            <w:shd w:val="clear" w:color="auto" w:fill="B14A32"/>
          </w:tcPr>
          <w:p>
            <w:pPr>
              <w:jc w:val="center"/>
              <w:ind w:left="426"/>
              <w:spacing w:after="0"/>
              <w:rPr>
                <w:sz w:val="20"/>
                <w:szCs w:val="20"/>
                <w:color w:val="auto"/>
              </w:rPr>
            </w:pPr>
            <w:r>
              <w:rPr>
                <w:rFonts w:ascii="Arial" w:cs="Arial" w:eastAsia="Arial" w:hAnsi="Arial"/>
                <w:sz w:val="11"/>
                <w:szCs w:val="11"/>
                <w:b w:val="1"/>
                <w:bCs w:val="1"/>
                <w:color w:val="FFFFFF"/>
                <w:w w:val="97"/>
              </w:rPr>
              <w:t>2020</w:t>
            </w:r>
          </w:p>
        </w:tc>
        <w:tc>
          <w:tcPr>
            <w:tcW w:w="1660" w:type="dxa"/>
            <w:vAlign w:val="bottom"/>
            <w:gridSpan w:val="2"/>
            <w:vMerge w:val="restart"/>
            <w:shd w:val="clear" w:color="auto" w:fill="B14A32"/>
          </w:tcPr>
          <w:p>
            <w:pPr>
              <w:jc w:val="center"/>
              <w:ind w:right="20"/>
              <w:spacing w:after="0"/>
              <w:rPr>
                <w:sz w:val="20"/>
                <w:szCs w:val="20"/>
                <w:color w:val="auto"/>
              </w:rPr>
            </w:pPr>
            <w:r>
              <w:rPr>
                <w:rFonts w:ascii="Arial" w:cs="Arial" w:eastAsia="Arial" w:hAnsi="Arial"/>
                <w:sz w:val="12"/>
                <w:szCs w:val="12"/>
                <w:b w:val="1"/>
                <w:bCs w:val="1"/>
                <w:color w:val="FFFFFF"/>
                <w:w w:val="98"/>
              </w:rPr>
              <w:t>Source</w:t>
            </w:r>
          </w:p>
        </w:tc>
        <w:tc>
          <w:tcPr>
            <w:tcW w:w="0" w:type="dxa"/>
            <w:vAlign w:val="bottom"/>
          </w:tcPr>
          <w:p>
            <w:pPr>
              <w:spacing w:after="0"/>
              <w:rPr>
                <w:sz w:val="1"/>
                <w:szCs w:val="1"/>
                <w:color w:val="auto"/>
              </w:rPr>
            </w:pPr>
          </w:p>
        </w:tc>
      </w:tr>
      <w:tr>
        <w:trPr>
          <w:trHeight w:val="94"/>
        </w:trPr>
        <w:tc>
          <w:tcPr>
            <w:tcW w:w="4080" w:type="dxa"/>
            <w:vAlign w:val="bottom"/>
            <w:shd w:val="clear" w:color="auto" w:fill="B14A32"/>
          </w:tcPr>
          <w:p>
            <w:pPr>
              <w:spacing w:after="0"/>
              <w:rPr>
                <w:sz w:val="8"/>
                <w:szCs w:val="8"/>
                <w:color w:val="auto"/>
              </w:rPr>
            </w:pPr>
          </w:p>
        </w:tc>
        <w:tc>
          <w:tcPr>
            <w:tcW w:w="3400" w:type="dxa"/>
            <w:vAlign w:val="bottom"/>
            <w:gridSpan w:val="3"/>
            <w:vMerge w:val="continue"/>
            <w:shd w:val="clear" w:color="auto" w:fill="B14A32"/>
          </w:tcPr>
          <w:p>
            <w:pPr>
              <w:spacing w:after="0"/>
              <w:rPr>
                <w:sz w:val="8"/>
                <w:szCs w:val="8"/>
                <w:color w:val="auto"/>
              </w:rPr>
            </w:pPr>
          </w:p>
        </w:tc>
        <w:tc>
          <w:tcPr>
            <w:tcW w:w="2160" w:type="dxa"/>
            <w:vAlign w:val="bottom"/>
            <w:vMerge w:val="continue"/>
            <w:shd w:val="clear" w:color="auto" w:fill="B14A32"/>
          </w:tcPr>
          <w:p>
            <w:pPr>
              <w:spacing w:after="0"/>
              <w:rPr>
                <w:sz w:val="8"/>
                <w:szCs w:val="8"/>
                <w:color w:val="auto"/>
              </w:rPr>
            </w:pPr>
          </w:p>
        </w:tc>
        <w:tc>
          <w:tcPr>
            <w:tcW w:w="1660" w:type="dxa"/>
            <w:vAlign w:val="bottom"/>
            <w:gridSpan w:val="2"/>
            <w:vMerge w:val="continue"/>
            <w:shd w:val="clear" w:color="auto" w:fill="B14A3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3400" w:type="dxa"/>
            <w:vAlign w:val="bottom"/>
            <w:gridSpan w:val="3"/>
            <w:shd w:val="clear" w:color="auto" w:fill="CCCCCC"/>
          </w:tcPr>
          <w:p>
            <w:pPr>
              <w:jc w:val="center"/>
              <w:ind w:left="2626"/>
              <w:spacing w:after="0"/>
              <w:rPr>
                <w:sz w:val="20"/>
                <w:szCs w:val="20"/>
                <w:color w:val="auto"/>
              </w:rPr>
            </w:pPr>
            <w:r>
              <w:rPr>
                <w:rFonts w:ascii="Arial" w:cs="Arial" w:eastAsia="Arial" w:hAnsi="Arial"/>
                <w:sz w:val="11"/>
                <w:szCs w:val="11"/>
                <w:color w:val="auto"/>
                <w:w w:val="94"/>
              </w:rPr>
              <w:t>$230.9</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rPr>
              <w:t>$305.1</w:t>
            </w:r>
          </w:p>
        </w:tc>
        <w:tc>
          <w:tcPr>
            <w:tcW w:w="164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spacing w:after="0"/>
              <w:rPr>
                <w:sz w:val="13"/>
                <w:szCs w:val="13"/>
                <w:color w:val="auto"/>
              </w:rPr>
            </w:pPr>
          </w:p>
        </w:tc>
        <w:tc>
          <w:tcPr>
            <w:tcW w:w="2160" w:type="dxa"/>
            <w:vAlign w:val="bottom"/>
            <w:shd w:val="clear" w:color="auto" w:fill="CCCCCC"/>
          </w:tcPr>
          <w:p>
            <w:pPr>
              <w:spacing w:after="0"/>
              <w:rPr>
                <w:sz w:val="13"/>
                <w:szCs w:val="13"/>
                <w:color w:val="auto"/>
              </w:rPr>
            </w:pPr>
          </w:p>
        </w:tc>
        <w:tc>
          <w:tcPr>
            <w:tcW w:w="164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80" w:type="dxa"/>
            <w:vAlign w:val="bottom"/>
            <w:vMerge w:val="restart"/>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18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200" w:type="dxa"/>
            <w:vAlign w:val="bottom"/>
            <w:vMerge w:val="restart"/>
            <w:shd w:val="clear" w:color="auto" w:fill="CCCCCC"/>
          </w:tcPr>
          <w:p>
            <w:pPr>
              <w:jc w:val="center"/>
              <w:ind w:left="426"/>
              <w:spacing w:after="0"/>
              <w:rPr>
                <w:sz w:val="20"/>
                <w:szCs w:val="20"/>
                <w:color w:val="auto"/>
              </w:rPr>
            </w:pPr>
            <w:r>
              <w:rPr>
                <w:rFonts w:ascii="Arial" w:cs="Arial" w:eastAsia="Arial" w:hAnsi="Arial"/>
                <w:sz w:val="11"/>
                <w:szCs w:val="11"/>
                <w:color w:val="auto"/>
                <w:w w:val="93"/>
              </w:rPr>
              <w:t>62.7</w:t>
            </w:r>
          </w:p>
        </w:tc>
        <w:tc>
          <w:tcPr>
            <w:tcW w:w="2160" w:type="dxa"/>
            <w:vAlign w:val="bottom"/>
            <w:vMerge w:val="restart"/>
            <w:shd w:val="clear" w:color="auto" w:fill="CCCCCC"/>
          </w:tcPr>
          <w:p>
            <w:pPr>
              <w:jc w:val="center"/>
              <w:ind w:left="406"/>
              <w:spacing w:after="0"/>
              <w:rPr>
                <w:sz w:val="20"/>
                <w:szCs w:val="20"/>
                <w:color w:val="auto"/>
              </w:rPr>
            </w:pPr>
            <w:r>
              <w:rPr>
                <w:rFonts w:ascii="Arial" w:cs="Arial" w:eastAsia="Arial" w:hAnsi="Arial"/>
                <w:sz w:val="11"/>
                <w:szCs w:val="11"/>
                <w:color w:val="auto"/>
              </w:rPr>
              <w:t>63.4</w:t>
            </w:r>
          </w:p>
        </w:tc>
        <w:tc>
          <w:tcPr>
            <w:tcW w:w="1660" w:type="dxa"/>
            <w:vAlign w:val="bottom"/>
            <w:gridSpan w:val="2"/>
            <w:shd w:val="clear" w:color="auto" w:fill="CCCCCC"/>
          </w:tcPr>
          <w:p>
            <w:pPr>
              <w:jc w:val="center"/>
              <w:ind w:right="20"/>
              <w:spacing w:after="0"/>
              <w:rPr>
                <w:sz w:val="20"/>
                <w:szCs w:val="20"/>
                <w:color w:val="auto"/>
              </w:rPr>
            </w:pPr>
            <w:r>
              <w:rPr>
                <w:rFonts w:ascii="Arial" w:cs="Arial" w:eastAsia="Arial" w:hAnsi="Arial"/>
                <w:sz w:val="11"/>
                <w:szCs w:val="11"/>
                <w:color w:val="auto"/>
                <w:w w:val="98"/>
              </w:rPr>
              <w:t>Intangible Asset (IA) Amortization,</w:t>
            </w:r>
          </w:p>
        </w:tc>
        <w:tc>
          <w:tcPr>
            <w:tcW w:w="0" w:type="dxa"/>
            <w:vAlign w:val="bottom"/>
          </w:tcPr>
          <w:p>
            <w:pPr>
              <w:spacing w:after="0"/>
              <w:rPr>
                <w:sz w:val="1"/>
                <w:szCs w:val="1"/>
                <w:color w:val="auto"/>
              </w:rPr>
            </w:pPr>
          </w:p>
        </w:tc>
      </w:tr>
      <w:tr>
        <w:trPr>
          <w:trHeight w:val="76"/>
        </w:trPr>
        <w:tc>
          <w:tcPr>
            <w:tcW w:w="4080" w:type="dxa"/>
            <w:vAlign w:val="bottom"/>
            <w:vMerge w:val="continue"/>
            <w:shd w:val="clear" w:color="auto" w:fill="CCCCCC"/>
          </w:tcPr>
          <w:p>
            <w:pPr>
              <w:spacing w:after="0"/>
              <w:rPr>
                <w:sz w:val="6"/>
                <w:szCs w:val="6"/>
                <w:color w:val="auto"/>
              </w:rPr>
            </w:pPr>
          </w:p>
        </w:tc>
        <w:tc>
          <w:tcPr>
            <w:tcW w:w="2180" w:type="dxa"/>
            <w:vAlign w:val="bottom"/>
            <w:shd w:val="clear" w:color="auto" w:fill="CCCCCC"/>
          </w:tcPr>
          <w:p>
            <w:pPr>
              <w:spacing w:after="0"/>
              <w:rPr>
                <w:sz w:val="6"/>
                <w:szCs w:val="6"/>
                <w:color w:val="auto"/>
              </w:rPr>
            </w:pPr>
          </w:p>
        </w:tc>
        <w:tc>
          <w:tcPr>
            <w:tcW w:w="20" w:type="dxa"/>
            <w:vAlign w:val="bottom"/>
            <w:shd w:val="clear" w:color="auto" w:fill="CCCCCC"/>
          </w:tcPr>
          <w:p>
            <w:pPr>
              <w:spacing w:after="0"/>
              <w:rPr>
                <w:sz w:val="6"/>
                <w:szCs w:val="6"/>
                <w:color w:val="auto"/>
              </w:rPr>
            </w:pPr>
          </w:p>
        </w:tc>
        <w:tc>
          <w:tcPr>
            <w:tcW w:w="1200" w:type="dxa"/>
            <w:vAlign w:val="bottom"/>
            <w:vMerge w:val="continue"/>
            <w:shd w:val="clear" w:color="auto" w:fill="CCCCCC"/>
          </w:tcPr>
          <w:p>
            <w:pPr>
              <w:spacing w:after="0"/>
              <w:rPr>
                <w:sz w:val="6"/>
                <w:szCs w:val="6"/>
                <w:color w:val="auto"/>
              </w:rPr>
            </w:pPr>
          </w:p>
        </w:tc>
        <w:tc>
          <w:tcPr>
            <w:tcW w:w="2160" w:type="dxa"/>
            <w:vAlign w:val="bottom"/>
            <w:vMerge w:val="continue"/>
            <w:shd w:val="clear" w:color="auto" w:fill="CCCCCC"/>
          </w:tcPr>
          <w:p>
            <w:pPr>
              <w:spacing w:after="0"/>
              <w:rPr>
                <w:sz w:val="6"/>
                <w:szCs w:val="6"/>
                <w:color w:val="auto"/>
              </w:rPr>
            </w:pPr>
          </w:p>
        </w:tc>
        <w:tc>
          <w:tcPr>
            <w:tcW w:w="1660" w:type="dxa"/>
            <w:vAlign w:val="bottom"/>
            <w:gridSpan w:val="2"/>
            <w:vMerge w:val="restart"/>
            <w:shd w:val="clear" w:color="auto" w:fill="CCCCCC"/>
          </w:tcPr>
          <w:p>
            <w:pPr>
              <w:jc w:val="center"/>
              <w:spacing w:after="0"/>
              <w:rPr>
                <w:sz w:val="20"/>
                <w:szCs w:val="20"/>
                <w:color w:val="auto"/>
              </w:rPr>
            </w:pPr>
            <w:r>
              <w:rPr>
                <w:rFonts w:ascii="Arial" w:cs="Arial" w:eastAsia="Arial" w:hAnsi="Arial"/>
                <w:sz w:val="11"/>
                <w:szCs w:val="11"/>
                <w:color w:val="auto"/>
                <w:w w:val="98"/>
              </w:rPr>
              <w:t>Other Income</w:t>
            </w:r>
          </w:p>
        </w:tc>
        <w:tc>
          <w:tcPr>
            <w:tcW w:w="0" w:type="dxa"/>
            <w:vAlign w:val="bottom"/>
          </w:tcPr>
          <w:p>
            <w:pPr>
              <w:spacing w:after="0"/>
              <w:rPr>
                <w:sz w:val="1"/>
                <w:szCs w:val="1"/>
                <w:color w:val="auto"/>
              </w:rPr>
            </w:pPr>
          </w:p>
        </w:tc>
      </w:tr>
      <w:tr>
        <w:trPr>
          <w:trHeight w:val="54"/>
        </w:trPr>
        <w:tc>
          <w:tcPr>
            <w:tcW w:w="4080" w:type="dxa"/>
            <w:vAlign w:val="bottom"/>
            <w:shd w:val="clear" w:color="auto" w:fill="CCCCCC"/>
          </w:tcPr>
          <w:p>
            <w:pPr>
              <w:spacing w:after="0"/>
              <w:rPr>
                <w:sz w:val="4"/>
                <w:szCs w:val="4"/>
                <w:color w:val="auto"/>
              </w:rPr>
            </w:pPr>
          </w:p>
        </w:tc>
        <w:tc>
          <w:tcPr>
            <w:tcW w:w="2180" w:type="dxa"/>
            <w:vAlign w:val="bottom"/>
            <w:shd w:val="clear" w:color="auto" w:fill="CCCCCC"/>
          </w:tcPr>
          <w:p>
            <w:pPr>
              <w:spacing w:after="0"/>
              <w:rPr>
                <w:sz w:val="4"/>
                <w:szCs w:val="4"/>
                <w:color w:val="auto"/>
              </w:rPr>
            </w:pPr>
          </w:p>
        </w:tc>
        <w:tc>
          <w:tcPr>
            <w:tcW w:w="20" w:type="dxa"/>
            <w:vAlign w:val="bottom"/>
            <w:shd w:val="clear" w:color="auto" w:fill="CCCCCC"/>
          </w:tcPr>
          <w:p>
            <w:pPr>
              <w:spacing w:after="0"/>
              <w:rPr>
                <w:sz w:val="4"/>
                <w:szCs w:val="4"/>
                <w:color w:val="auto"/>
              </w:rPr>
            </w:pPr>
          </w:p>
        </w:tc>
        <w:tc>
          <w:tcPr>
            <w:tcW w:w="1200" w:type="dxa"/>
            <w:vAlign w:val="bottom"/>
            <w:shd w:val="clear" w:color="auto" w:fill="CCCCCC"/>
          </w:tcPr>
          <w:p>
            <w:pPr>
              <w:spacing w:after="0"/>
              <w:rPr>
                <w:sz w:val="4"/>
                <w:szCs w:val="4"/>
                <w:color w:val="auto"/>
              </w:rPr>
            </w:pPr>
          </w:p>
        </w:tc>
        <w:tc>
          <w:tcPr>
            <w:tcW w:w="2160" w:type="dxa"/>
            <w:vAlign w:val="bottom"/>
            <w:shd w:val="clear" w:color="auto" w:fill="CCCCCC"/>
          </w:tcPr>
          <w:p>
            <w:pPr>
              <w:spacing w:after="0"/>
              <w:rPr>
                <w:sz w:val="4"/>
                <w:szCs w:val="4"/>
                <w:color w:val="auto"/>
              </w:rPr>
            </w:pPr>
          </w:p>
        </w:tc>
        <w:tc>
          <w:tcPr>
            <w:tcW w:w="1660" w:type="dxa"/>
            <w:vAlign w:val="bottom"/>
            <w:gridSpan w:val="2"/>
            <w:vMerge w:val="continue"/>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2.9</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rPr>
              <w:t>31.7</w:t>
            </w:r>
          </w:p>
        </w:tc>
        <w:tc>
          <w:tcPr>
            <w:tcW w:w="1660" w:type="dxa"/>
            <w:vAlign w:val="bottom"/>
            <w:gridSpan w:val="2"/>
            <w:shd w:val="clear" w:color="auto" w:fill="CCCCCC"/>
          </w:tcPr>
          <w:p>
            <w:pPr>
              <w:jc w:val="center"/>
              <w:ind w:right="20"/>
              <w:spacing w:after="0"/>
              <w:rPr>
                <w:sz w:val="20"/>
                <w:szCs w:val="20"/>
                <w:color w:val="auto"/>
              </w:rPr>
            </w:pPr>
            <w:r>
              <w:rPr>
                <w:rFonts w:ascii="Arial" w:cs="Arial" w:eastAsia="Arial" w:hAnsi="Arial"/>
                <w:sz w:val="11"/>
                <w:szCs w:val="11"/>
                <w:color w:val="auto"/>
                <w:w w:val="98"/>
              </w:rPr>
              <w:t>Product 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w w:val="93"/>
              </w:rPr>
              <w:t>41.7</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rPr>
              <w:t>29.0</w:t>
            </w:r>
          </w:p>
        </w:tc>
        <w:tc>
          <w:tcPr>
            <w:tcW w:w="1660" w:type="dxa"/>
            <w:vAlign w:val="bottom"/>
            <w:gridSpan w:val="2"/>
            <w:shd w:val="clear" w:color="auto" w:fill="CCCCCC"/>
          </w:tcPr>
          <w:p>
            <w:pPr>
              <w:jc w:val="center"/>
              <w:ind w:right="20"/>
              <w:spacing w:after="0"/>
              <w:rPr>
                <w:sz w:val="20"/>
                <w:szCs w:val="20"/>
                <w:color w:val="auto"/>
              </w:rPr>
            </w:pPr>
            <w:r>
              <w:rPr>
                <w:rFonts w:ascii="Arial" w:cs="Arial" w:eastAsia="Arial" w:hAnsi="Arial"/>
                <w:sz w:val="11"/>
                <w:szCs w:val="11"/>
                <w:color w:val="auto"/>
                <w:w w:val="98"/>
              </w:rPr>
              <w:t>Goodwill impairment/R&amp;D</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rPr>
              <w:t>17.2</w:t>
            </w:r>
          </w:p>
        </w:tc>
        <w:tc>
          <w:tcPr>
            <w:tcW w:w="1660" w:type="dxa"/>
            <w:vAlign w:val="bottom"/>
            <w:gridSpan w:val="2"/>
            <w:shd w:val="clear" w:color="auto" w:fill="CCCCCC"/>
          </w:tcPr>
          <w:p>
            <w:pPr>
              <w:jc w:val="center"/>
              <w:ind w:right="20"/>
              <w:spacing w:after="0"/>
              <w:rPr>
                <w:sz w:val="20"/>
                <w:szCs w:val="20"/>
                <w:color w:val="auto"/>
              </w:rPr>
            </w:pPr>
            <w:r>
              <w:rPr>
                <w:rFonts w:ascii="Arial" w:cs="Arial" w:eastAsia="Arial" w:hAnsi="Arial"/>
                <w:sz w:val="11"/>
                <w:szCs w:val="11"/>
                <w:color w:val="auto"/>
                <w:w w:val="98"/>
              </w:rPr>
              <w:t>COGS, SG&amp;A, Other Income</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0.9</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w w:val="91"/>
              </w:rPr>
              <w:t>0.6</w:t>
            </w:r>
          </w:p>
        </w:tc>
        <w:tc>
          <w:tcPr>
            <w:tcW w:w="1660" w:type="dxa"/>
            <w:vAlign w:val="bottom"/>
            <w:gridSpan w:val="2"/>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180" w:type="dxa"/>
            <w:vAlign w:val="bottom"/>
            <w:tcBorders>
              <w:bottom w:val="single" w:sz="8" w:color="CCCCCC"/>
            </w:tcBorders>
            <w:shd w:val="clear" w:color="auto" w:fill="CCCCCC"/>
          </w:tcPr>
          <w:p>
            <w:pPr>
              <w:spacing w:after="0"/>
              <w:rPr>
                <w:sz w:val="13"/>
                <w:szCs w:val="13"/>
                <w:color w:val="auto"/>
              </w:rPr>
            </w:pPr>
          </w:p>
        </w:tc>
        <w:tc>
          <w:tcPr>
            <w:tcW w:w="20" w:type="dxa"/>
            <w:vAlign w:val="bottom"/>
            <w:tcBorders>
              <w:bottom w:val="single" w:sz="8" w:color="CCCCCC"/>
            </w:tcBorders>
            <w:shd w:val="clear" w:color="auto" w:fill="CCCCCC"/>
          </w:tcPr>
          <w:p>
            <w:pPr>
              <w:spacing w:after="0"/>
              <w:rPr>
                <w:sz w:val="13"/>
                <w:szCs w:val="13"/>
                <w:color w:val="auto"/>
              </w:rPr>
            </w:pPr>
          </w:p>
        </w:tc>
        <w:tc>
          <w:tcPr>
            <w:tcW w:w="1200" w:type="dxa"/>
            <w:vAlign w:val="bottom"/>
            <w:tcBorders>
              <w:bottom w:val="single" w:sz="8" w:color="auto"/>
            </w:tcBorders>
            <w:shd w:val="clear" w:color="auto" w:fill="CCCCCC"/>
          </w:tcPr>
          <w:p>
            <w:pPr>
              <w:jc w:val="center"/>
              <w:ind w:left="426"/>
              <w:spacing w:after="0"/>
              <w:rPr>
                <w:sz w:val="20"/>
                <w:szCs w:val="20"/>
                <w:color w:val="auto"/>
              </w:rPr>
            </w:pPr>
            <w:r>
              <w:rPr>
                <w:rFonts w:ascii="Arial" w:cs="Arial" w:eastAsia="Arial" w:hAnsi="Arial"/>
                <w:sz w:val="11"/>
                <w:szCs w:val="11"/>
                <w:color w:val="auto"/>
                <w:w w:val="97"/>
              </w:rPr>
              <w:t>(13.4)</w:t>
            </w:r>
          </w:p>
        </w:tc>
        <w:tc>
          <w:tcPr>
            <w:tcW w:w="2160" w:type="dxa"/>
            <w:vAlign w:val="bottom"/>
            <w:tcBorders>
              <w:bottom w:val="single" w:sz="8" w:color="auto"/>
            </w:tcBorders>
            <w:shd w:val="clear" w:color="auto" w:fill="CCCCCC"/>
          </w:tcPr>
          <w:p>
            <w:pPr>
              <w:jc w:val="center"/>
              <w:ind w:left="426"/>
              <w:spacing w:after="0"/>
              <w:rPr>
                <w:sz w:val="20"/>
                <w:szCs w:val="20"/>
                <w:color w:val="auto"/>
              </w:rPr>
            </w:pPr>
            <w:r>
              <w:rPr>
                <w:rFonts w:ascii="Arial" w:cs="Arial" w:eastAsia="Arial" w:hAnsi="Arial"/>
                <w:sz w:val="11"/>
                <w:szCs w:val="11"/>
                <w:color w:val="auto"/>
                <w:w w:val="97"/>
              </w:rPr>
              <w:t>(23.1)</w:t>
            </w:r>
          </w:p>
        </w:tc>
        <w:tc>
          <w:tcPr>
            <w:tcW w:w="1640" w:type="dxa"/>
            <w:vAlign w:val="bottom"/>
            <w:tcBorders>
              <w:bottom w:val="single" w:sz="8" w:color="CCCCCC"/>
            </w:tcBorders>
            <w:shd w:val="clear" w:color="auto" w:fill="CCCCCC"/>
          </w:tcPr>
          <w:p>
            <w:pPr>
              <w:spacing w:after="0"/>
              <w:rPr>
                <w:sz w:val="13"/>
                <w:szCs w:val="13"/>
                <w:color w:val="auto"/>
              </w:rPr>
            </w:pPr>
          </w:p>
        </w:tc>
        <w:tc>
          <w:tcPr>
            <w:tcW w:w="2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18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1200" w:type="dxa"/>
            <w:vAlign w:val="bottom"/>
            <w:tcBorders>
              <w:bottom w:val="single" w:sz="8" w:color="auto"/>
            </w:tcBorders>
            <w:shd w:val="clear" w:color="auto" w:fill="CCCCCC"/>
          </w:tcPr>
          <w:p>
            <w:pPr>
              <w:jc w:val="center"/>
              <w:ind w:left="426"/>
              <w:spacing w:after="0"/>
              <w:rPr>
                <w:sz w:val="20"/>
                <w:szCs w:val="20"/>
                <w:color w:val="auto"/>
              </w:rPr>
            </w:pPr>
            <w:r>
              <w:rPr>
                <w:rFonts w:ascii="Arial" w:cs="Arial" w:eastAsia="Arial" w:hAnsi="Arial"/>
                <w:sz w:val="11"/>
                <w:szCs w:val="11"/>
                <w:color w:val="auto"/>
              </w:rPr>
              <w:t>$94.8</w:t>
            </w:r>
          </w:p>
        </w:tc>
        <w:tc>
          <w:tcPr>
            <w:tcW w:w="2160" w:type="dxa"/>
            <w:vAlign w:val="bottom"/>
            <w:tcBorders>
              <w:bottom w:val="single" w:sz="8" w:color="auto"/>
            </w:tcBorders>
            <w:shd w:val="clear" w:color="auto" w:fill="CCCCCC"/>
          </w:tcPr>
          <w:p>
            <w:pPr>
              <w:jc w:val="center"/>
              <w:ind w:left="406"/>
              <w:spacing w:after="0"/>
              <w:rPr>
                <w:sz w:val="20"/>
                <w:szCs w:val="20"/>
                <w:color w:val="auto"/>
              </w:rPr>
            </w:pPr>
            <w:r>
              <w:rPr>
                <w:rFonts w:ascii="Arial" w:cs="Arial" w:eastAsia="Arial" w:hAnsi="Arial"/>
                <w:sz w:val="11"/>
                <w:szCs w:val="11"/>
                <w:color w:val="auto"/>
              </w:rPr>
              <w:t>$118.8</w:t>
            </w:r>
          </w:p>
        </w:tc>
        <w:tc>
          <w:tcPr>
            <w:tcW w:w="164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18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1200" w:type="dxa"/>
            <w:vAlign w:val="bottom"/>
            <w:tcBorders>
              <w:bottom w:val="single" w:sz="8" w:color="auto"/>
            </w:tcBorders>
            <w:shd w:val="clear" w:color="auto" w:fill="CCCCCC"/>
          </w:tcPr>
          <w:p>
            <w:pPr>
              <w:jc w:val="center"/>
              <w:ind w:left="426"/>
              <w:spacing w:after="0"/>
              <w:rPr>
                <w:sz w:val="20"/>
                <w:szCs w:val="20"/>
                <w:color w:val="auto"/>
              </w:rPr>
            </w:pPr>
            <w:r>
              <w:rPr>
                <w:rFonts w:ascii="Arial" w:cs="Arial" w:eastAsia="Arial" w:hAnsi="Arial"/>
                <w:sz w:val="11"/>
                <w:szCs w:val="11"/>
                <w:color w:val="auto"/>
                <w:w w:val="94"/>
              </w:rPr>
              <w:t>$325.7</w:t>
            </w:r>
          </w:p>
        </w:tc>
        <w:tc>
          <w:tcPr>
            <w:tcW w:w="2160" w:type="dxa"/>
            <w:vAlign w:val="bottom"/>
            <w:tcBorders>
              <w:bottom w:val="single" w:sz="8" w:color="auto"/>
            </w:tcBorders>
            <w:shd w:val="clear" w:color="auto" w:fill="CCCCCC"/>
          </w:tcPr>
          <w:p>
            <w:pPr>
              <w:jc w:val="center"/>
              <w:ind w:left="406"/>
              <w:spacing w:after="0"/>
              <w:rPr>
                <w:sz w:val="20"/>
                <w:szCs w:val="20"/>
                <w:color w:val="auto"/>
              </w:rPr>
            </w:pPr>
            <w:r>
              <w:rPr>
                <w:rFonts w:ascii="Arial" w:cs="Arial" w:eastAsia="Arial" w:hAnsi="Arial"/>
                <w:sz w:val="11"/>
                <w:szCs w:val="11"/>
                <w:color w:val="auto"/>
              </w:rPr>
              <w:t>$423.9</w:t>
            </w:r>
          </w:p>
        </w:tc>
        <w:tc>
          <w:tcPr>
            <w:tcW w:w="164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 per diluted share</w:t>
            </w:r>
          </w:p>
        </w:tc>
        <w:tc>
          <w:tcPr>
            <w:tcW w:w="218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200" w:type="dxa"/>
            <w:vAlign w:val="bottom"/>
            <w:shd w:val="clear" w:color="auto" w:fill="CCCCCC"/>
          </w:tcPr>
          <w:p>
            <w:pPr>
              <w:jc w:val="center"/>
              <w:ind w:left="426"/>
              <w:spacing w:after="0"/>
              <w:rPr>
                <w:sz w:val="20"/>
                <w:szCs w:val="20"/>
                <w:color w:val="auto"/>
              </w:rPr>
            </w:pPr>
            <w:r>
              <w:rPr>
                <w:rFonts w:ascii="Arial" w:cs="Arial" w:eastAsia="Arial" w:hAnsi="Arial"/>
                <w:sz w:val="11"/>
                <w:szCs w:val="11"/>
                <w:color w:val="auto"/>
              </w:rPr>
              <w:t>$6.02</w:t>
            </w:r>
          </w:p>
        </w:tc>
        <w:tc>
          <w:tcPr>
            <w:tcW w:w="2160" w:type="dxa"/>
            <w:vAlign w:val="bottom"/>
            <w:shd w:val="clear" w:color="auto" w:fill="CCCCCC"/>
          </w:tcPr>
          <w:p>
            <w:pPr>
              <w:jc w:val="center"/>
              <w:ind w:left="406"/>
              <w:spacing w:after="0"/>
              <w:rPr>
                <w:sz w:val="20"/>
                <w:szCs w:val="20"/>
                <w:color w:val="auto"/>
              </w:rPr>
            </w:pPr>
            <w:r>
              <w:rPr>
                <w:rFonts w:ascii="Arial" w:cs="Arial" w:eastAsia="Arial" w:hAnsi="Arial"/>
                <w:sz w:val="11"/>
                <w:szCs w:val="11"/>
                <w:color w:val="auto"/>
                <w:w w:val="94"/>
              </w:rPr>
              <w:t>$7.88</w:t>
            </w:r>
          </w:p>
        </w:tc>
        <w:tc>
          <w:tcPr>
            <w:tcW w:w="164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360" w:type="dxa"/>
            <w:vAlign w:val="bottom"/>
            <w:gridSpan w:val="2"/>
          </w:tcPr>
          <w:p>
            <w:pPr>
              <w:spacing w:after="0"/>
              <w:rPr>
                <w:sz w:val="8"/>
                <w:szCs w:val="8"/>
                <w:color w:val="auto"/>
              </w:rPr>
            </w:pPr>
          </w:p>
        </w:tc>
        <w:tc>
          <w:tcPr>
            <w:tcW w:w="16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2180" w:type="dxa"/>
            <w:vAlign w:val="bottom"/>
            <w:shd w:val="clear" w:color="auto" w:fill="B14A32"/>
          </w:tcPr>
          <w:p>
            <w:pPr>
              <w:spacing w:after="0"/>
              <w:rPr>
                <w:sz w:val="13"/>
                <w:szCs w:val="13"/>
                <w:color w:val="auto"/>
              </w:rPr>
            </w:pPr>
          </w:p>
        </w:tc>
        <w:tc>
          <w:tcPr>
            <w:tcW w:w="20" w:type="dxa"/>
            <w:vAlign w:val="bottom"/>
            <w:shd w:val="clear" w:color="auto" w:fill="B14A32"/>
          </w:tcPr>
          <w:p>
            <w:pPr>
              <w:spacing w:after="0"/>
              <w:rPr>
                <w:sz w:val="13"/>
                <w:szCs w:val="13"/>
                <w:color w:val="auto"/>
              </w:rPr>
            </w:pPr>
          </w:p>
        </w:tc>
        <w:tc>
          <w:tcPr>
            <w:tcW w:w="3360" w:type="dxa"/>
            <w:vAlign w:val="bottom"/>
            <w:gridSpan w:val="2"/>
            <w:shd w:val="clear" w:color="auto" w:fill="B14A32"/>
          </w:tcPr>
          <w:p>
            <w:pPr>
              <w:ind w:left="840"/>
              <w:spacing w:after="0"/>
              <w:rPr>
                <w:sz w:val="20"/>
                <w:szCs w:val="20"/>
                <w:color w:val="auto"/>
              </w:rPr>
            </w:pPr>
            <w:r>
              <w:rPr>
                <w:rFonts w:ascii="Arial" w:cs="Arial" w:eastAsia="Arial" w:hAnsi="Arial"/>
                <w:sz w:val="11"/>
                <w:szCs w:val="11"/>
                <w:b w:val="1"/>
                <w:bCs w:val="1"/>
                <w:color w:val="FFFFFF"/>
              </w:rPr>
              <w:t>Revised 2022 Full Year Forecast</w:t>
            </w:r>
          </w:p>
        </w:tc>
        <w:tc>
          <w:tcPr>
            <w:tcW w:w="1640" w:type="dxa"/>
            <w:vAlign w:val="bottom"/>
            <w:shd w:val="clear" w:color="auto" w:fill="B14A32"/>
          </w:tcPr>
          <w:p>
            <w:pPr>
              <w:jc w:val="center"/>
              <w:spacing w:after="0"/>
              <w:rPr>
                <w:sz w:val="20"/>
                <w:szCs w:val="20"/>
                <w:color w:val="auto"/>
              </w:rPr>
            </w:pPr>
            <w:r>
              <w:rPr>
                <w:rFonts w:ascii="Arial" w:cs="Arial" w:eastAsia="Arial" w:hAnsi="Arial"/>
                <w:sz w:val="11"/>
                <w:szCs w:val="11"/>
                <w:b w:val="1"/>
                <w:bCs w:val="1"/>
                <w:color w:val="FFFFFF"/>
                <w:w w:val="96"/>
              </w:rPr>
              <w:t>Source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218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1200" w:type="dxa"/>
            <w:vAlign w:val="bottom"/>
            <w:shd w:val="clear" w:color="auto" w:fill="CCCCCC"/>
          </w:tcPr>
          <w:p>
            <w:pPr>
              <w:spacing w:after="0"/>
              <w:rPr>
                <w:sz w:val="12"/>
                <w:szCs w:val="12"/>
                <w:color w:val="auto"/>
              </w:rPr>
            </w:pPr>
          </w:p>
        </w:tc>
        <w:tc>
          <w:tcPr>
            <w:tcW w:w="2160" w:type="dxa"/>
            <w:vAlign w:val="bottom"/>
            <w:shd w:val="clear" w:color="auto" w:fill="CCCCCC"/>
          </w:tcPr>
          <w:p>
            <w:pPr>
              <w:jc w:val="center"/>
              <w:ind w:right="1166"/>
              <w:spacing w:after="0"/>
              <w:rPr>
                <w:sz w:val="20"/>
                <w:szCs w:val="20"/>
                <w:color w:val="auto"/>
              </w:rPr>
            </w:pPr>
            <w:r>
              <w:rPr>
                <w:rFonts w:ascii="Arial" w:cs="Arial" w:eastAsia="Arial" w:hAnsi="Arial"/>
                <w:sz w:val="11"/>
                <w:szCs w:val="11"/>
                <w:color w:val="auto"/>
                <w:w w:val="98"/>
              </w:rPr>
              <w:t>$45 - $90</w:t>
            </w:r>
          </w:p>
        </w:tc>
        <w:tc>
          <w:tcPr>
            <w:tcW w:w="1640" w:type="dxa"/>
            <w:vAlign w:val="bottom"/>
            <w:shd w:val="clear" w:color="auto" w:fill="CCCC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80"/>
              <w:spacing w:after="0"/>
              <w:rPr>
                <w:sz w:val="20"/>
                <w:szCs w:val="20"/>
                <w:color w:val="auto"/>
              </w:rPr>
            </w:pPr>
            <w:r>
              <w:rPr>
                <w:rFonts w:ascii="Arial" w:cs="Arial" w:eastAsia="Arial" w:hAnsi="Arial"/>
                <w:sz w:val="11"/>
                <w:szCs w:val="11"/>
                <w:color w:val="auto"/>
              </w:rPr>
              <w:t>Adjustments: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spacing w:after="0"/>
              <w:rPr>
                <w:sz w:val="13"/>
                <w:szCs w:val="13"/>
                <w:color w:val="auto"/>
              </w:rPr>
            </w:pPr>
          </w:p>
        </w:tc>
        <w:tc>
          <w:tcPr>
            <w:tcW w:w="2160" w:type="dxa"/>
            <w:vAlign w:val="bottom"/>
            <w:shd w:val="clear" w:color="auto" w:fill="CCCCCC"/>
          </w:tcPr>
          <w:p>
            <w:pPr>
              <w:spacing w:after="0"/>
              <w:rPr>
                <w:sz w:val="13"/>
                <w:szCs w:val="13"/>
                <w:color w:val="auto"/>
              </w:rPr>
            </w:pPr>
          </w:p>
        </w:tc>
        <w:tc>
          <w:tcPr>
            <w:tcW w:w="1640" w:type="dxa"/>
            <w:vAlign w:val="bottom"/>
            <w:shd w:val="clear" w:color="auto" w:fill="CCCCC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spacing w:after="0"/>
              <w:rPr>
                <w:sz w:val="13"/>
                <w:szCs w:val="13"/>
                <w:color w:val="auto"/>
              </w:rPr>
            </w:pPr>
          </w:p>
        </w:tc>
        <w:tc>
          <w:tcPr>
            <w:tcW w:w="2160" w:type="dxa"/>
            <w:vAlign w:val="bottom"/>
            <w:shd w:val="clear" w:color="auto" w:fill="CCCCCC"/>
          </w:tcPr>
          <w:p>
            <w:pPr>
              <w:jc w:val="center"/>
              <w:ind w:right="1186"/>
              <w:spacing w:after="0"/>
              <w:rPr>
                <w:sz w:val="20"/>
                <w:szCs w:val="20"/>
                <w:color w:val="auto"/>
              </w:rPr>
            </w:pPr>
            <w:r>
              <w:rPr>
                <w:rFonts w:ascii="Arial" w:cs="Arial" w:eastAsia="Arial" w:hAnsi="Arial"/>
                <w:sz w:val="11"/>
                <w:szCs w:val="11"/>
                <w:color w:val="auto"/>
                <w:w w:val="97"/>
              </w:rPr>
              <w:t>60</w:t>
            </w:r>
          </w:p>
        </w:tc>
        <w:tc>
          <w:tcPr>
            <w:tcW w:w="16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IA Amortization, Other Income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spacing w:after="0"/>
              <w:rPr>
                <w:sz w:val="13"/>
                <w:szCs w:val="13"/>
                <w:color w:val="auto"/>
              </w:rPr>
            </w:pPr>
          </w:p>
        </w:tc>
        <w:tc>
          <w:tcPr>
            <w:tcW w:w="2160" w:type="dxa"/>
            <w:vAlign w:val="bottom"/>
            <w:shd w:val="clear" w:color="auto" w:fill="CCCCCC"/>
          </w:tcPr>
          <w:p>
            <w:pPr>
              <w:jc w:val="center"/>
              <w:ind w:right="1166"/>
              <w:spacing w:after="0"/>
              <w:rPr>
                <w:sz w:val="20"/>
                <w:szCs w:val="20"/>
                <w:color w:val="auto"/>
              </w:rPr>
            </w:pPr>
            <w:r>
              <w:rPr>
                <w:rFonts w:ascii="Arial" w:cs="Arial" w:eastAsia="Arial" w:hAnsi="Arial"/>
                <w:sz w:val="11"/>
                <w:szCs w:val="11"/>
                <w:color w:val="auto"/>
                <w:w w:val="97"/>
              </w:rPr>
              <w:t>1</w:t>
            </w:r>
          </w:p>
        </w:tc>
        <w:tc>
          <w:tcPr>
            <w:tcW w:w="16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200" w:type="dxa"/>
            <w:vAlign w:val="bottom"/>
            <w:shd w:val="clear" w:color="auto" w:fill="CCCCCC"/>
          </w:tcPr>
          <w:p>
            <w:pPr>
              <w:spacing w:after="0"/>
              <w:rPr>
                <w:sz w:val="13"/>
                <w:szCs w:val="13"/>
                <w:color w:val="auto"/>
              </w:rPr>
            </w:pPr>
          </w:p>
        </w:tc>
        <w:tc>
          <w:tcPr>
            <w:tcW w:w="2160" w:type="dxa"/>
            <w:vAlign w:val="bottom"/>
            <w:shd w:val="clear" w:color="auto" w:fill="CCCCCC"/>
          </w:tcPr>
          <w:p>
            <w:pPr>
              <w:jc w:val="center"/>
              <w:ind w:right="1166"/>
              <w:spacing w:after="0"/>
              <w:rPr>
                <w:sz w:val="20"/>
                <w:szCs w:val="20"/>
                <w:color w:val="auto"/>
              </w:rPr>
            </w:pPr>
            <w:r>
              <w:rPr>
                <w:rFonts w:ascii="Arial" w:cs="Arial" w:eastAsia="Arial" w:hAnsi="Arial"/>
                <w:sz w:val="11"/>
                <w:szCs w:val="11"/>
                <w:color w:val="auto"/>
                <w:w w:val="97"/>
              </w:rPr>
              <w:t>2</w:t>
            </w:r>
          </w:p>
        </w:tc>
        <w:tc>
          <w:tcPr>
            <w:tcW w:w="16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180" w:type="dxa"/>
            <w:vAlign w:val="bottom"/>
            <w:tcBorders>
              <w:bottom w:val="single" w:sz="8" w:color="CCCCCC"/>
            </w:tcBorders>
            <w:shd w:val="clear" w:color="auto" w:fill="CCCCCC"/>
          </w:tcPr>
          <w:p>
            <w:pPr>
              <w:spacing w:after="0"/>
              <w:rPr>
                <w:sz w:val="13"/>
                <w:szCs w:val="13"/>
                <w:color w:val="auto"/>
              </w:rPr>
            </w:pPr>
          </w:p>
        </w:tc>
        <w:tc>
          <w:tcPr>
            <w:tcW w:w="20" w:type="dxa"/>
            <w:vAlign w:val="bottom"/>
            <w:tcBorders>
              <w:bottom w:val="single" w:sz="8" w:color="auto"/>
            </w:tcBorders>
            <w:shd w:val="clear" w:color="auto" w:fill="CCCCCC"/>
          </w:tcPr>
          <w:p>
            <w:pPr>
              <w:spacing w:after="0"/>
              <w:rPr>
                <w:sz w:val="13"/>
                <w:szCs w:val="13"/>
                <w:color w:val="auto"/>
              </w:rPr>
            </w:pPr>
          </w:p>
        </w:tc>
        <w:tc>
          <w:tcPr>
            <w:tcW w:w="1200" w:type="dxa"/>
            <w:vAlign w:val="bottom"/>
            <w:tcBorders>
              <w:bottom w:val="single" w:sz="8" w:color="auto"/>
            </w:tcBorders>
            <w:shd w:val="clear" w:color="auto" w:fill="CCCCCC"/>
          </w:tcPr>
          <w:p>
            <w:pPr>
              <w:spacing w:after="0"/>
              <w:rPr>
                <w:sz w:val="13"/>
                <w:szCs w:val="13"/>
                <w:color w:val="auto"/>
              </w:rPr>
            </w:pPr>
          </w:p>
        </w:tc>
        <w:tc>
          <w:tcPr>
            <w:tcW w:w="2160" w:type="dxa"/>
            <w:vAlign w:val="bottom"/>
            <w:tcBorders>
              <w:bottom w:val="single" w:sz="8" w:color="auto"/>
            </w:tcBorders>
            <w:shd w:val="clear" w:color="auto" w:fill="CCCCCC"/>
          </w:tcPr>
          <w:p>
            <w:pPr>
              <w:jc w:val="center"/>
              <w:ind w:right="1166"/>
              <w:spacing w:after="0"/>
              <w:rPr>
                <w:sz w:val="20"/>
                <w:szCs w:val="20"/>
                <w:color w:val="auto"/>
              </w:rPr>
            </w:pPr>
            <w:r>
              <w:rPr>
                <w:rFonts w:ascii="Arial" w:cs="Arial" w:eastAsia="Arial" w:hAnsi="Arial"/>
                <w:sz w:val="11"/>
                <w:szCs w:val="11"/>
                <w:color w:val="auto"/>
                <w:w w:val="91"/>
              </w:rPr>
              <w:t>(13)</w:t>
            </w:r>
          </w:p>
        </w:tc>
        <w:tc>
          <w:tcPr>
            <w:tcW w:w="1640" w:type="dxa"/>
            <w:vAlign w:val="bottom"/>
            <w:tcBorders>
              <w:bottom w:val="single" w:sz="8" w:color="CCCCCC"/>
            </w:tcBorders>
            <w:shd w:val="clear" w:color="auto" w:fill="CCCCC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180" w:type="dxa"/>
            <w:vAlign w:val="bottom"/>
            <w:tcBorders>
              <w:bottom w:val="single" w:sz="8" w:color="CCCCCC"/>
            </w:tcBorders>
            <w:shd w:val="clear" w:color="auto" w:fill="CCCCCC"/>
          </w:tcPr>
          <w:p>
            <w:pPr>
              <w:spacing w:after="0"/>
              <w:rPr>
                <w:sz w:val="11"/>
                <w:szCs w:val="11"/>
                <w:color w:val="auto"/>
              </w:rPr>
            </w:pPr>
          </w:p>
        </w:tc>
        <w:tc>
          <w:tcPr>
            <w:tcW w:w="20" w:type="dxa"/>
            <w:vAlign w:val="bottom"/>
            <w:tcBorders>
              <w:bottom w:val="single" w:sz="8" w:color="auto"/>
            </w:tcBorders>
            <w:shd w:val="clear" w:color="auto" w:fill="CCCCCC"/>
          </w:tcPr>
          <w:p>
            <w:pPr>
              <w:spacing w:after="0"/>
              <w:rPr>
                <w:sz w:val="11"/>
                <w:szCs w:val="11"/>
                <w:color w:val="auto"/>
              </w:rPr>
            </w:pPr>
          </w:p>
        </w:tc>
        <w:tc>
          <w:tcPr>
            <w:tcW w:w="1200" w:type="dxa"/>
            <w:vAlign w:val="bottom"/>
            <w:tcBorders>
              <w:bottom w:val="single" w:sz="8" w:color="auto"/>
            </w:tcBorders>
            <w:shd w:val="clear" w:color="auto" w:fill="CCCCCC"/>
          </w:tcPr>
          <w:p>
            <w:pPr>
              <w:spacing w:after="0"/>
              <w:rPr>
                <w:sz w:val="11"/>
                <w:szCs w:val="11"/>
                <w:color w:val="auto"/>
              </w:rPr>
            </w:pPr>
          </w:p>
        </w:tc>
        <w:tc>
          <w:tcPr>
            <w:tcW w:w="2160" w:type="dxa"/>
            <w:vAlign w:val="bottom"/>
            <w:tcBorders>
              <w:bottom w:val="single" w:sz="8" w:color="auto"/>
            </w:tcBorders>
            <w:shd w:val="clear" w:color="auto" w:fill="CCCCCC"/>
          </w:tcPr>
          <w:p>
            <w:pPr>
              <w:jc w:val="center"/>
              <w:ind w:right="1166"/>
              <w:spacing w:after="0"/>
              <w:rPr>
                <w:sz w:val="20"/>
                <w:szCs w:val="20"/>
                <w:color w:val="auto"/>
              </w:rPr>
            </w:pPr>
            <w:r>
              <w:rPr>
                <w:rFonts w:ascii="Arial" w:cs="Arial" w:eastAsia="Arial" w:hAnsi="Arial"/>
                <w:sz w:val="11"/>
                <w:szCs w:val="11"/>
                <w:color w:val="auto"/>
                <w:w w:val="97"/>
              </w:rPr>
              <w:t>$50</w:t>
            </w:r>
          </w:p>
        </w:tc>
        <w:tc>
          <w:tcPr>
            <w:tcW w:w="1640" w:type="dxa"/>
            <w:vAlign w:val="bottom"/>
            <w:tcBorders>
              <w:bottom w:val="single" w:sz="8" w:color="CCCCCC"/>
            </w:tcBorders>
            <w:shd w:val="clear" w:color="auto" w:fill="CCCCC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18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200" w:type="dxa"/>
            <w:vAlign w:val="bottom"/>
            <w:shd w:val="clear" w:color="auto" w:fill="CCCCCC"/>
          </w:tcPr>
          <w:p>
            <w:pPr>
              <w:spacing w:after="0"/>
              <w:rPr>
                <w:sz w:val="11"/>
                <w:szCs w:val="11"/>
                <w:color w:val="auto"/>
              </w:rPr>
            </w:pPr>
          </w:p>
        </w:tc>
        <w:tc>
          <w:tcPr>
            <w:tcW w:w="2160" w:type="dxa"/>
            <w:vAlign w:val="bottom"/>
            <w:shd w:val="clear" w:color="auto" w:fill="CCCCCC"/>
          </w:tcPr>
          <w:p>
            <w:pPr>
              <w:jc w:val="center"/>
              <w:ind w:right="1186"/>
              <w:spacing w:after="0"/>
              <w:rPr>
                <w:sz w:val="20"/>
                <w:szCs w:val="20"/>
                <w:color w:val="auto"/>
              </w:rPr>
            </w:pPr>
            <w:r>
              <w:rPr>
                <w:rFonts w:ascii="Arial" w:cs="Arial" w:eastAsia="Arial" w:hAnsi="Arial"/>
                <w:sz w:val="11"/>
                <w:szCs w:val="11"/>
                <w:color w:val="auto"/>
                <w:w w:val="98"/>
              </w:rPr>
              <w:t>$95 - $140</w:t>
            </w:r>
          </w:p>
        </w:tc>
        <w:tc>
          <w:tcPr>
            <w:tcW w:w="1640" w:type="dxa"/>
            <w:vAlign w:val="bottom"/>
            <w:shd w:val="clear" w:color="auto" w:fill="CCCCC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4080" w:type="dxa"/>
            <w:vAlign w:val="bottom"/>
          </w:tcPr>
          <w:p>
            <w:pPr>
              <w:spacing w:after="0"/>
              <w:rPr>
                <w:sz w:val="24"/>
                <w:szCs w:val="24"/>
                <w:color w:val="auto"/>
              </w:rPr>
            </w:pPr>
          </w:p>
        </w:tc>
        <w:tc>
          <w:tcPr>
            <w:tcW w:w="3400" w:type="dxa"/>
            <w:vAlign w:val="bottom"/>
            <w:gridSpan w:val="3"/>
          </w:tcPr>
          <w:p>
            <w:pPr>
              <w:ind w:left="1360"/>
              <w:spacing w:after="0"/>
              <w:rPr>
                <w:sz w:val="20"/>
                <w:szCs w:val="20"/>
                <w:color w:val="auto"/>
              </w:rPr>
            </w:pPr>
            <w:r>
              <w:rPr>
                <w:rFonts w:ascii="Arial" w:cs="Arial" w:eastAsia="Arial" w:hAnsi="Arial"/>
                <w:sz w:val="11"/>
                <w:szCs w:val="11"/>
                <w:color w:val="auto"/>
              </w:rPr>
              <w:t>14 of 18</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-2768600</wp:posOffset>
            </wp:positionV>
            <wp:extent cx="7183755" cy="2291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2291715"/>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Reconciliation of Net Income to Adjusted EBITDA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280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28016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1520" w:type="dxa"/>
            <w:vAlign w:val="bottom"/>
            <w:shd w:val="clear" w:color="auto" w:fill="B14A32"/>
          </w:tcPr>
          <w:p>
            <w:pPr>
              <w:spacing w:after="0"/>
              <w:rPr>
                <w:sz w:val="13"/>
                <w:szCs w:val="13"/>
                <w:color w:val="auto"/>
              </w:rPr>
            </w:pPr>
          </w:p>
        </w:tc>
        <w:tc>
          <w:tcPr>
            <w:tcW w:w="3500" w:type="dxa"/>
            <w:vAlign w:val="bottom"/>
            <w:shd w:val="clear" w:color="auto" w:fill="B14A32"/>
          </w:tcPr>
          <w:p>
            <w:pPr>
              <w:ind w:left="100"/>
              <w:spacing w:after="0"/>
              <w:rPr>
                <w:sz w:val="20"/>
                <w:szCs w:val="20"/>
                <w:color w:val="auto"/>
              </w:rPr>
            </w:pPr>
            <w:r>
              <w:rPr>
                <w:rFonts w:ascii="Arial" w:cs="Arial" w:eastAsia="Arial" w:hAnsi="Arial"/>
                <w:sz w:val="11"/>
                <w:szCs w:val="11"/>
                <w:b w:val="1"/>
                <w:bCs w:val="1"/>
                <w:color w:val="FFFFFF"/>
              </w:rPr>
              <w:t>Three Months Ended December 31,</w:t>
            </w:r>
          </w:p>
        </w:tc>
        <w:tc>
          <w:tcPr>
            <w:tcW w:w="0" w:type="dxa"/>
            <w:vAlign w:val="bottom"/>
          </w:tcPr>
          <w:p>
            <w:pPr>
              <w:spacing w:after="0"/>
              <w:rPr>
                <w:sz w:val="1"/>
                <w:szCs w:val="1"/>
                <w:color w:val="auto"/>
              </w:rPr>
            </w:pPr>
          </w:p>
        </w:tc>
      </w:tr>
      <w:tr>
        <w:trPr>
          <w:trHeight w:val="70"/>
        </w:trPr>
        <w:tc>
          <w:tcPr>
            <w:tcW w:w="6280" w:type="dxa"/>
            <w:vAlign w:val="bottom"/>
            <w:vMerge w:val="continue"/>
            <w:shd w:val="clear" w:color="auto" w:fill="B14A32"/>
          </w:tcPr>
          <w:p>
            <w:pPr>
              <w:spacing w:after="0"/>
              <w:rPr>
                <w:sz w:val="6"/>
                <w:szCs w:val="6"/>
                <w:color w:val="auto"/>
              </w:rPr>
            </w:pPr>
          </w:p>
        </w:tc>
        <w:tc>
          <w:tcPr>
            <w:tcW w:w="1520" w:type="dxa"/>
            <w:vAlign w:val="bottom"/>
            <w:vMerge w:val="restart"/>
            <w:shd w:val="clear" w:color="auto" w:fill="B14A32"/>
          </w:tcPr>
          <w:p>
            <w:pPr>
              <w:jc w:val="center"/>
              <w:ind w:left="94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vMerge w:val="restart"/>
            <w:shd w:val="clear" w:color="auto" w:fill="B14A32"/>
          </w:tcPr>
          <w:p>
            <w:pPr>
              <w:jc w:val="center"/>
              <w:ind w:left="92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6280" w:type="dxa"/>
            <w:vAlign w:val="bottom"/>
            <w:tcBorders>
              <w:bottom w:val="single" w:sz="8" w:color="B14A32"/>
            </w:tcBorders>
            <w:shd w:val="clear" w:color="auto" w:fill="B14A32"/>
          </w:tcPr>
          <w:p>
            <w:pPr>
              <w:spacing w:after="0"/>
              <w:rPr>
                <w:sz w:val="6"/>
                <w:szCs w:val="6"/>
                <w:color w:val="auto"/>
              </w:rPr>
            </w:pPr>
          </w:p>
        </w:tc>
        <w:tc>
          <w:tcPr>
            <w:tcW w:w="1520" w:type="dxa"/>
            <w:vAlign w:val="bottom"/>
            <w:tcBorders>
              <w:bottom w:val="single" w:sz="8" w:color="B14A32"/>
            </w:tcBorders>
            <w:vMerge w:val="continue"/>
            <w:shd w:val="clear" w:color="auto" w:fill="B14A32"/>
          </w:tcPr>
          <w:p>
            <w:pPr>
              <w:spacing w:after="0"/>
              <w:rPr>
                <w:sz w:val="6"/>
                <w:szCs w:val="6"/>
                <w:color w:val="auto"/>
              </w:rPr>
            </w:pPr>
          </w:p>
        </w:tc>
        <w:tc>
          <w:tcPr>
            <w:tcW w:w="350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 (loss)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$189.3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$185.4</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1520" w:type="dxa"/>
            <w:vAlign w:val="bottom"/>
            <w:shd w:val="clear" w:color="auto" w:fill="CCCCCC"/>
          </w:tcPr>
          <w:p>
            <w:pPr>
              <w:spacing w:after="0"/>
              <w:rPr>
                <w:sz w:val="13"/>
                <w:szCs w:val="13"/>
                <w:color w:val="auto"/>
              </w:rPr>
            </w:pPr>
          </w:p>
        </w:tc>
        <w:tc>
          <w:tcPr>
            <w:tcW w:w="350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Income taxes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3"/>
              </w:rPr>
              <w:t>78.2</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67.4</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3"/>
              </w:rPr>
              <w:t>29.3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28.9</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8.9</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1"/>
              </w:rPr>
              <w:t>8.6</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3"/>
              </w:rPr>
              <w:t>41.7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0.3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1"/>
              </w:rPr>
              <w:t>0.4</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0.2</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1"/>
              </w:rPr>
              <w:t>0.1</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1"/>
              </w:rPr>
              <w:t>0.1</w:t>
            </w:r>
          </w:p>
        </w:tc>
        <w:tc>
          <w:tcPr>
            <w:tcW w:w="0" w:type="dxa"/>
            <w:vAlign w:val="bottom"/>
          </w:tcPr>
          <w:p>
            <w:pPr>
              <w:spacing w:after="0"/>
              <w:rPr>
                <w:sz w:val="1"/>
                <w:szCs w:val="1"/>
                <w:color w:val="auto"/>
              </w:rPr>
            </w:pPr>
          </w:p>
        </w:tc>
      </w:tr>
      <w:tr>
        <w:trPr>
          <w:trHeight w:val="13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4"/>
              </w:rPr>
              <w:t>$158.6</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$105.5</w:t>
            </w:r>
          </w:p>
        </w:tc>
        <w:tc>
          <w:tcPr>
            <w:tcW w:w="0" w:type="dxa"/>
            <w:vAlign w:val="bottom"/>
          </w:tcPr>
          <w:p>
            <w:pPr>
              <w:spacing w:after="0"/>
              <w:rPr>
                <w:sz w:val="1"/>
                <w:szCs w:val="1"/>
                <w:color w:val="auto"/>
              </w:rPr>
            </w:pPr>
          </w:p>
        </w:tc>
      </w:tr>
      <w:tr>
        <w:trPr>
          <w:trHeight w:val="135"/>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$347.9</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78040" cy="1274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2744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1500" w:type="dxa"/>
            <w:vAlign w:val="bottom"/>
            <w:shd w:val="clear" w:color="auto" w:fill="B14A32"/>
          </w:tcPr>
          <w:p>
            <w:pPr>
              <w:spacing w:after="0"/>
              <w:rPr>
                <w:sz w:val="13"/>
                <w:szCs w:val="13"/>
                <w:color w:val="auto"/>
              </w:rPr>
            </w:pPr>
          </w:p>
        </w:tc>
        <w:tc>
          <w:tcPr>
            <w:tcW w:w="3520" w:type="dxa"/>
            <w:vAlign w:val="bottom"/>
            <w:shd w:val="clear" w:color="auto" w:fill="B14A32"/>
          </w:tcPr>
          <w:p>
            <w:pPr>
              <w:ind w:left="80"/>
              <w:spacing w:after="0"/>
              <w:rPr>
                <w:sz w:val="20"/>
                <w:szCs w:val="20"/>
                <w:color w:val="auto"/>
              </w:rPr>
            </w:pPr>
            <w:r>
              <w:rPr>
                <w:rFonts w:ascii="Arial" w:cs="Arial" w:eastAsia="Arial" w:hAnsi="Arial"/>
                <w:sz w:val="11"/>
                <w:szCs w:val="11"/>
                <w:b w:val="1"/>
                <w:bCs w:val="1"/>
                <w:color w:val="FFFFFF"/>
              </w:rPr>
              <w:t>Twelve Months Ended December 31,</w:t>
            </w:r>
          </w:p>
        </w:tc>
        <w:tc>
          <w:tcPr>
            <w:tcW w:w="0" w:type="dxa"/>
            <w:vAlign w:val="bottom"/>
          </w:tcPr>
          <w:p>
            <w:pPr>
              <w:spacing w:after="0"/>
              <w:rPr>
                <w:sz w:val="1"/>
                <w:szCs w:val="1"/>
                <w:color w:val="auto"/>
              </w:rPr>
            </w:pPr>
          </w:p>
        </w:tc>
      </w:tr>
      <w:tr>
        <w:trPr>
          <w:trHeight w:val="70"/>
        </w:trPr>
        <w:tc>
          <w:tcPr>
            <w:tcW w:w="6280" w:type="dxa"/>
            <w:vAlign w:val="bottom"/>
            <w:vMerge w:val="continue"/>
            <w:shd w:val="clear" w:color="auto" w:fill="B14A32"/>
          </w:tcPr>
          <w:p>
            <w:pPr>
              <w:spacing w:after="0"/>
              <w:rPr>
                <w:sz w:val="6"/>
                <w:szCs w:val="6"/>
                <w:color w:val="auto"/>
              </w:rPr>
            </w:pPr>
          </w:p>
        </w:tc>
        <w:tc>
          <w:tcPr>
            <w:tcW w:w="1500" w:type="dxa"/>
            <w:vAlign w:val="bottom"/>
            <w:vMerge w:val="restart"/>
            <w:shd w:val="clear" w:color="auto" w:fill="B14A32"/>
          </w:tcPr>
          <w:p>
            <w:pPr>
              <w:jc w:val="center"/>
              <w:ind w:left="966"/>
              <w:spacing w:after="0"/>
              <w:rPr>
                <w:sz w:val="20"/>
                <w:szCs w:val="20"/>
                <w:color w:val="auto"/>
              </w:rPr>
            </w:pPr>
            <w:r>
              <w:rPr>
                <w:rFonts w:ascii="Arial" w:cs="Arial" w:eastAsia="Arial" w:hAnsi="Arial"/>
                <w:sz w:val="11"/>
                <w:szCs w:val="11"/>
                <w:b w:val="1"/>
                <w:bCs w:val="1"/>
                <w:color w:val="FFFFFF"/>
                <w:w w:val="97"/>
              </w:rPr>
              <w:t>2021</w:t>
            </w:r>
          </w:p>
        </w:tc>
        <w:tc>
          <w:tcPr>
            <w:tcW w:w="3520" w:type="dxa"/>
            <w:vAlign w:val="bottom"/>
            <w:vMerge w:val="restart"/>
            <w:shd w:val="clear" w:color="auto" w:fill="B14A32"/>
          </w:tcPr>
          <w:p>
            <w:pPr>
              <w:jc w:val="center"/>
              <w:ind w:left="94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6280" w:type="dxa"/>
            <w:vAlign w:val="bottom"/>
            <w:tcBorders>
              <w:bottom w:val="single" w:sz="8" w:color="B14A32"/>
            </w:tcBorders>
            <w:shd w:val="clear" w:color="auto" w:fill="B14A32"/>
          </w:tcPr>
          <w:p>
            <w:pPr>
              <w:spacing w:after="0"/>
              <w:rPr>
                <w:sz w:val="6"/>
                <w:szCs w:val="6"/>
                <w:color w:val="auto"/>
              </w:rPr>
            </w:pPr>
          </w:p>
        </w:tc>
        <w:tc>
          <w:tcPr>
            <w:tcW w:w="1500" w:type="dxa"/>
            <w:vAlign w:val="bottom"/>
            <w:tcBorders>
              <w:bottom w:val="single" w:sz="8" w:color="B14A32"/>
            </w:tcBorders>
            <w:vMerge w:val="continue"/>
            <w:shd w:val="clear" w:color="auto" w:fill="B14A32"/>
          </w:tcPr>
          <w:p>
            <w:pPr>
              <w:spacing w:after="0"/>
              <w:rPr>
                <w:sz w:val="6"/>
                <w:szCs w:val="6"/>
                <w:color w:val="auto"/>
              </w:rPr>
            </w:pPr>
          </w:p>
        </w:tc>
        <w:tc>
          <w:tcPr>
            <w:tcW w:w="352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$230.9</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$305.1</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1500" w:type="dxa"/>
            <w:vAlign w:val="bottom"/>
            <w:shd w:val="clear" w:color="auto" w:fill="CCCCCC"/>
          </w:tcPr>
          <w:p>
            <w:pPr>
              <w:spacing w:after="0"/>
              <w:rPr>
                <w:sz w:val="13"/>
                <w:szCs w:val="13"/>
                <w:color w:val="auto"/>
              </w:rPr>
            </w:pPr>
          </w:p>
        </w:tc>
        <w:tc>
          <w:tcPr>
            <w:tcW w:w="35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123.8</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114.5</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Income taxes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3"/>
              </w:rPr>
              <w:t>83.5</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102.1</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3"/>
              </w:rPr>
              <w:t>33.9</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3"/>
              </w:rPr>
              <w:t>41.7</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2.9</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0.9</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1"/>
              </w:rPr>
              <w:t>0.6</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150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w:t>
            </w:r>
          </w:p>
        </w:tc>
        <w:tc>
          <w:tcPr>
            <w:tcW w:w="352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17.2</w:t>
            </w:r>
          </w:p>
        </w:tc>
        <w:tc>
          <w:tcPr>
            <w:tcW w:w="0" w:type="dxa"/>
            <w:vAlign w:val="bottom"/>
          </w:tcPr>
          <w:p>
            <w:pPr>
              <w:spacing w:after="0"/>
              <w:rPr>
                <w:sz w:val="1"/>
                <w:szCs w:val="1"/>
                <w:color w:val="auto"/>
              </w:rPr>
            </w:pPr>
          </w:p>
        </w:tc>
      </w:tr>
      <w:tr>
        <w:trPr>
          <w:trHeight w:val="13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150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w w:val="94"/>
              </w:rPr>
              <w:t>$286.7</w:t>
            </w:r>
          </w:p>
        </w:tc>
        <w:tc>
          <w:tcPr>
            <w:tcW w:w="352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$325.3</w:t>
            </w:r>
          </w:p>
        </w:tc>
        <w:tc>
          <w:tcPr>
            <w:tcW w:w="0" w:type="dxa"/>
            <w:vAlign w:val="bottom"/>
          </w:tcPr>
          <w:p>
            <w:pPr>
              <w:spacing w:after="0"/>
              <w:rPr>
                <w:sz w:val="1"/>
                <w:szCs w:val="1"/>
                <w:color w:val="auto"/>
              </w:rPr>
            </w:pPr>
          </w:p>
        </w:tc>
      </w:tr>
      <w:tr>
        <w:trPr>
          <w:trHeight w:val="135"/>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$517.6</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$630.4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78040" cy="971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7155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80" w:type="dxa"/>
            <w:vAlign w:val="bottom"/>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2200" w:type="dxa"/>
            <w:vAlign w:val="bottom"/>
            <w:shd w:val="clear" w:color="auto" w:fill="B14A32"/>
          </w:tcPr>
          <w:p>
            <w:pPr>
              <w:spacing w:after="0"/>
              <w:rPr>
                <w:sz w:val="12"/>
                <w:szCs w:val="12"/>
                <w:color w:val="auto"/>
              </w:rPr>
            </w:pPr>
          </w:p>
        </w:tc>
        <w:tc>
          <w:tcPr>
            <w:tcW w:w="5020" w:type="dxa"/>
            <w:vAlign w:val="bottom"/>
            <w:gridSpan w:val="2"/>
            <w:shd w:val="clear" w:color="auto" w:fill="B14A32"/>
          </w:tcPr>
          <w:p>
            <w:pPr>
              <w:ind w:left="1700"/>
              <w:spacing w:after="0"/>
              <w:rPr>
                <w:sz w:val="20"/>
                <w:szCs w:val="20"/>
                <w:color w:val="auto"/>
              </w:rPr>
            </w:pPr>
            <w:r>
              <w:rPr>
                <w:rFonts w:ascii="Arial" w:cs="Arial" w:eastAsia="Arial" w:hAnsi="Arial"/>
                <w:sz w:val="11"/>
                <w:szCs w:val="11"/>
                <w:b w:val="1"/>
                <w:bCs w:val="1"/>
                <w:color w:val="FFFFFF"/>
              </w:rPr>
              <w:t>Revised 2022 Full Year Forecast</w:t>
            </w: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4680" w:type="dxa"/>
            <w:vAlign w:val="bottom"/>
            <w:gridSpan w:val="2"/>
            <w:shd w:val="clear" w:color="auto" w:fill="CCCCCC"/>
          </w:tcPr>
          <w:p>
            <w:pPr>
              <w:jc w:val="right"/>
              <w:spacing w:after="0"/>
              <w:rPr>
                <w:sz w:val="20"/>
                <w:szCs w:val="20"/>
                <w:color w:val="auto"/>
              </w:rPr>
            </w:pPr>
            <w:r>
              <w:rPr>
                <w:rFonts w:ascii="Arial" w:cs="Arial" w:eastAsia="Arial" w:hAnsi="Arial"/>
                <w:sz w:val="11"/>
                <w:szCs w:val="11"/>
                <w:color w:val="auto"/>
              </w:rPr>
              <w:t>$45</w:t>
            </w:r>
          </w:p>
        </w:tc>
        <w:tc>
          <w:tcPr>
            <w:tcW w:w="2540" w:type="dxa"/>
            <w:vAlign w:val="bottom"/>
            <w:shd w:val="clear" w:color="auto" w:fill="CCCCCC"/>
          </w:tcPr>
          <w:p>
            <w:pPr>
              <w:ind w:left="20"/>
              <w:spacing w:after="0"/>
              <w:rPr>
                <w:sz w:val="20"/>
                <w:szCs w:val="20"/>
                <w:color w:val="auto"/>
              </w:rPr>
            </w:pPr>
            <w:r>
              <w:rPr>
                <w:rFonts w:ascii="Arial" w:cs="Arial" w:eastAsia="Arial" w:hAnsi="Arial"/>
                <w:sz w:val="11"/>
                <w:szCs w:val="11"/>
                <w:color w:val="auto"/>
              </w:rPr>
              <w:t>- $90</w:t>
            </w: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2480" w:type="dxa"/>
            <w:vAlign w:val="bottom"/>
            <w:shd w:val="clear" w:color="auto" w:fill="CCCCCC"/>
          </w:tcPr>
          <w:p>
            <w:pPr>
              <w:spacing w:after="0"/>
              <w:rPr>
                <w:sz w:val="13"/>
                <w:szCs w:val="13"/>
                <w:color w:val="auto"/>
              </w:rPr>
            </w:pPr>
          </w:p>
        </w:tc>
        <w:tc>
          <w:tcPr>
            <w:tcW w:w="2540" w:type="dxa"/>
            <w:vAlign w:val="bottom"/>
            <w:shd w:val="clear" w:color="auto" w:fill="CCCCCC"/>
          </w:tcPr>
          <w:p>
            <w:pPr>
              <w:spacing w:after="0"/>
              <w:rPr>
                <w:sz w:val="13"/>
                <w:szCs w:val="13"/>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2200" w:type="dxa"/>
            <w:vAlign w:val="bottom"/>
            <w:shd w:val="clear" w:color="auto" w:fill="CCCCCC"/>
          </w:tcPr>
          <w:p>
            <w:pPr>
              <w:spacing w:after="0"/>
              <w:rPr>
                <w:sz w:val="13"/>
                <w:szCs w:val="13"/>
                <w:color w:val="auto"/>
              </w:rPr>
            </w:pPr>
          </w:p>
        </w:tc>
        <w:tc>
          <w:tcPr>
            <w:tcW w:w="5020" w:type="dxa"/>
            <w:vAlign w:val="bottom"/>
            <w:gridSpan w:val="2"/>
            <w:shd w:val="clear" w:color="auto" w:fill="CCCCCC"/>
          </w:tcPr>
          <w:p>
            <w:pPr>
              <w:jc w:val="center"/>
              <w:spacing w:after="0"/>
              <w:rPr>
                <w:sz w:val="20"/>
                <w:szCs w:val="20"/>
                <w:color w:val="auto"/>
              </w:rPr>
            </w:pPr>
            <w:r>
              <w:rPr>
                <w:rFonts w:ascii="Arial" w:cs="Arial" w:eastAsia="Arial" w:hAnsi="Arial"/>
                <w:sz w:val="11"/>
                <w:szCs w:val="11"/>
                <w:color w:val="auto"/>
                <w:w w:val="97"/>
              </w:rPr>
              <w:t>133</w:t>
            </w: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Provision for income taxes</w:t>
            </w:r>
          </w:p>
        </w:tc>
        <w:tc>
          <w:tcPr>
            <w:tcW w:w="2200" w:type="dxa"/>
            <w:vAlign w:val="bottom"/>
            <w:shd w:val="clear" w:color="auto" w:fill="CCCCCC"/>
          </w:tcPr>
          <w:p>
            <w:pPr>
              <w:spacing w:after="0"/>
              <w:rPr>
                <w:sz w:val="13"/>
                <w:szCs w:val="13"/>
                <w:color w:val="auto"/>
              </w:rPr>
            </w:pPr>
          </w:p>
        </w:tc>
        <w:tc>
          <w:tcPr>
            <w:tcW w:w="24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26</w:t>
            </w:r>
          </w:p>
        </w:tc>
        <w:tc>
          <w:tcPr>
            <w:tcW w:w="2540" w:type="dxa"/>
            <w:vAlign w:val="bottom"/>
            <w:shd w:val="clear" w:color="auto" w:fill="CCCCCC"/>
          </w:tcPr>
          <w:p>
            <w:pPr>
              <w:ind w:left="20"/>
              <w:spacing w:after="0"/>
              <w:rPr>
                <w:sz w:val="20"/>
                <w:szCs w:val="20"/>
                <w:color w:val="auto"/>
              </w:rPr>
            </w:pPr>
            <w:r>
              <w:rPr>
                <w:rFonts w:ascii="Arial" w:cs="Arial" w:eastAsia="Arial" w:hAnsi="Arial"/>
                <w:sz w:val="11"/>
                <w:szCs w:val="11"/>
                <w:color w:val="auto"/>
              </w:rPr>
              <w:t>- 41</w:t>
            </w: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2200" w:type="dxa"/>
            <w:vAlign w:val="bottom"/>
            <w:shd w:val="clear" w:color="auto" w:fill="CCCCCC"/>
          </w:tcPr>
          <w:p>
            <w:pPr>
              <w:spacing w:after="0"/>
              <w:rPr>
                <w:sz w:val="13"/>
                <w:szCs w:val="13"/>
                <w:color w:val="auto"/>
              </w:rPr>
            </w:pPr>
          </w:p>
        </w:tc>
        <w:tc>
          <w:tcPr>
            <w:tcW w:w="5020" w:type="dxa"/>
            <w:vAlign w:val="bottom"/>
            <w:gridSpan w:val="2"/>
            <w:shd w:val="clear" w:color="auto" w:fill="CCCCCC"/>
          </w:tcPr>
          <w:p>
            <w:pPr>
              <w:jc w:val="center"/>
              <w:spacing w:after="0"/>
              <w:rPr>
                <w:sz w:val="20"/>
                <w:szCs w:val="20"/>
                <w:color w:val="auto"/>
              </w:rPr>
            </w:pPr>
            <w:r>
              <w:rPr>
                <w:rFonts w:ascii="Arial" w:cs="Arial" w:eastAsia="Arial" w:hAnsi="Arial"/>
                <w:sz w:val="11"/>
                <w:szCs w:val="11"/>
                <w:color w:val="auto"/>
                <w:w w:val="97"/>
              </w:rPr>
              <w:t>33</w:t>
            </w: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2480" w:type="dxa"/>
            <w:vAlign w:val="bottom"/>
            <w:shd w:val="clear" w:color="auto" w:fill="CCCCCC"/>
          </w:tcPr>
          <w:p>
            <w:pPr>
              <w:spacing w:after="0"/>
              <w:rPr>
                <w:sz w:val="13"/>
                <w:szCs w:val="13"/>
                <w:color w:val="auto"/>
              </w:rPr>
            </w:pPr>
          </w:p>
        </w:tc>
        <w:tc>
          <w:tcPr>
            <w:tcW w:w="2540" w:type="dxa"/>
            <w:vAlign w:val="bottom"/>
            <w:shd w:val="clear" w:color="auto" w:fill="CCCCCC"/>
          </w:tcPr>
          <w:p>
            <w:pPr>
              <w:jc w:val="center"/>
              <w:ind w:right="2426"/>
              <w:spacing w:after="0"/>
              <w:rPr>
                <w:sz w:val="20"/>
                <w:szCs w:val="20"/>
                <w:color w:val="auto"/>
              </w:rPr>
            </w:pPr>
            <w:r>
              <w:rPr>
                <w:rFonts w:ascii="Arial" w:cs="Arial" w:eastAsia="Arial" w:hAnsi="Arial"/>
                <w:sz w:val="11"/>
                <w:szCs w:val="11"/>
                <w:color w:val="auto"/>
                <w:w w:val="97"/>
              </w:rPr>
              <w:t>1</w:t>
            </w:r>
          </w:p>
        </w:tc>
      </w:tr>
      <w:tr>
        <w:trPr>
          <w:trHeight w:val="155"/>
        </w:trPr>
        <w:tc>
          <w:tcPr>
            <w:tcW w:w="40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tcBorders>
              <w:bottom w:val="single" w:sz="8" w:color="CCCCCC"/>
            </w:tcBorders>
            <w:shd w:val="clear" w:color="auto" w:fill="CCCCCC"/>
          </w:tcPr>
          <w:p>
            <w:pPr>
              <w:spacing w:after="0"/>
              <w:rPr>
                <w:sz w:val="13"/>
                <w:szCs w:val="13"/>
                <w:color w:val="auto"/>
              </w:rPr>
            </w:pPr>
          </w:p>
        </w:tc>
        <w:tc>
          <w:tcPr>
            <w:tcW w:w="2480" w:type="dxa"/>
            <w:vAlign w:val="bottom"/>
            <w:tcBorders>
              <w:bottom w:val="single" w:sz="8" w:color="auto"/>
            </w:tcBorders>
            <w:shd w:val="clear" w:color="auto" w:fill="CCCCCC"/>
          </w:tcPr>
          <w:p>
            <w:pPr>
              <w:spacing w:after="0"/>
              <w:rPr>
                <w:sz w:val="13"/>
                <w:szCs w:val="13"/>
                <w:color w:val="auto"/>
              </w:rPr>
            </w:pPr>
          </w:p>
        </w:tc>
        <w:tc>
          <w:tcPr>
            <w:tcW w:w="2540" w:type="dxa"/>
            <w:vAlign w:val="bottom"/>
            <w:tcBorders>
              <w:bottom w:val="single" w:sz="8" w:color="auto"/>
            </w:tcBorders>
            <w:shd w:val="clear" w:color="auto" w:fill="CCCCCC"/>
          </w:tcPr>
          <w:p>
            <w:pPr>
              <w:jc w:val="center"/>
              <w:ind w:right="2426"/>
              <w:spacing w:after="0"/>
              <w:rPr>
                <w:sz w:val="20"/>
                <w:szCs w:val="20"/>
                <w:color w:val="auto"/>
              </w:rPr>
            </w:pPr>
            <w:r>
              <w:rPr>
                <w:rFonts w:ascii="Arial" w:cs="Arial" w:eastAsia="Arial" w:hAnsi="Arial"/>
                <w:sz w:val="11"/>
                <w:szCs w:val="11"/>
                <w:color w:val="auto"/>
                <w:w w:val="97"/>
              </w:rPr>
              <w:t>2</w:t>
            </w: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24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1"/>
                <w:szCs w:val="11"/>
                <w:color w:val="auto"/>
              </w:rPr>
              <w:t>$195</w:t>
            </w:r>
          </w:p>
        </w:tc>
        <w:tc>
          <w:tcPr>
            <w:tcW w:w="254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1"/>
                <w:szCs w:val="11"/>
                <w:color w:val="auto"/>
              </w:rPr>
              <w:t>- $210</w:t>
            </w: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2200" w:type="dxa"/>
            <w:vAlign w:val="bottom"/>
            <w:shd w:val="clear" w:color="auto" w:fill="CCCCCC"/>
          </w:tcPr>
          <w:p>
            <w:pPr>
              <w:spacing w:after="0"/>
              <w:rPr>
                <w:sz w:val="11"/>
                <w:szCs w:val="11"/>
                <w:color w:val="auto"/>
              </w:rPr>
            </w:pPr>
          </w:p>
        </w:tc>
        <w:tc>
          <w:tcPr>
            <w:tcW w:w="24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$240</w:t>
            </w:r>
          </w:p>
        </w:tc>
        <w:tc>
          <w:tcPr>
            <w:tcW w:w="2540" w:type="dxa"/>
            <w:vAlign w:val="bottom"/>
            <w:shd w:val="clear" w:color="auto" w:fill="CCCCCC"/>
          </w:tcPr>
          <w:p>
            <w:pPr>
              <w:ind w:left="20"/>
              <w:spacing w:after="0"/>
              <w:rPr>
                <w:sz w:val="20"/>
                <w:szCs w:val="20"/>
                <w:color w:val="auto"/>
              </w:rPr>
            </w:pPr>
            <w:r>
              <w:rPr>
                <w:rFonts w:ascii="Arial" w:cs="Arial" w:eastAsia="Arial" w:hAnsi="Arial"/>
                <w:sz w:val="11"/>
                <w:szCs w:val="11"/>
                <w:color w:val="auto"/>
              </w:rPr>
              <w:t>- $300</w:t>
            </w:r>
          </w:p>
        </w:tc>
      </w:tr>
      <w:tr>
        <w:trPr>
          <w:trHeight w:val="752"/>
        </w:trPr>
        <w:tc>
          <w:tcPr>
            <w:tcW w:w="4080" w:type="dxa"/>
            <w:vAlign w:val="bottom"/>
          </w:tcPr>
          <w:p>
            <w:pPr>
              <w:spacing w:after="0"/>
              <w:rPr>
                <w:sz w:val="24"/>
                <w:szCs w:val="24"/>
                <w:color w:val="auto"/>
              </w:rPr>
            </w:pPr>
          </w:p>
        </w:tc>
        <w:tc>
          <w:tcPr>
            <w:tcW w:w="4680" w:type="dxa"/>
            <w:vAlign w:val="bottom"/>
            <w:gridSpan w:val="2"/>
          </w:tcPr>
          <w:p>
            <w:pPr>
              <w:jc w:val="right"/>
              <w:ind w:right="2866"/>
              <w:spacing w:after="0"/>
              <w:rPr>
                <w:sz w:val="20"/>
                <w:szCs w:val="20"/>
                <w:color w:val="auto"/>
              </w:rPr>
            </w:pPr>
            <w:r>
              <w:rPr>
                <w:rFonts w:ascii="Arial" w:cs="Arial" w:eastAsia="Arial" w:hAnsi="Arial"/>
                <w:sz w:val="11"/>
                <w:szCs w:val="11"/>
                <w:color w:val="auto"/>
              </w:rPr>
              <w:t>15 of 18</w:t>
            </w:r>
          </w:p>
        </w:tc>
        <w:tc>
          <w:tcPr>
            <w:tcW w:w="2540" w:type="dxa"/>
            <w:vAlign w:val="bottom"/>
          </w:tcPr>
          <w:p>
            <w:pPr>
              <w:spacing w:after="0"/>
              <w:rPr>
                <w:sz w:val="24"/>
                <w:szCs w:val="24"/>
                <w:color w:val="auto"/>
              </w:rPr>
            </w:pPr>
          </w:p>
        </w:tc>
      </w:tr>
    </w:tbl>
    <w:p>
      <w:pPr>
        <w:sectPr>
          <w:pgSz w:w="11900" w:h="16838" w:orient="portrait"/>
          <w:cols w:equalWidth="0" w:num="1">
            <w:col w:w="11300"/>
          </w:cols>
          <w:pgMar w:left="300" w:top="638"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Reconciliation of Gross Margin and Adjusted Gross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78040" cy="180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80022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1300" w:type="dxa"/>
            <w:vAlign w:val="bottom"/>
            <w:shd w:val="clear" w:color="auto" w:fill="B14A32"/>
          </w:tcPr>
          <w:p>
            <w:pPr>
              <w:spacing w:after="0"/>
              <w:rPr>
                <w:sz w:val="13"/>
                <w:szCs w:val="13"/>
                <w:color w:val="auto"/>
              </w:rPr>
            </w:pPr>
          </w:p>
        </w:tc>
        <w:tc>
          <w:tcPr>
            <w:tcW w:w="1520" w:type="dxa"/>
            <w:vAlign w:val="bottom"/>
            <w:shd w:val="clear" w:color="auto" w:fill="B14A32"/>
          </w:tcPr>
          <w:p>
            <w:pPr>
              <w:spacing w:after="0"/>
              <w:rPr>
                <w:sz w:val="13"/>
                <w:szCs w:val="13"/>
                <w:color w:val="auto"/>
              </w:rPr>
            </w:pPr>
          </w:p>
        </w:tc>
        <w:tc>
          <w:tcPr>
            <w:tcW w:w="3500" w:type="dxa"/>
            <w:vAlign w:val="bottom"/>
            <w:shd w:val="clear" w:color="auto" w:fill="B14A32"/>
          </w:tcPr>
          <w:p>
            <w:pPr>
              <w:jc w:val="center"/>
              <w:ind w:right="1446"/>
              <w:spacing w:after="0"/>
              <w:rPr>
                <w:sz w:val="20"/>
                <w:szCs w:val="20"/>
                <w:color w:val="auto"/>
              </w:rPr>
            </w:pPr>
            <w:r>
              <w:rPr>
                <w:rFonts w:ascii="Arial" w:cs="Arial" w:eastAsia="Arial" w:hAnsi="Arial"/>
                <w:sz w:val="11"/>
                <w:szCs w:val="11"/>
                <w:b w:val="1"/>
                <w:bCs w:val="1"/>
                <w:color w:val="FFFFFF"/>
                <w:w w:val="98"/>
              </w:rPr>
              <w:t>Three Months Ended December 31,</w:t>
            </w:r>
          </w:p>
        </w:tc>
        <w:tc>
          <w:tcPr>
            <w:tcW w:w="0" w:type="dxa"/>
            <w:vAlign w:val="bottom"/>
          </w:tcPr>
          <w:p>
            <w:pPr>
              <w:spacing w:after="0"/>
              <w:rPr>
                <w:sz w:val="1"/>
                <w:szCs w:val="1"/>
                <w:color w:val="auto"/>
              </w:rPr>
            </w:pPr>
          </w:p>
        </w:tc>
      </w:tr>
      <w:tr>
        <w:trPr>
          <w:trHeight w:val="70"/>
        </w:trPr>
        <w:tc>
          <w:tcPr>
            <w:tcW w:w="4980" w:type="dxa"/>
            <w:vAlign w:val="bottom"/>
            <w:vMerge w:val="continue"/>
            <w:shd w:val="clear" w:color="auto" w:fill="B14A32"/>
          </w:tcPr>
          <w:p>
            <w:pPr>
              <w:spacing w:after="0"/>
              <w:rPr>
                <w:sz w:val="6"/>
                <w:szCs w:val="6"/>
                <w:color w:val="auto"/>
              </w:rPr>
            </w:pPr>
          </w:p>
        </w:tc>
        <w:tc>
          <w:tcPr>
            <w:tcW w:w="2820" w:type="dxa"/>
            <w:vAlign w:val="bottom"/>
            <w:gridSpan w:val="2"/>
            <w:vMerge w:val="restart"/>
            <w:shd w:val="clear" w:color="auto" w:fill="B14A32"/>
          </w:tcPr>
          <w:p>
            <w:pPr>
              <w:jc w:val="center"/>
              <w:ind w:left="224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vMerge w:val="restart"/>
            <w:shd w:val="clear" w:color="auto" w:fill="B14A32"/>
          </w:tcPr>
          <w:p>
            <w:pPr>
              <w:jc w:val="center"/>
              <w:ind w:left="92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4980" w:type="dxa"/>
            <w:vAlign w:val="bottom"/>
            <w:tcBorders>
              <w:bottom w:val="single" w:sz="8" w:color="B14A32"/>
            </w:tcBorders>
            <w:shd w:val="clear" w:color="auto" w:fill="B14A32"/>
          </w:tcPr>
          <w:p>
            <w:pPr>
              <w:spacing w:after="0"/>
              <w:rPr>
                <w:sz w:val="6"/>
                <w:szCs w:val="6"/>
                <w:color w:val="auto"/>
              </w:rPr>
            </w:pPr>
          </w:p>
        </w:tc>
        <w:tc>
          <w:tcPr>
            <w:tcW w:w="2820" w:type="dxa"/>
            <w:vAlign w:val="bottom"/>
            <w:tcBorders>
              <w:bottom w:val="single" w:sz="8" w:color="B14A32"/>
            </w:tcBorders>
            <w:gridSpan w:val="2"/>
            <w:vMerge w:val="continue"/>
            <w:shd w:val="clear" w:color="auto" w:fill="B14A32"/>
          </w:tcPr>
          <w:p>
            <w:pPr>
              <w:spacing w:after="0"/>
              <w:rPr>
                <w:sz w:val="6"/>
                <w:szCs w:val="6"/>
                <w:color w:val="auto"/>
              </w:rPr>
            </w:pPr>
          </w:p>
        </w:tc>
        <w:tc>
          <w:tcPr>
            <w:tcW w:w="350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Total revenues</w:t>
            </w:r>
          </w:p>
        </w:tc>
        <w:tc>
          <w:tcPr>
            <w:tcW w:w="1300" w:type="dxa"/>
            <w:vAlign w:val="bottom"/>
            <w:shd w:val="clear" w:color="auto" w:fill="CCCCCC"/>
          </w:tcPr>
          <w:p>
            <w:pPr>
              <w:spacing w:after="0"/>
              <w:rPr>
                <w:sz w:val="12"/>
                <w:szCs w:val="12"/>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$723.2</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$583.0</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 and grants revenues</w:t>
            </w:r>
          </w:p>
        </w:tc>
        <w:tc>
          <w:tcPr>
            <w:tcW w:w="1300" w:type="dxa"/>
            <w:vAlign w:val="bottom"/>
            <w:tcBorders>
              <w:bottom w:val="single" w:sz="8" w:color="CCCCCC"/>
            </w:tcBorders>
            <w:shd w:val="clear" w:color="auto" w:fill="CCCCCC"/>
          </w:tcPr>
          <w:p>
            <w:pPr>
              <w:spacing w:after="0"/>
              <w:rPr>
                <w:sz w:val="13"/>
                <w:szCs w:val="13"/>
                <w:color w:val="auto"/>
              </w:rPr>
            </w:pP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7"/>
              </w:rPr>
              <w:t>(70.6)</w:t>
            </w:r>
          </w:p>
        </w:tc>
        <w:tc>
          <w:tcPr>
            <w:tcW w:w="350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7"/>
              </w:rPr>
              <w:t>(43.0)</w:t>
            </w:r>
          </w:p>
        </w:tc>
        <w:tc>
          <w:tcPr>
            <w:tcW w:w="0" w:type="dxa"/>
            <w:vAlign w:val="bottom"/>
          </w:tcPr>
          <w:p>
            <w:pPr>
              <w:spacing w:after="0"/>
              <w:rPr>
                <w:sz w:val="1"/>
                <w:szCs w:val="1"/>
                <w:color w:val="auto"/>
              </w:rPr>
            </w:pP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revenues</w:t>
            </w:r>
          </w:p>
        </w:tc>
        <w:tc>
          <w:tcPr>
            <w:tcW w:w="1300" w:type="dxa"/>
            <w:vAlign w:val="bottom"/>
            <w:shd w:val="clear" w:color="auto" w:fill="CCCCCC"/>
          </w:tcPr>
          <w:p>
            <w:pPr>
              <w:spacing w:after="0"/>
              <w:rPr>
                <w:sz w:val="11"/>
                <w:szCs w:val="11"/>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$652.6</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$540.0</w:t>
            </w:r>
          </w:p>
        </w:tc>
        <w:tc>
          <w:tcPr>
            <w:tcW w:w="0" w:type="dxa"/>
            <w:vAlign w:val="bottom"/>
          </w:tcPr>
          <w:p>
            <w:pPr>
              <w:spacing w:after="0"/>
              <w:rPr>
                <w:sz w:val="1"/>
                <w:szCs w:val="1"/>
                <w:color w:val="auto"/>
              </w:rPr>
            </w:pPr>
          </w:p>
        </w:tc>
      </w:tr>
      <w:tr>
        <w:trPr>
          <w:trHeight w:val="324"/>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Cost of product sales</w:t>
            </w:r>
          </w:p>
        </w:tc>
        <w:tc>
          <w:tcPr>
            <w:tcW w:w="130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$145.0</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$104.4</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Cost of contract development and manufacturing</w:t>
            </w:r>
          </w:p>
        </w:tc>
        <w:tc>
          <w:tcPr>
            <w:tcW w:w="1300" w:type="dxa"/>
            <w:vAlign w:val="bottom"/>
            <w:tcBorders>
              <w:bottom w:val="single" w:sz="8" w:color="CCCCCC"/>
            </w:tcBorders>
            <w:shd w:val="clear" w:color="auto" w:fill="CCCCCC"/>
          </w:tcPr>
          <w:p>
            <w:pPr>
              <w:spacing w:after="0"/>
              <w:rPr>
                <w:sz w:val="13"/>
                <w:szCs w:val="13"/>
                <w:color w:val="auto"/>
              </w:rPr>
            </w:pP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$67.9</w:t>
            </w:r>
          </w:p>
        </w:tc>
        <w:tc>
          <w:tcPr>
            <w:tcW w:w="350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rPr>
              <w:t>$63.9</w:t>
            </w:r>
          </w:p>
        </w:tc>
        <w:tc>
          <w:tcPr>
            <w:tcW w:w="0" w:type="dxa"/>
            <w:vAlign w:val="bottom"/>
          </w:tcPr>
          <w:p>
            <w:pPr>
              <w:spacing w:after="0"/>
              <w:rPr>
                <w:sz w:val="1"/>
                <w:szCs w:val="1"/>
                <w:color w:val="auto"/>
              </w:rPr>
            </w:pP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and cost of contract development and manufacturing services ("COGS")</w:t>
            </w:r>
          </w:p>
        </w:tc>
        <w:tc>
          <w:tcPr>
            <w:tcW w:w="1300" w:type="dxa"/>
            <w:vAlign w:val="bottom"/>
            <w:shd w:val="clear" w:color="auto" w:fill="CCCCCC"/>
          </w:tcPr>
          <w:p>
            <w:pPr>
              <w:spacing w:after="0"/>
              <w:rPr>
                <w:sz w:val="11"/>
                <w:szCs w:val="11"/>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$212.9</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$168.3</w:t>
            </w:r>
          </w:p>
        </w:tc>
        <w:tc>
          <w:tcPr>
            <w:tcW w:w="0" w:type="dxa"/>
            <w:vAlign w:val="bottom"/>
          </w:tcPr>
          <w:p>
            <w:pPr>
              <w:spacing w:after="0"/>
              <w:rPr>
                <w:sz w:val="1"/>
                <w:szCs w:val="1"/>
                <w:color w:val="auto"/>
              </w:rPr>
            </w:pPr>
          </w:p>
        </w:tc>
      </w:tr>
      <w:tr>
        <w:trPr>
          <w:trHeight w:val="153"/>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30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(0.3)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(0.4)</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300" w:type="dxa"/>
            <w:vAlign w:val="bottom"/>
            <w:tcBorders>
              <w:bottom w:val="single" w:sz="8" w:color="CCCCCC"/>
            </w:tcBorders>
            <w:shd w:val="clear" w:color="auto" w:fill="CCCCCC"/>
          </w:tcPr>
          <w:p>
            <w:pPr>
              <w:spacing w:after="0"/>
              <w:rPr>
                <w:sz w:val="13"/>
                <w:szCs w:val="13"/>
                <w:color w:val="auto"/>
              </w:rPr>
            </w:pP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1"/>
              </w:rPr>
              <w:t>1.5</w:t>
            </w:r>
          </w:p>
        </w:tc>
        <w:tc>
          <w:tcPr>
            <w:tcW w:w="0" w:type="dxa"/>
            <w:vAlign w:val="bottom"/>
          </w:tcPr>
          <w:p>
            <w:pPr>
              <w:spacing w:after="0"/>
              <w:rPr>
                <w:sz w:val="1"/>
                <w:szCs w:val="1"/>
                <w:color w:val="auto"/>
              </w:rPr>
            </w:pP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COGS</w:t>
            </w:r>
          </w:p>
        </w:tc>
        <w:tc>
          <w:tcPr>
            <w:tcW w:w="1300" w:type="dxa"/>
            <w:vAlign w:val="bottom"/>
            <w:shd w:val="clear" w:color="auto" w:fill="CCCCCC"/>
          </w:tcPr>
          <w:p>
            <w:pPr>
              <w:spacing w:after="0"/>
              <w:rPr>
                <w:sz w:val="11"/>
                <w:szCs w:val="11"/>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$212.6</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$169.4</w:t>
            </w:r>
          </w:p>
        </w:tc>
        <w:tc>
          <w:tcPr>
            <w:tcW w:w="0" w:type="dxa"/>
            <w:vAlign w:val="bottom"/>
          </w:tcPr>
          <w:p>
            <w:pPr>
              <w:spacing w:after="0"/>
              <w:rPr>
                <w:sz w:val="1"/>
                <w:szCs w:val="1"/>
                <w:color w:val="auto"/>
              </w:rPr>
            </w:pP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(adjusted revenues minus COGS)</w:t>
            </w:r>
          </w:p>
        </w:tc>
        <w:tc>
          <w:tcPr>
            <w:tcW w:w="130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$439.7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$371.7</w:t>
            </w:r>
          </w:p>
        </w:tc>
        <w:tc>
          <w:tcPr>
            <w:tcW w:w="0" w:type="dxa"/>
            <w:vAlign w:val="bottom"/>
          </w:tcPr>
          <w:p>
            <w:pPr>
              <w:spacing w:after="0"/>
              <w:rPr>
                <w:sz w:val="1"/>
                <w:szCs w:val="1"/>
                <w:color w:val="auto"/>
              </w:rPr>
            </w:pPr>
          </w:p>
        </w:tc>
      </w:tr>
      <w:tr>
        <w:trPr>
          <w:trHeight w:val="153"/>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 (gross margin divided by adjusted revenues)</w:t>
            </w:r>
          </w:p>
        </w:tc>
        <w:tc>
          <w:tcPr>
            <w:tcW w:w="130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67%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69%</w:t>
            </w:r>
          </w:p>
        </w:tc>
        <w:tc>
          <w:tcPr>
            <w:tcW w:w="0" w:type="dxa"/>
            <w:vAlign w:val="bottom"/>
          </w:tcPr>
          <w:p>
            <w:pPr>
              <w:spacing w:after="0"/>
              <w:rPr>
                <w:sz w:val="1"/>
                <w:szCs w:val="1"/>
                <w:color w:val="auto"/>
              </w:rPr>
            </w:pP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(adjusted revenues minus adjusted COGS)</w:t>
            </w:r>
          </w:p>
        </w:tc>
        <w:tc>
          <w:tcPr>
            <w:tcW w:w="130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$440.0</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$370.6</w:t>
            </w:r>
          </w:p>
        </w:tc>
        <w:tc>
          <w:tcPr>
            <w:tcW w:w="0" w:type="dxa"/>
            <w:vAlign w:val="bottom"/>
          </w:tcPr>
          <w:p>
            <w:pPr>
              <w:spacing w:after="0"/>
              <w:rPr>
                <w:sz w:val="1"/>
                <w:szCs w:val="1"/>
                <w:color w:val="auto"/>
              </w:rPr>
            </w:pPr>
          </w:p>
        </w:tc>
      </w:tr>
      <w:tr>
        <w:trPr>
          <w:trHeight w:val="157"/>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 (adjusted gross margin divided by adjusted revenues)</w:t>
            </w:r>
          </w:p>
        </w:tc>
        <w:tc>
          <w:tcPr>
            <w:tcW w:w="130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67%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69%</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1300" w:type="dxa"/>
            <w:vAlign w:val="bottom"/>
            <w:shd w:val="clear" w:color="auto" w:fill="B14A32"/>
          </w:tcPr>
          <w:p>
            <w:pPr>
              <w:spacing w:after="0"/>
              <w:rPr>
                <w:sz w:val="12"/>
                <w:szCs w:val="12"/>
                <w:color w:val="auto"/>
              </w:rPr>
            </w:pPr>
          </w:p>
        </w:tc>
        <w:tc>
          <w:tcPr>
            <w:tcW w:w="1520" w:type="dxa"/>
            <w:vAlign w:val="bottom"/>
            <w:shd w:val="clear" w:color="auto" w:fill="B14A32"/>
          </w:tcPr>
          <w:p>
            <w:pPr>
              <w:spacing w:after="0"/>
              <w:rPr>
                <w:sz w:val="12"/>
                <w:szCs w:val="12"/>
                <w:color w:val="auto"/>
              </w:rPr>
            </w:pPr>
          </w:p>
        </w:tc>
        <w:tc>
          <w:tcPr>
            <w:tcW w:w="3500" w:type="dxa"/>
            <w:vAlign w:val="bottom"/>
            <w:shd w:val="clear" w:color="auto" w:fill="B14A32"/>
          </w:tcPr>
          <w:p>
            <w:pPr>
              <w:jc w:val="center"/>
              <w:ind w:right="1466"/>
              <w:spacing w:after="0"/>
              <w:rPr>
                <w:sz w:val="20"/>
                <w:szCs w:val="20"/>
                <w:color w:val="auto"/>
              </w:rPr>
            </w:pPr>
            <w:r>
              <w:rPr>
                <w:rFonts w:ascii="Arial" w:cs="Arial" w:eastAsia="Arial" w:hAnsi="Arial"/>
                <w:sz w:val="11"/>
                <w:szCs w:val="11"/>
                <w:b w:val="1"/>
                <w:bCs w:val="1"/>
                <w:color w:val="FFFFFF"/>
                <w:w w:val="97"/>
              </w:rPr>
              <w:t>Twelve Months Ended December 31,</w:t>
            </w:r>
          </w:p>
        </w:tc>
        <w:tc>
          <w:tcPr>
            <w:tcW w:w="0" w:type="dxa"/>
            <w:vAlign w:val="bottom"/>
          </w:tcPr>
          <w:p>
            <w:pPr>
              <w:spacing w:after="0"/>
              <w:rPr>
                <w:sz w:val="1"/>
                <w:szCs w:val="1"/>
                <w:color w:val="auto"/>
              </w:rPr>
            </w:pPr>
          </w:p>
        </w:tc>
      </w:tr>
      <w:tr>
        <w:trPr>
          <w:trHeight w:val="88"/>
        </w:trPr>
        <w:tc>
          <w:tcPr>
            <w:tcW w:w="4980" w:type="dxa"/>
            <w:vAlign w:val="bottom"/>
            <w:vMerge w:val="continue"/>
            <w:shd w:val="clear" w:color="auto" w:fill="B14A32"/>
          </w:tcPr>
          <w:p>
            <w:pPr>
              <w:spacing w:after="0"/>
              <w:rPr>
                <w:sz w:val="7"/>
                <w:szCs w:val="7"/>
                <w:color w:val="auto"/>
              </w:rPr>
            </w:pPr>
          </w:p>
        </w:tc>
        <w:tc>
          <w:tcPr>
            <w:tcW w:w="2820" w:type="dxa"/>
            <w:vAlign w:val="bottom"/>
            <w:gridSpan w:val="2"/>
            <w:vMerge w:val="restart"/>
            <w:shd w:val="clear" w:color="auto" w:fill="B14A32"/>
          </w:tcPr>
          <w:p>
            <w:pPr>
              <w:jc w:val="center"/>
              <w:ind w:left="224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vMerge w:val="restart"/>
            <w:shd w:val="clear" w:color="auto" w:fill="B14A32"/>
          </w:tcPr>
          <w:p>
            <w:pPr>
              <w:jc w:val="center"/>
              <w:ind w:left="92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4980" w:type="dxa"/>
            <w:vAlign w:val="bottom"/>
            <w:tcBorders>
              <w:bottom w:val="single" w:sz="8" w:color="B14A32"/>
            </w:tcBorders>
            <w:shd w:val="clear" w:color="auto" w:fill="B14A32"/>
          </w:tcPr>
          <w:p>
            <w:pPr>
              <w:spacing w:after="0"/>
              <w:rPr>
                <w:sz w:val="6"/>
                <w:szCs w:val="6"/>
                <w:color w:val="auto"/>
              </w:rPr>
            </w:pPr>
          </w:p>
        </w:tc>
        <w:tc>
          <w:tcPr>
            <w:tcW w:w="2820" w:type="dxa"/>
            <w:vAlign w:val="bottom"/>
            <w:tcBorders>
              <w:bottom w:val="single" w:sz="8" w:color="B14A32"/>
            </w:tcBorders>
            <w:gridSpan w:val="2"/>
            <w:vMerge w:val="continue"/>
            <w:shd w:val="clear" w:color="auto" w:fill="B14A32"/>
          </w:tcPr>
          <w:p>
            <w:pPr>
              <w:spacing w:after="0"/>
              <w:rPr>
                <w:sz w:val="6"/>
                <w:szCs w:val="6"/>
                <w:color w:val="auto"/>
              </w:rPr>
            </w:pPr>
          </w:p>
        </w:tc>
        <w:tc>
          <w:tcPr>
            <w:tcW w:w="350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Total revenues</w:t>
            </w:r>
          </w:p>
        </w:tc>
        <w:tc>
          <w:tcPr>
            <w:tcW w:w="1300" w:type="dxa"/>
            <w:vAlign w:val="bottom"/>
            <w:shd w:val="clear" w:color="auto" w:fill="CCCCCC"/>
          </w:tcPr>
          <w:p>
            <w:pPr>
              <w:spacing w:after="0"/>
              <w:rPr>
                <w:sz w:val="12"/>
                <w:szCs w:val="12"/>
                <w:color w:val="auto"/>
              </w:rPr>
            </w:pP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$1,792.7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$1,555.4</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 and grants revenues</w:t>
            </w:r>
          </w:p>
        </w:tc>
        <w:tc>
          <w:tcPr>
            <w:tcW w:w="1300" w:type="dxa"/>
            <w:vAlign w:val="bottom"/>
            <w:tcBorders>
              <w:bottom w:val="single" w:sz="8" w:color="CCCCCC"/>
            </w:tcBorders>
            <w:shd w:val="clear" w:color="auto" w:fill="CCCCCC"/>
          </w:tcPr>
          <w:p>
            <w:pPr>
              <w:spacing w:after="0"/>
              <w:rPr>
                <w:sz w:val="13"/>
                <w:szCs w:val="13"/>
                <w:color w:val="auto"/>
              </w:rPr>
            </w:pPr>
          </w:p>
        </w:tc>
        <w:tc>
          <w:tcPr>
            <w:tcW w:w="152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7"/>
              </w:rPr>
              <w:t>(134.2)</w:t>
            </w:r>
          </w:p>
        </w:tc>
        <w:tc>
          <w:tcPr>
            <w:tcW w:w="350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7"/>
              </w:rPr>
              <w:t>($115.1)</w:t>
            </w:r>
          </w:p>
        </w:tc>
        <w:tc>
          <w:tcPr>
            <w:tcW w:w="0" w:type="dxa"/>
            <w:vAlign w:val="bottom"/>
          </w:tcPr>
          <w:p>
            <w:pPr>
              <w:spacing w:after="0"/>
              <w:rPr>
                <w:sz w:val="1"/>
                <w:szCs w:val="1"/>
                <w:color w:val="auto"/>
              </w:rPr>
            </w:pP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revenues</w:t>
            </w:r>
          </w:p>
        </w:tc>
        <w:tc>
          <w:tcPr>
            <w:tcW w:w="1300" w:type="dxa"/>
            <w:vAlign w:val="bottom"/>
            <w:shd w:val="clear" w:color="auto" w:fill="CCCCCC"/>
          </w:tcPr>
          <w:p>
            <w:pPr>
              <w:spacing w:after="0"/>
              <w:rPr>
                <w:sz w:val="11"/>
                <w:szCs w:val="11"/>
                <w:color w:val="auto"/>
              </w:rPr>
            </w:pP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$1,658.5</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$1,440.3</w:t>
            </w:r>
          </w:p>
        </w:tc>
        <w:tc>
          <w:tcPr>
            <w:tcW w:w="0" w:type="dxa"/>
            <w:vAlign w:val="bottom"/>
          </w:tcPr>
          <w:p>
            <w:pPr>
              <w:spacing w:after="0"/>
              <w:rPr>
                <w:sz w:val="1"/>
                <w:szCs w:val="1"/>
                <w:color w:val="auto"/>
              </w:rPr>
            </w:pPr>
          </w:p>
        </w:tc>
      </w:tr>
      <w:tr>
        <w:trPr>
          <w:trHeight w:val="324"/>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Cost of product sales</w:t>
            </w:r>
          </w:p>
        </w:tc>
        <w:tc>
          <w:tcPr>
            <w:tcW w:w="130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$382.0</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$392.0</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Cost of contract development and manufacturing</w:t>
            </w:r>
          </w:p>
        </w:tc>
        <w:tc>
          <w:tcPr>
            <w:tcW w:w="1300" w:type="dxa"/>
            <w:vAlign w:val="bottom"/>
            <w:tcBorders>
              <w:bottom w:val="single" w:sz="8" w:color="CCCCCC"/>
            </w:tcBorders>
            <w:shd w:val="clear" w:color="auto" w:fill="CCCCCC"/>
          </w:tcPr>
          <w:p>
            <w:pPr>
              <w:spacing w:after="0"/>
              <w:rPr>
                <w:sz w:val="13"/>
                <w:szCs w:val="13"/>
                <w:color w:val="auto"/>
              </w:rPr>
            </w:pP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4"/>
              </w:rPr>
              <w:t>$375.5</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$132.0</w:t>
            </w:r>
          </w:p>
        </w:tc>
        <w:tc>
          <w:tcPr>
            <w:tcW w:w="0" w:type="dxa"/>
            <w:vAlign w:val="bottom"/>
          </w:tcPr>
          <w:p>
            <w:pPr>
              <w:spacing w:after="0"/>
              <w:rPr>
                <w:sz w:val="1"/>
                <w:szCs w:val="1"/>
                <w:color w:val="auto"/>
              </w:rPr>
            </w:pP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and cost of contract development and manufacturing services ("COGS")</w:t>
            </w:r>
          </w:p>
        </w:tc>
        <w:tc>
          <w:tcPr>
            <w:tcW w:w="1300" w:type="dxa"/>
            <w:vAlign w:val="bottom"/>
            <w:shd w:val="clear" w:color="auto" w:fill="CCCCCC"/>
          </w:tcPr>
          <w:p>
            <w:pPr>
              <w:spacing w:after="0"/>
              <w:rPr>
                <w:sz w:val="11"/>
                <w:szCs w:val="11"/>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$757.5</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$524.0</w:t>
            </w:r>
          </w:p>
        </w:tc>
        <w:tc>
          <w:tcPr>
            <w:tcW w:w="0" w:type="dxa"/>
            <w:vAlign w:val="bottom"/>
          </w:tcPr>
          <w:p>
            <w:pPr>
              <w:spacing w:after="0"/>
              <w:rPr>
                <w:sz w:val="1"/>
                <w:szCs w:val="1"/>
                <w:color w:val="auto"/>
              </w:rPr>
            </w:pPr>
          </w:p>
        </w:tc>
      </w:tr>
      <w:tr>
        <w:trPr>
          <w:trHeight w:val="153"/>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30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($2.9)</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($31.7)</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300" w:type="dxa"/>
            <w:vAlign w:val="bottom"/>
            <w:tcBorders>
              <w:bottom w:val="single" w:sz="8" w:color="CCCCCC"/>
            </w:tcBorders>
            <w:shd w:val="clear" w:color="auto" w:fill="CCCCCC"/>
          </w:tcPr>
          <w:p>
            <w:pPr>
              <w:spacing w:after="0"/>
              <w:rPr>
                <w:sz w:val="13"/>
                <w:szCs w:val="13"/>
                <w:color w:val="auto"/>
              </w:rPr>
            </w:pP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3"/>
              </w:rPr>
              <w:t>$—</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7"/>
              </w:rPr>
              <w:t>($12.6)</w:t>
            </w:r>
          </w:p>
        </w:tc>
        <w:tc>
          <w:tcPr>
            <w:tcW w:w="0" w:type="dxa"/>
            <w:vAlign w:val="bottom"/>
          </w:tcPr>
          <w:p>
            <w:pPr>
              <w:spacing w:after="0"/>
              <w:rPr>
                <w:sz w:val="1"/>
                <w:szCs w:val="1"/>
                <w:color w:val="auto"/>
              </w:rPr>
            </w:pP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COGS</w:t>
            </w:r>
          </w:p>
        </w:tc>
        <w:tc>
          <w:tcPr>
            <w:tcW w:w="1300" w:type="dxa"/>
            <w:vAlign w:val="bottom"/>
            <w:shd w:val="clear" w:color="auto" w:fill="CCCCCC"/>
          </w:tcPr>
          <w:p>
            <w:pPr>
              <w:spacing w:after="0"/>
              <w:rPr>
                <w:sz w:val="11"/>
                <w:szCs w:val="11"/>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$754.6</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$479.7</w:t>
            </w:r>
          </w:p>
        </w:tc>
        <w:tc>
          <w:tcPr>
            <w:tcW w:w="0" w:type="dxa"/>
            <w:vAlign w:val="bottom"/>
          </w:tcPr>
          <w:p>
            <w:pPr>
              <w:spacing w:after="0"/>
              <w:rPr>
                <w:sz w:val="1"/>
                <w:szCs w:val="1"/>
                <w:color w:val="auto"/>
              </w:rPr>
            </w:pP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(adjusted revenues minus COGS)</w:t>
            </w:r>
          </w:p>
        </w:tc>
        <w:tc>
          <w:tcPr>
            <w:tcW w:w="130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$901.0</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$916.3</w:t>
            </w:r>
          </w:p>
        </w:tc>
        <w:tc>
          <w:tcPr>
            <w:tcW w:w="0" w:type="dxa"/>
            <w:vAlign w:val="bottom"/>
          </w:tcPr>
          <w:p>
            <w:pPr>
              <w:spacing w:after="0"/>
              <w:rPr>
                <w:sz w:val="1"/>
                <w:szCs w:val="1"/>
                <w:color w:val="auto"/>
              </w:rPr>
            </w:pPr>
          </w:p>
        </w:tc>
      </w:tr>
      <w:tr>
        <w:trPr>
          <w:trHeight w:val="153"/>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 (gross margin divided by adjusted revenues)</w:t>
            </w:r>
          </w:p>
        </w:tc>
        <w:tc>
          <w:tcPr>
            <w:tcW w:w="130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54%</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64%</w:t>
            </w:r>
          </w:p>
        </w:tc>
        <w:tc>
          <w:tcPr>
            <w:tcW w:w="0" w:type="dxa"/>
            <w:vAlign w:val="bottom"/>
          </w:tcPr>
          <w:p>
            <w:pPr>
              <w:spacing w:after="0"/>
              <w:rPr>
                <w:sz w:val="1"/>
                <w:szCs w:val="1"/>
                <w:color w:val="auto"/>
              </w:rPr>
            </w:pP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(adjusted revenues minus adjusted COGS)</w:t>
            </w:r>
          </w:p>
        </w:tc>
        <w:tc>
          <w:tcPr>
            <w:tcW w:w="130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$903.9</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$960.6</w:t>
            </w:r>
          </w:p>
        </w:tc>
        <w:tc>
          <w:tcPr>
            <w:tcW w:w="0" w:type="dxa"/>
            <w:vAlign w:val="bottom"/>
          </w:tcPr>
          <w:p>
            <w:pPr>
              <w:spacing w:after="0"/>
              <w:rPr>
                <w:sz w:val="1"/>
                <w:szCs w:val="1"/>
                <w:color w:val="auto"/>
              </w:rPr>
            </w:pPr>
          </w:p>
        </w:tc>
      </w:tr>
      <w:tr>
        <w:trPr>
          <w:trHeight w:val="157"/>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 (adjusted gross margin divided by adjusted revenues)</w:t>
            </w:r>
          </w:p>
        </w:tc>
        <w:tc>
          <w:tcPr>
            <w:tcW w:w="130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55%</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67%</w:t>
            </w:r>
          </w:p>
        </w:tc>
        <w:tc>
          <w:tcPr>
            <w:tcW w:w="0" w:type="dxa"/>
            <w:vAlign w:val="bottom"/>
          </w:tcPr>
          <w:p>
            <w:pPr>
              <w:spacing w:after="0"/>
              <w:rPr>
                <w:sz w:val="1"/>
                <w:szCs w:val="1"/>
                <w:color w:val="auto"/>
              </w:rPr>
            </w:pPr>
          </w:p>
        </w:tc>
      </w:tr>
      <w:tr>
        <w:trPr>
          <w:trHeight w:val="590"/>
        </w:trPr>
        <w:tc>
          <w:tcPr>
            <w:tcW w:w="4980" w:type="dxa"/>
            <w:vAlign w:val="bottom"/>
          </w:tcPr>
          <w:p>
            <w:pPr>
              <w:spacing w:after="0"/>
              <w:rPr>
                <w:sz w:val="24"/>
                <w:szCs w:val="24"/>
                <w:color w:val="auto"/>
              </w:rPr>
            </w:pPr>
          </w:p>
        </w:tc>
        <w:tc>
          <w:tcPr>
            <w:tcW w:w="2820" w:type="dxa"/>
            <w:vAlign w:val="bottom"/>
            <w:gridSpan w:val="2"/>
          </w:tcPr>
          <w:p>
            <w:pPr>
              <w:ind w:left="460"/>
              <w:spacing w:after="0"/>
              <w:rPr>
                <w:sz w:val="20"/>
                <w:szCs w:val="20"/>
                <w:color w:val="auto"/>
              </w:rPr>
            </w:pPr>
            <w:r>
              <w:rPr>
                <w:rFonts w:ascii="Arial" w:cs="Arial" w:eastAsia="Arial" w:hAnsi="Arial"/>
                <w:sz w:val="11"/>
                <w:szCs w:val="11"/>
                <w:color w:val="auto"/>
              </w:rPr>
              <w:t>16 of 18</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-2168525</wp:posOffset>
            </wp:positionV>
            <wp:extent cx="7178040" cy="1800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80022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Reconciliation of Product Margin and Adjusted Product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7178040" cy="1411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41160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1520" w:type="dxa"/>
            <w:vAlign w:val="bottom"/>
            <w:shd w:val="clear" w:color="auto" w:fill="B14A32"/>
          </w:tcPr>
          <w:p>
            <w:pPr>
              <w:spacing w:after="0"/>
              <w:rPr>
                <w:sz w:val="13"/>
                <w:szCs w:val="13"/>
                <w:color w:val="auto"/>
              </w:rPr>
            </w:pPr>
          </w:p>
        </w:tc>
        <w:tc>
          <w:tcPr>
            <w:tcW w:w="3500" w:type="dxa"/>
            <w:vAlign w:val="bottom"/>
            <w:shd w:val="clear" w:color="auto" w:fill="B14A32"/>
          </w:tcPr>
          <w:p>
            <w:pPr>
              <w:jc w:val="center"/>
              <w:ind w:right="1446"/>
              <w:spacing w:after="0"/>
              <w:rPr>
                <w:sz w:val="20"/>
                <w:szCs w:val="20"/>
                <w:color w:val="auto"/>
              </w:rPr>
            </w:pPr>
            <w:r>
              <w:rPr>
                <w:rFonts w:ascii="Arial" w:cs="Arial" w:eastAsia="Arial" w:hAnsi="Arial"/>
                <w:sz w:val="11"/>
                <w:szCs w:val="11"/>
                <w:b w:val="1"/>
                <w:bCs w:val="1"/>
                <w:color w:val="FFFFFF"/>
                <w:w w:val="98"/>
              </w:rPr>
              <w:t>Three Months Ended December 31,</w:t>
            </w:r>
          </w:p>
        </w:tc>
        <w:tc>
          <w:tcPr>
            <w:tcW w:w="0" w:type="dxa"/>
            <w:vAlign w:val="bottom"/>
          </w:tcPr>
          <w:p>
            <w:pPr>
              <w:spacing w:after="0"/>
              <w:rPr>
                <w:sz w:val="1"/>
                <w:szCs w:val="1"/>
                <w:color w:val="auto"/>
              </w:rPr>
            </w:pPr>
          </w:p>
        </w:tc>
      </w:tr>
      <w:tr>
        <w:trPr>
          <w:trHeight w:val="70"/>
        </w:trPr>
        <w:tc>
          <w:tcPr>
            <w:tcW w:w="6280" w:type="dxa"/>
            <w:vAlign w:val="bottom"/>
            <w:vMerge w:val="continue"/>
            <w:shd w:val="clear" w:color="auto" w:fill="B14A32"/>
          </w:tcPr>
          <w:p>
            <w:pPr>
              <w:spacing w:after="0"/>
              <w:rPr>
                <w:sz w:val="6"/>
                <w:szCs w:val="6"/>
                <w:color w:val="auto"/>
              </w:rPr>
            </w:pPr>
          </w:p>
        </w:tc>
        <w:tc>
          <w:tcPr>
            <w:tcW w:w="1520" w:type="dxa"/>
            <w:vAlign w:val="bottom"/>
            <w:vMerge w:val="restart"/>
            <w:shd w:val="clear" w:color="auto" w:fill="B14A32"/>
          </w:tcPr>
          <w:p>
            <w:pPr>
              <w:jc w:val="center"/>
              <w:ind w:left="94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vMerge w:val="restart"/>
            <w:shd w:val="clear" w:color="auto" w:fill="B14A32"/>
          </w:tcPr>
          <w:p>
            <w:pPr>
              <w:jc w:val="center"/>
              <w:ind w:left="92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6280" w:type="dxa"/>
            <w:vAlign w:val="bottom"/>
            <w:tcBorders>
              <w:bottom w:val="single" w:sz="8" w:color="B14A32"/>
            </w:tcBorders>
            <w:shd w:val="clear" w:color="auto" w:fill="B14A32"/>
          </w:tcPr>
          <w:p>
            <w:pPr>
              <w:spacing w:after="0"/>
              <w:rPr>
                <w:sz w:val="6"/>
                <w:szCs w:val="6"/>
                <w:color w:val="auto"/>
              </w:rPr>
            </w:pPr>
          </w:p>
        </w:tc>
        <w:tc>
          <w:tcPr>
            <w:tcW w:w="1520" w:type="dxa"/>
            <w:vAlign w:val="bottom"/>
            <w:tcBorders>
              <w:bottom w:val="single" w:sz="8" w:color="B14A32"/>
            </w:tcBorders>
            <w:vMerge w:val="continue"/>
            <w:shd w:val="clear" w:color="auto" w:fill="B14A32"/>
          </w:tcPr>
          <w:p>
            <w:pPr>
              <w:spacing w:after="0"/>
              <w:rPr>
                <w:sz w:val="6"/>
                <w:szCs w:val="6"/>
                <w:color w:val="auto"/>
              </w:rPr>
            </w:pPr>
          </w:p>
        </w:tc>
        <w:tc>
          <w:tcPr>
            <w:tcW w:w="350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$434.3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$340.9</w:t>
            </w:r>
          </w:p>
        </w:tc>
        <w:tc>
          <w:tcPr>
            <w:tcW w:w="0" w:type="dxa"/>
            <w:vAlign w:val="bottom"/>
          </w:tcPr>
          <w:p>
            <w:pPr>
              <w:spacing w:after="0"/>
              <w:rPr>
                <w:sz w:val="1"/>
                <w:szCs w:val="1"/>
                <w:color w:val="auto"/>
              </w:rPr>
            </w:pP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(COPS)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$145.0</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$104.4</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(0.3)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(0.4)</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1"/>
              </w:rPr>
              <w:t>1.5</w:t>
            </w:r>
          </w:p>
        </w:tc>
        <w:tc>
          <w:tcPr>
            <w:tcW w:w="0" w:type="dxa"/>
            <w:vAlign w:val="bottom"/>
          </w:tcPr>
          <w:p>
            <w:pPr>
              <w:spacing w:after="0"/>
              <w:rPr>
                <w:sz w:val="1"/>
                <w:szCs w:val="1"/>
                <w:color w:val="auto"/>
              </w:rPr>
            </w:pP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cost of product sales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$144.7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$105.5</w:t>
            </w:r>
          </w:p>
        </w:tc>
        <w:tc>
          <w:tcPr>
            <w:tcW w:w="0" w:type="dxa"/>
            <w:vAlign w:val="bottom"/>
          </w:tcPr>
          <w:p>
            <w:pPr>
              <w:spacing w:after="0"/>
              <w:rPr>
                <w:sz w:val="1"/>
                <w:szCs w:val="1"/>
                <w:color w:val="auto"/>
              </w:rPr>
            </w:pP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margin (product revenues minus COPS)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$289.3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$236.5</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margin % (product margin divided by product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67%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69%</w:t>
            </w:r>
          </w:p>
        </w:tc>
        <w:tc>
          <w:tcPr>
            <w:tcW w:w="0" w:type="dxa"/>
            <w:vAlign w:val="bottom"/>
          </w:tcPr>
          <w:p>
            <w:pPr>
              <w:spacing w:after="0"/>
              <w:rPr>
                <w:sz w:val="1"/>
                <w:szCs w:val="1"/>
                <w:color w:val="auto"/>
              </w:rPr>
            </w:pP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product margin (product revenues minus adjusted COPS)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$289.6</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$235.4</w:t>
            </w:r>
          </w:p>
        </w:tc>
        <w:tc>
          <w:tcPr>
            <w:tcW w:w="0" w:type="dxa"/>
            <w:vAlign w:val="bottom"/>
          </w:tcPr>
          <w:p>
            <w:pPr>
              <w:spacing w:after="0"/>
              <w:rPr>
                <w:sz w:val="1"/>
                <w:szCs w:val="1"/>
                <w:color w:val="auto"/>
              </w:rPr>
            </w:pPr>
          </w:p>
        </w:tc>
      </w:tr>
      <w:tr>
        <w:trPr>
          <w:trHeight w:val="15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product margin % (adjusted product margin divided by product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67%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69%</w:t>
            </w:r>
          </w:p>
        </w:tc>
        <w:tc>
          <w:tcPr>
            <w:tcW w:w="0" w:type="dxa"/>
            <w:vAlign w:val="bottom"/>
          </w:tcPr>
          <w:p>
            <w:pPr>
              <w:spacing w:after="0"/>
              <w:rPr>
                <w:sz w:val="1"/>
                <w:szCs w:val="1"/>
                <w:color w:val="auto"/>
              </w:rPr>
            </w:pPr>
          </w:p>
        </w:tc>
      </w:tr>
      <w:tr>
        <w:trPr>
          <w:trHeight w:val="144"/>
        </w:trPr>
        <w:tc>
          <w:tcPr>
            <w:tcW w:w="6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1520" w:type="dxa"/>
            <w:vAlign w:val="bottom"/>
            <w:shd w:val="clear" w:color="auto" w:fill="B14A32"/>
          </w:tcPr>
          <w:p>
            <w:pPr>
              <w:spacing w:after="0"/>
              <w:rPr>
                <w:sz w:val="12"/>
                <w:szCs w:val="12"/>
                <w:color w:val="auto"/>
              </w:rPr>
            </w:pPr>
          </w:p>
        </w:tc>
        <w:tc>
          <w:tcPr>
            <w:tcW w:w="3500" w:type="dxa"/>
            <w:vAlign w:val="bottom"/>
            <w:shd w:val="clear" w:color="auto" w:fill="B14A32"/>
          </w:tcPr>
          <w:p>
            <w:pPr>
              <w:jc w:val="center"/>
              <w:ind w:right="1466"/>
              <w:spacing w:after="0"/>
              <w:rPr>
                <w:sz w:val="20"/>
                <w:szCs w:val="20"/>
                <w:color w:val="auto"/>
              </w:rPr>
            </w:pPr>
            <w:r>
              <w:rPr>
                <w:rFonts w:ascii="Arial" w:cs="Arial" w:eastAsia="Arial" w:hAnsi="Arial"/>
                <w:sz w:val="11"/>
                <w:szCs w:val="11"/>
                <w:b w:val="1"/>
                <w:bCs w:val="1"/>
                <w:color w:val="FFFFFF"/>
                <w:w w:val="97"/>
              </w:rPr>
              <w:t>Twelve Months Ended December 31,</w:t>
            </w:r>
          </w:p>
        </w:tc>
        <w:tc>
          <w:tcPr>
            <w:tcW w:w="0" w:type="dxa"/>
            <w:vAlign w:val="bottom"/>
          </w:tcPr>
          <w:p>
            <w:pPr>
              <w:spacing w:after="0"/>
              <w:rPr>
                <w:sz w:val="1"/>
                <w:szCs w:val="1"/>
                <w:color w:val="auto"/>
              </w:rPr>
            </w:pPr>
          </w:p>
        </w:tc>
      </w:tr>
      <w:tr>
        <w:trPr>
          <w:trHeight w:val="88"/>
        </w:trPr>
        <w:tc>
          <w:tcPr>
            <w:tcW w:w="6280" w:type="dxa"/>
            <w:vAlign w:val="bottom"/>
            <w:vMerge w:val="continue"/>
            <w:shd w:val="clear" w:color="auto" w:fill="B14A32"/>
          </w:tcPr>
          <w:p>
            <w:pPr>
              <w:spacing w:after="0"/>
              <w:rPr>
                <w:sz w:val="7"/>
                <w:szCs w:val="7"/>
                <w:color w:val="auto"/>
              </w:rPr>
            </w:pPr>
          </w:p>
        </w:tc>
        <w:tc>
          <w:tcPr>
            <w:tcW w:w="1520" w:type="dxa"/>
            <w:vAlign w:val="bottom"/>
            <w:vMerge w:val="restart"/>
            <w:shd w:val="clear" w:color="auto" w:fill="B14A32"/>
          </w:tcPr>
          <w:p>
            <w:pPr>
              <w:jc w:val="center"/>
              <w:ind w:left="94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vMerge w:val="restart"/>
            <w:shd w:val="clear" w:color="auto" w:fill="B14A32"/>
          </w:tcPr>
          <w:p>
            <w:pPr>
              <w:jc w:val="center"/>
              <w:ind w:left="92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6280" w:type="dxa"/>
            <w:vAlign w:val="bottom"/>
            <w:tcBorders>
              <w:bottom w:val="single" w:sz="8" w:color="B14A32"/>
            </w:tcBorders>
            <w:shd w:val="clear" w:color="auto" w:fill="B14A32"/>
          </w:tcPr>
          <w:p>
            <w:pPr>
              <w:spacing w:after="0"/>
              <w:rPr>
                <w:sz w:val="6"/>
                <w:szCs w:val="6"/>
                <w:color w:val="auto"/>
              </w:rPr>
            </w:pPr>
          </w:p>
        </w:tc>
        <w:tc>
          <w:tcPr>
            <w:tcW w:w="1520" w:type="dxa"/>
            <w:vAlign w:val="bottom"/>
            <w:tcBorders>
              <w:bottom w:val="single" w:sz="8" w:color="B14A32"/>
            </w:tcBorders>
            <w:vMerge w:val="continue"/>
            <w:shd w:val="clear" w:color="auto" w:fill="B14A32"/>
          </w:tcPr>
          <w:p>
            <w:pPr>
              <w:spacing w:after="0"/>
              <w:rPr>
                <w:sz w:val="6"/>
                <w:szCs w:val="6"/>
                <w:color w:val="auto"/>
              </w:rPr>
            </w:pPr>
          </w:p>
        </w:tc>
        <w:tc>
          <w:tcPr>
            <w:tcW w:w="350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revenues</w:t>
            </w: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$1,023.9</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$989.8</w:t>
            </w:r>
          </w:p>
        </w:tc>
        <w:tc>
          <w:tcPr>
            <w:tcW w:w="0" w:type="dxa"/>
            <w:vAlign w:val="bottom"/>
          </w:tcPr>
          <w:p>
            <w:pPr>
              <w:spacing w:after="0"/>
              <w:rPr>
                <w:sz w:val="1"/>
                <w:szCs w:val="1"/>
                <w:color w:val="auto"/>
              </w:rPr>
            </w:pP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$382.0</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$392.0</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(2.9)</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(31.7)</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7"/>
              </w:rPr>
              <w:t>(12.6)</w:t>
            </w:r>
          </w:p>
        </w:tc>
        <w:tc>
          <w:tcPr>
            <w:tcW w:w="0" w:type="dxa"/>
            <w:vAlign w:val="bottom"/>
          </w:tcPr>
          <w:p>
            <w:pPr>
              <w:spacing w:after="0"/>
              <w:rPr>
                <w:sz w:val="1"/>
                <w:szCs w:val="1"/>
                <w:color w:val="auto"/>
              </w:rPr>
            </w:pP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COPS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$379.1</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$347.7</w:t>
            </w:r>
          </w:p>
        </w:tc>
        <w:tc>
          <w:tcPr>
            <w:tcW w:w="0" w:type="dxa"/>
            <w:vAlign w:val="bottom"/>
          </w:tcPr>
          <w:p>
            <w:pPr>
              <w:spacing w:after="0"/>
              <w:rPr>
                <w:sz w:val="1"/>
                <w:szCs w:val="1"/>
                <w:color w:val="auto"/>
              </w:rPr>
            </w:pP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margin (product revenues minus COPS)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$641.9</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$597.8</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margin % (product margin divided by product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63%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60%</w:t>
            </w:r>
          </w:p>
        </w:tc>
        <w:tc>
          <w:tcPr>
            <w:tcW w:w="0" w:type="dxa"/>
            <w:vAlign w:val="bottom"/>
          </w:tcPr>
          <w:p>
            <w:pPr>
              <w:spacing w:after="0"/>
              <w:rPr>
                <w:sz w:val="1"/>
                <w:szCs w:val="1"/>
                <w:color w:val="auto"/>
              </w:rPr>
            </w:pP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product margin (product revenues minus adjusted COPS)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$644.8</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$642.1</w:t>
            </w:r>
          </w:p>
        </w:tc>
        <w:tc>
          <w:tcPr>
            <w:tcW w:w="0" w:type="dxa"/>
            <w:vAlign w:val="bottom"/>
          </w:tcPr>
          <w:p>
            <w:pPr>
              <w:spacing w:after="0"/>
              <w:rPr>
                <w:sz w:val="1"/>
                <w:szCs w:val="1"/>
                <w:color w:val="auto"/>
              </w:rPr>
            </w:pPr>
          </w:p>
        </w:tc>
      </w:tr>
      <w:tr>
        <w:trPr>
          <w:trHeight w:val="15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product margin % (adjusted product margin divided by product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0"/>
              </w:rPr>
              <w:t>63%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-1405255</wp:posOffset>
            </wp:positionV>
            <wp:extent cx="7178040" cy="141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4116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CDMO Services Margin and Adjusted CDMO Services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314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31445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980" w:type="dxa"/>
            <w:vAlign w:val="bottom"/>
            <w:shd w:val="clear" w:color="auto" w:fill="B14A32"/>
          </w:tcPr>
          <w:p>
            <w:pPr>
              <w:spacing w:after="0"/>
              <w:rPr>
                <w:sz w:val="13"/>
                <w:szCs w:val="13"/>
                <w:color w:val="auto"/>
              </w:rPr>
            </w:pPr>
          </w:p>
        </w:tc>
        <w:tc>
          <w:tcPr>
            <w:tcW w:w="1520" w:type="dxa"/>
            <w:vAlign w:val="bottom"/>
            <w:shd w:val="clear" w:color="auto" w:fill="B14A32"/>
          </w:tcPr>
          <w:p>
            <w:pPr>
              <w:spacing w:after="0"/>
              <w:rPr>
                <w:sz w:val="13"/>
                <w:szCs w:val="13"/>
                <w:color w:val="auto"/>
              </w:rPr>
            </w:pPr>
          </w:p>
        </w:tc>
        <w:tc>
          <w:tcPr>
            <w:tcW w:w="3500" w:type="dxa"/>
            <w:vAlign w:val="bottom"/>
            <w:shd w:val="clear" w:color="auto" w:fill="B14A32"/>
          </w:tcPr>
          <w:p>
            <w:pPr>
              <w:ind w:left="100"/>
              <w:spacing w:after="0"/>
              <w:rPr>
                <w:sz w:val="20"/>
                <w:szCs w:val="20"/>
                <w:color w:val="auto"/>
              </w:rPr>
            </w:pPr>
            <w:r>
              <w:rPr>
                <w:rFonts w:ascii="Arial" w:cs="Arial" w:eastAsia="Arial" w:hAnsi="Arial"/>
                <w:sz w:val="11"/>
                <w:szCs w:val="11"/>
                <w:b w:val="1"/>
                <w:bCs w:val="1"/>
                <w:color w:val="FFFFFF"/>
              </w:rPr>
              <w:t>Three Months Ended December 31,</w:t>
            </w:r>
          </w:p>
        </w:tc>
        <w:tc>
          <w:tcPr>
            <w:tcW w:w="0" w:type="dxa"/>
            <w:vAlign w:val="bottom"/>
          </w:tcPr>
          <w:p>
            <w:pPr>
              <w:spacing w:after="0"/>
              <w:rPr>
                <w:sz w:val="1"/>
                <w:szCs w:val="1"/>
                <w:color w:val="auto"/>
              </w:rPr>
            </w:pPr>
          </w:p>
        </w:tc>
      </w:tr>
      <w:tr>
        <w:trPr>
          <w:trHeight w:val="70"/>
        </w:trPr>
        <w:tc>
          <w:tcPr>
            <w:tcW w:w="5300" w:type="dxa"/>
            <w:vAlign w:val="bottom"/>
            <w:vMerge w:val="continue"/>
            <w:shd w:val="clear" w:color="auto" w:fill="B14A32"/>
          </w:tcPr>
          <w:p>
            <w:pPr>
              <w:spacing w:after="0"/>
              <w:rPr>
                <w:sz w:val="6"/>
                <w:szCs w:val="6"/>
                <w:color w:val="auto"/>
              </w:rPr>
            </w:pPr>
          </w:p>
        </w:tc>
        <w:tc>
          <w:tcPr>
            <w:tcW w:w="2500" w:type="dxa"/>
            <w:vAlign w:val="bottom"/>
            <w:gridSpan w:val="2"/>
            <w:vMerge w:val="restart"/>
            <w:shd w:val="clear" w:color="auto" w:fill="B14A32"/>
          </w:tcPr>
          <w:p>
            <w:pPr>
              <w:jc w:val="center"/>
              <w:ind w:left="192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vMerge w:val="restart"/>
            <w:shd w:val="clear" w:color="auto" w:fill="B14A32"/>
          </w:tcPr>
          <w:p>
            <w:pPr>
              <w:jc w:val="center"/>
              <w:ind w:left="92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5300" w:type="dxa"/>
            <w:vAlign w:val="bottom"/>
            <w:tcBorders>
              <w:bottom w:val="single" w:sz="8" w:color="B14A32"/>
            </w:tcBorders>
            <w:shd w:val="clear" w:color="auto" w:fill="B14A32"/>
          </w:tcPr>
          <w:p>
            <w:pPr>
              <w:spacing w:after="0"/>
              <w:rPr>
                <w:sz w:val="6"/>
                <w:szCs w:val="6"/>
                <w:color w:val="auto"/>
              </w:rPr>
            </w:pPr>
          </w:p>
        </w:tc>
        <w:tc>
          <w:tcPr>
            <w:tcW w:w="2500" w:type="dxa"/>
            <w:vAlign w:val="bottom"/>
            <w:tcBorders>
              <w:bottom w:val="single" w:sz="8" w:color="B14A32"/>
            </w:tcBorders>
            <w:gridSpan w:val="2"/>
            <w:vMerge w:val="continue"/>
            <w:shd w:val="clear" w:color="auto" w:fill="B14A32"/>
          </w:tcPr>
          <w:p>
            <w:pPr>
              <w:spacing w:after="0"/>
              <w:rPr>
                <w:sz w:val="6"/>
                <w:szCs w:val="6"/>
                <w:color w:val="auto"/>
              </w:rPr>
            </w:pPr>
          </w:p>
        </w:tc>
        <w:tc>
          <w:tcPr>
            <w:tcW w:w="350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services revenues</w:t>
            </w:r>
          </w:p>
        </w:tc>
        <w:tc>
          <w:tcPr>
            <w:tcW w:w="980" w:type="dxa"/>
            <w:vAlign w:val="bottom"/>
            <w:shd w:val="clear" w:color="auto" w:fill="CCCCCC"/>
          </w:tcPr>
          <w:p>
            <w:pPr>
              <w:spacing w:after="0"/>
              <w:rPr>
                <w:sz w:val="12"/>
                <w:szCs w:val="12"/>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$51.2</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$64.0</w:t>
            </w:r>
          </w:p>
        </w:tc>
        <w:tc>
          <w:tcPr>
            <w:tcW w:w="0" w:type="dxa"/>
            <w:vAlign w:val="bottom"/>
          </w:tcPr>
          <w:p>
            <w:pPr>
              <w:spacing w:after="0"/>
              <w:rPr>
                <w:sz w:val="1"/>
                <w:szCs w:val="1"/>
                <w:color w:val="auto"/>
              </w:rPr>
            </w:pPr>
          </w:p>
        </w:tc>
      </w:tr>
      <w:tr>
        <w:trPr>
          <w:trHeight w:val="155"/>
        </w:trPr>
        <w:tc>
          <w:tcPr>
            <w:tcW w:w="530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Non-USG lease revenue</w:t>
            </w:r>
          </w:p>
        </w:tc>
        <w:tc>
          <w:tcPr>
            <w:tcW w:w="980" w:type="dxa"/>
            <w:vAlign w:val="bottom"/>
            <w:tcBorders>
              <w:bottom w:val="single" w:sz="8" w:color="CCCCCC"/>
            </w:tcBorders>
            <w:shd w:val="clear" w:color="auto" w:fill="CCCCCC"/>
          </w:tcPr>
          <w:p>
            <w:pPr>
              <w:spacing w:after="0"/>
              <w:rPr>
                <w:sz w:val="13"/>
                <w:szCs w:val="13"/>
                <w:color w:val="auto"/>
              </w:rPr>
            </w:pP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3"/>
              </w:rPr>
              <w:t>11.4</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31"/>
        </w:trPr>
        <w:tc>
          <w:tcPr>
            <w:tcW w:w="530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services revenues</w:t>
            </w:r>
          </w:p>
        </w:tc>
        <w:tc>
          <w:tcPr>
            <w:tcW w:w="980" w:type="dxa"/>
            <w:vAlign w:val="bottom"/>
            <w:shd w:val="clear" w:color="auto" w:fill="CCCCCC"/>
          </w:tcPr>
          <w:p>
            <w:pPr>
              <w:spacing w:after="0"/>
              <w:rPr>
                <w:sz w:val="11"/>
                <w:szCs w:val="11"/>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$62.6</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$76.3</w:t>
            </w:r>
          </w:p>
        </w:tc>
        <w:tc>
          <w:tcPr>
            <w:tcW w:w="0" w:type="dxa"/>
            <w:vAlign w:val="bottom"/>
          </w:tcPr>
          <w:p>
            <w:pPr>
              <w:spacing w:after="0"/>
              <w:rPr>
                <w:sz w:val="1"/>
                <w:szCs w:val="1"/>
                <w:color w:val="auto"/>
              </w:rPr>
            </w:pPr>
          </w:p>
        </w:tc>
      </w:tr>
      <w:tr>
        <w:trPr>
          <w:trHeight w:val="324"/>
        </w:trPr>
        <w:tc>
          <w:tcPr>
            <w:tcW w:w="530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CDMO services</w:t>
            </w:r>
          </w:p>
        </w:tc>
        <w:tc>
          <w:tcPr>
            <w:tcW w:w="98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$67.9</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$63.9</w:t>
            </w:r>
          </w:p>
        </w:tc>
        <w:tc>
          <w:tcPr>
            <w:tcW w:w="0" w:type="dxa"/>
            <w:vAlign w:val="bottom"/>
          </w:tcPr>
          <w:p>
            <w:pPr>
              <w:spacing w:after="0"/>
              <w:rPr>
                <w:sz w:val="1"/>
                <w:szCs w:val="1"/>
                <w:color w:val="auto"/>
              </w:rPr>
            </w:pPr>
          </w:p>
        </w:tc>
      </w:tr>
      <w:tr>
        <w:trPr>
          <w:trHeight w:val="324"/>
        </w:trPr>
        <w:tc>
          <w:tcPr>
            <w:tcW w:w="530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services margin (CDMO services revenues minus Cost of CDMO services)</w:t>
            </w:r>
          </w:p>
        </w:tc>
        <w:tc>
          <w:tcPr>
            <w:tcW w:w="98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$(16.7)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3"/>
        </w:trPr>
        <w:tc>
          <w:tcPr>
            <w:tcW w:w="530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services margin % (CDMO margin divided by CDMO services revenues)</w:t>
            </w:r>
          </w:p>
        </w:tc>
        <w:tc>
          <w:tcPr>
            <w:tcW w:w="98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5"/>
              </w:rPr>
              <w:t>(33)%</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6"/>
              </w:rPr>
              <w:t>—%</w:t>
            </w:r>
          </w:p>
        </w:tc>
        <w:tc>
          <w:tcPr>
            <w:tcW w:w="0" w:type="dxa"/>
            <w:vAlign w:val="bottom"/>
          </w:tcPr>
          <w:p>
            <w:pPr>
              <w:spacing w:after="0"/>
              <w:rPr>
                <w:sz w:val="1"/>
                <w:szCs w:val="1"/>
                <w:color w:val="auto"/>
              </w:rPr>
            </w:pPr>
          </w:p>
        </w:tc>
      </w:tr>
      <w:tr>
        <w:trPr>
          <w:trHeight w:val="324"/>
        </w:trPr>
        <w:tc>
          <w:tcPr>
            <w:tcW w:w="530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services margin (adjusted CDMO services revenues minus Cost of CDMO services)</w:t>
            </w:r>
          </w:p>
        </w:tc>
        <w:tc>
          <w:tcPr>
            <w:tcW w:w="980" w:type="dxa"/>
            <w:vAlign w:val="bottom"/>
            <w:shd w:val="clear" w:color="auto" w:fill="CCCCCC"/>
          </w:tcPr>
          <w:p>
            <w:pPr>
              <w:spacing w:after="0"/>
              <w:rPr>
                <w:sz w:val="24"/>
                <w:szCs w:val="24"/>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($5.3)</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57"/>
        </w:trPr>
        <w:tc>
          <w:tcPr>
            <w:tcW w:w="530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services margin % (adjusted CDMO margin divided by adjusted CDMO services revenues)</w:t>
            </w:r>
          </w:p>
        </w:tc>
        <w:tc>
          <w:tcPr>
            <w:tcW w:w="980" w:type="dxa"/>
            <w:vAlign w:val="bottom"/>
            <w:shd w:val="clear" w:color="auto" w:fill="CCCCCC"/>
          </w:tcPr>
          <w:p>
            <w:pPr>
              <w:spacing w:after="0"/>
              <w:rPr>
                <w:sz w:val="13"/>
                <w:szCs w:val="13"/>
                <w:color w:val="auto"/>
              </w:rPr>
            </w:pP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(8)%</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16%</w:t>
            </w:r>
          </w:p>
        </w:tc>
        <w:tc>
          <w:tcPr>
            <w:tcW w:w="0" w:type="dxa"/>
            <w:vAlign w:val="bottom"/>
          </w:tcPr>
          <w:p>
            <w:pPr>
              <w:spacing w:after="0"/>
              <w:rPr>
                <w:sz w:val="1"/>
                <w:szCs w:val="1"/>
                <w:color w:val="auto"/>
              </w:rPr>
            </w:pPr>
          </w:p>
        </w:tc>
      </w:tr>
      <w:tr>
        <w:trPr>
          <w:trHeight w:val="752"/>
        </w:trPr>
        <w:tc>
          <w:tcPr>
            <w:tcW w:w="5300" w:type="dxa"/>
            <w:vAlign w:val="bottom"/>
          </w:tcPr>
          <w:p>
            <w:pPr>
              <w:spacing w:after="0"/>
              <w:rPr>
                <w:sz w:val="24"/>
                <w:szCs w:val="24"/>
                <w:color w:val="auto"/>
              </w:rPr>
            </w:pP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17 of 18</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01" w:right="29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426085</wp:posOffset>
            </wp:positionV>
            <wp:extent cx="7178040" cy="1263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263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6280" w:type="dxa"/>
            <w:vAlign w:val="bottom"/>
            <w:vMerge w:val="restart"/>
            <w:shd w:val="clear" w:color="auto" w:fill="B14A32"/>
          </w:tcPr>
          <w:p>
            <w:pPr>
              <w:ind w:left="20"/>
              <w:spacing w:after="0"/>
              <w:rPr>
                <w:sz w:val="20"/>
                <w:szCs w:val="20"/>
                <w:color w:val="auto"/>
              </w:rPr>
            </w:pPr>
            <w:r>
              <w:rPr>
                <w:rFonts w:ascii="Arial" w:cs="Arial" w:eastAsia="Arial" w:hAnsi="Arial"/>
                <w:sz w:val="11"/>
                <w:szCs w:val="11"/>
                <w:color w:val="FFFFFF"/>
              </w:rPr>
              <w:t>($ in millions)</w:t>
            </w:r>
          </w:p>
        </w:tc>
        <w:tc>
          <w:tcPr>
            <w:tcW w:w="1500" w:type="dxa"/>
            <w:vAlign w:val="bottom"/>
            <w:shd w:val="clear" w:color="auto" w:fill="B14A32"/>
          </w:tcPr>
          <w:p>
            <w:pPr>
              <w:spacing w:after="0"/>
              <w:rPr>
                <w:sz w:val="13"/>
                <w:szCs w:val="13"/>
                <w:color w:val="auto"/>
              </w:rPr>
            </w:pPr>
          </w:p>
        </w:tc>
        <w:tc>
          <w:tcPr>
            <w:tcW w:w="3520" w:type="dxa"/>
            <w:vAlign w:val="bottom"/>
            <w:shd w:val="clear" w:color="auto" w:fill="B14A32"/>
          </w:tcPr>
          <w:p>
            <w:pPr>
              <w:ind w:left="80"/>
              <w:spacing w:after="0"/>
              <w:rPr>
                <w:sz w:val="20"/>
                <w:szCs w:val="20"/>
                <w:color w:val="auto"/>
              </w:rPr>
            </w:pPr>
            <w:r>
              <w:rPr>
                <w:rFonts w:ascii="Arial" w:cs="Arial" w:eastAsia="Arial" w:hAnsi="Arial"/>
                <w:sz w:val="11"/>
                <w:szCs w:val="11"/>
                <w:b w:val="1"/>
                <w:bCs w:val="1"/>
                <w:color w:val="FFFFFF"/>
              </w:rPr>
              <w:t>Twelve Months Ended December 31,</w:t>
            </w:r>
          </w:p>
        </w:tc>
        <w:tc>
          <w:tcPr>
            <w:tcW w:w="0" w:type="dxa"/>
            <w:vAlign w:val="bottom"/>
          </w:tcPr>
          <w:p>
            <w:pPr>
              <w:spacing w:after="0"/>
              <w:rPr>
                <w:sz w:val="1"/>
                <w:szCs w:val="1"/>
                <w:color w:val="auto"/>
              </w:rPr>
            </w:pPr>
          </w:p>
        </w:tc>
      </w:tr>
      <w:tr>
        <w:trPr>
          <w:trHeight w:val="70"/>
        </w:trPr>
        <w:tc>
          <w:tcPr>
            <w:tcW w:w="6280" w:type="dxa"/>
            <w:vAlign w:val="bottom"/>
            <w:vMerge w:val="continue"/>
            <w:shd w:val="clear" w:color="auto" w:fill="B14A32"/>
          </w:tcPr>
          <w:p>
            <w:pPr>
              <w:spacing w:after="0"/>
              <w:rPr>
                <w:sz w:val="6"/>
                <w:szCs w:val="6"/>
                <w:color w:val="auto"/>
              </w:rPr>
            </w:pPr>
          </w:p>
        </w:tc>
        <w:tc>
          <w:tcPr>
            <w:tcW w:w="1500" w:type="dxa"/>
            <w:vAlign w:val="bottom"/>
            <w:vMerge w:val="restart"/>
            <w:shd w:val="clear" w:color="auto" w:fill="B14A32"/>
          </w:tcPr>
          <w:p>
            <w:pPr>
              <w:jc w:val="center"/>
              <w:ind w:left="966"/>
              <w:spacing w:after="0"/>
              <w:rPr>
                <w:sz w:val="20"/>
                <w:szCs w:val="20"/>
                <w:color w:val="auto"/>
              </w:rPr>
            </w:pPr>
            <w:r>
              <w:rPr>
                <w:rFonts w:ascii="Arial" w:cs="Arial" w:eastAsia="Arial" w:hAnsi="Arial"/>
                <w:sz w:val="11"/>
                <w:szCs w:val="11"/>
                <w:b w:val="1"/>
                <w:bCs w:val="1"/>
                <w:color w:val="FFFFFF"/>
                <w:w w:val="97"/>
              </w:rPr>
              <w:t>2021</w:t>
            </w:r>
          </w:p>
        </w:tc>
        <w:tc>
          <w:tcPr>
            <w:tcW w:w="3520" w:type="dxa"/>
            <w:vAlign w:val="bottom"/>
            <w:vMerge w:val="restart"/>
            <w:shd w:val="clear" w:color="auto" w:fill="B14A32"/>
          </w:tcPr>
          <w:p>
            <w:pPr>
              <w:jc w:val="center"/>
              <w:ind w:left="94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74"/>
        </w:trPr>
        <w:tc>
          <w:tcPr>
            <w:tcW w:w="6280" w:type="dxa"/>
            <w:vAlign w:val="bottom"/>
            <w:tcBorders>
              <w:bottom w:val="single" w:sz="8" w:color="B14A32"/>
            </w:tcBorders>
            <w:shd w:val="clear" w:color="auto" w:fill="B14A32"/>
          </w:tcPr>
          <w:p>
            <w:pPr>
              <w:spacing w:after="0"/>
              <w:rPr>
                <w:sz w:val="6"/>
                <w:szCs w:val="6"/>
                <w:color w:val="auto"/>
              </w:rPr>
            </w:pPr>
          </w:p>
        </w:tc>
        <w:tc>
          <w:tcPr>
            <w:tcW w:w="1500" w:type="dxa"/>
            <w:vAlign w:val="bottom"/>
            <w:tcBorders>
              <w:bottom w:val="single" w:sz="8" w:color="B14A32"/>
            </w:tcBorders>
            <w:vMerge w:val="continue"/>
            <w:shd w:val="clear" w:color="auto" w:fill="B14A32"/>
          </w:tcPr>
          <w:p>
            <w:pPr>
              <w:spacing w:after="0"/>
              <w:rPr>
                <w:sz w:val="6"/>
                <w:szCs w:val="6"/>
                <w:color w:val="auto"/>
              </w:rPr>
            </w:pPr>
          </w:p>
        </w:tc>
        <w:tc>
          <w:tcPr>
            <w:tcW w:w="3520" w:type="dxa"/>
            <w:vAlign w:val="bottom"/>
            <w:tcBorders>
              <w:bottom w:val="single" w:sz="8" w:color="B14A32"/>
            </w:tcBorders>
            <w:vMerge w:val="continue"/>
            <w:shd w:val="clear" w:color="auto" w:fill="B14A32"/>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services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$334.9</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$166.7</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Non-USG lease revenue</w:t>
            </w:r>
          </w:p>
        </w:tc>
        <w:tc>
          <w:tcPr>
            <w:tcW w:w="150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w w:val="93"/>
              </w:rPr>
              <w:t>62.1</w:t>
            </w:r>
          </w:p>
        </w:tc>
        <w:tc>
          <w:tcPr>
            <w:tcW w:w="352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services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$397.0</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$197.2</w:t>
            </w:r>
          </w:p>
        </w:tc>
        <w:tc>
          <w:tcPr>
            <w:tcW w:w="0" w:type="dxa"/>
            <w:vAlign w:val="bottom"/>
          </w:tcPr>
          <w:p>
            <w:pPr>
              <w:spacing w:after="0"/>
              <w:rPr>
                <w:sz w:val="1"/>
                <w:szCs w:val="1"/>
                <w:color w:val="auto"/>
              </w:rPr>
            </w:pPr>
          </w:p>
        </w:tc>
      </w:tr>
      <w:tr>
        <w:trPr>
          <w:trHeight w:val="29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CDMO services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$375.5</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$132.0</w:t>
            </w:r>
          </w:p>
        </w:tc>
        <w:tc>
          <w:tcPr>
            <w:tcW w:w="0" w:type="dxa"/>
            <w:vAlign w:val="bottom"/>
          </w:tcPr>
          <w:p>
            <w:pPr>
              <w:spacing w:after="0"/>
              <w:rPr>
                <w:sz w:val="1"/>
                <w:szCs w:val="1"/>
                <w:color w:val="auto"/>
              </w:rPr>
            </w:pPr>
          </w:p>
        </w:tc>
      </w:tr>
      <w:tr>
        <w:trPr>
          <w:trHeight w:val="29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services margin (CDMO services revenues minus Cost of CDMO services)</w:t>
            </w:r>
          </w:p>
        </w:tc>
        <w:tc>
          <w:tcPr>
            <w:tcW w:w="1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$(40.6)</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services margin % (CDMO margin divided by CDMO services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5"/>
              </w:rPr>
              <w:t>(12)%</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21%</w:t>
            </w:r>
          </w:p>
        </w:tc>
        <w:tc>
          <w:tcPr>
            <w:tcW w:w="0" w:type="dxa"/>
            <w:vAlign w:val="bottom"/>
          </w:tcPr>
          <w:p>
            <w:pPr>
              <w:spacing w:after="0"/>
              <w:rPr>
                <w:sz w:val="1"/>
                <w:szCs w:val="1"/>
                <w:color w:val="auto"/>
              </w:rPr>
            </w:pPr>
          </w:p>
        </w:tc>
      </w:tr>
      <w:tr>
        <w:trPr>
          <w:trHeight w:val="29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services margin (adjusted CDMO services revenues minus Cost of CDMO services)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$21.5</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$65.2</w:t>
            </w:r>
          </w:p>
        </w:tc>
        <w:tc>
          <w:tcPr>
            <w:tcW w:w="0" w:type="dxa"/>
            <w:vAlign w:val="bottom"/>
          </w:tcPr>
          <w:p>
            <w:pPr>
              <w:spacing w:after="0"/>
              <w:rPr>
                <w:sz w:val="1"/>
                <w:szCs w:val="1"/>
                <w:color w:val="auto"/>
              </w:rPr>
            </w:pPr>
          </w:p>
        </w:tc>
      </w:tr>
      <w:tr>
        <w:trPr>
          <w:trHeight w:val="15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services margin % (adjusted CDMO margin divided by adjusted CDMO services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5%</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18 of 18</w:t>
      </w:r>
    </w:p>
    <w:p>
      <w:pPr>
        <w:sectPr>
          <w:pgSz w:w="11900" w:h="16838" w:orient="portrait"/>
          <w:cols w:equalWidth="0" w:num="1">
            <w:col w:w="11300"/>
          </w:cols>
          <w:pgMar w:left="300" w:top="671" w:right="299" w:bottom="1440"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3657600</wp:posOffset>
            </wp:positionV>
            <wp:extent cx="713041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2022-02-24T15:44:52Z</dcterms:created>
  <dcterms:modified xsi:type="dcterms:W3CDTF">2022-02-24T15:44:52Z</dcterms:modified>
</cp:coreProperties>
</file>