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Biovac, L.L.C.</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Maryland, United States</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1,599,155*</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1,599,155*</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5"/>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5.8%**</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OO</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 w:right="20" w:hanging="4"/>
        <w:spacing w:after="0" w:line="287" w:lineRule="auto"/>
        <w:tabs>
          <w:tab w:leader="none" w:pos="203" w:val="left"/>
        </w:tabs>
        <w:numPr>
          <w:ilvl w:val="0"/>
          <w:numId w:val="2"/>
        </w:numPr>
        <w:rPr>
          <w:rFonts w:ascii="Arial" w:cs="Arial" w:eastAsia="Arial" w:hAnsi="Arial"/>
          <w:sz w:val="15"/>
          <w:szCs w:val="15"/>
          <w:color w:val="auto"/>
        </w:rPr>
      </w:pPr>
      <w:r>
        <w:rPr>
          <w:rFonts w:ascii="Arial" w:cs="Arial" w:eastAsia="Arial" w:hAnsi="Arial"/>
          <w:sz w:val="15"/>
          <w:szCs w:val="15"/>
          <w:color w:val="auto"/>
        </w:rPr>
        <w:t>Biovac, L.L.C. (“Biovac”) is a party to a voting agreement, dated June 30, 2004, pursuant to which it granted a proxy to Fuad El-Hibri, the General Manager of Intervac, L.L.C. to vote all of the shares that it owns of Emergent BioSolutions Inc. (the “Issuer”) in the manner set forth in the voting agreement. Therefore, as of the date of this filing, Biovac beneficially owns 1,599,155 shares of the Issuer over which it has shared dispositive power with Fuad El-Hibri, its General Manager but no voting power.</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Based on 27,596,249 shares of Emergent BioSolutions Inc. issued and outstanding as of December 31, 2006.</w:t>
      </w:r>
    </w:p>
    <w:p>
      <w:pPr>
        <w:sectPr>
          <w:pgSz w:w="11900" w:h="16838" w:orient="portrait"/>
          <w:cols w:equalWidth="0" w:num="1">
            <w:col w:w="10219"/>
          </w:cols>
          <w:pgMar w:left="240" w:top="366" w:right="1440" w:bottom="1440" w:gutter="0" w:footer="0" w:header="0"/>
        </w:sectPr>
      </w:pP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66"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74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7"/>
              </w:rPr>
              <w:t>2273 Research Blvd.</w:t>
            </w:r>
          </w:p>
        </w:tc>
        <w:tc>
          <w:tcPr>
            <w:tcW w:w="174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74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Biovac, L.L.C.</w:t>
            </w:r>
          </w:p>
        </w:tc>
        <w:tc>
          <w:tcPr>
            <w:tcW w:w="174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w w:val="90"/>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c/o East-West Resources Corporation</w:t>
            </w: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2"/>
              </w:rPr>
              <w:t>1684 East Gude Drive</w:t>
            </w:r>
          </w:p>
        </w:tc>
        <w:tc>
          <w:tcPr>
            <w:tcW w:w="1740" w:type="dxa"/>
            <w:vAlign w:val="bottom"/>
          </w:tcPr>
          <w:p>
            <w:pPr>
              <w:spacing w:after="0"/>
              <w:rPr>
                <w:sz w:val="16"/>
                <w:szCs w:val="16"/>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Suite 301</w:t>
            </w:r>
          </w:p>
        </w:tc>
        <w:tc>
          <w:tcPr>
            <w:tcW w:w="174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9"/>
              </w:rPr>
              <w:t>Rockville, MD 20850</w:t>
            </w:r>
          </w:p>
        </w:tc>
        <w:tc>
          <w:tcPr>
            <w:tcW w:w="174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Maryland, United States</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1,599,155</w:t>
            </w: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74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740" w:type="dxa"/>
            <w:vAlign w:val="bottom"/>
          </w:tcPr>
          <w:p>
            <w:pPr>
              <w:jc w:val="right"/>
              <w:ind w:right="1260"/>
              <w:spacing w:after="0"/>
              <w:rPr>
                <w:sz w:val="20"/>
                <w:szCs w:val="20"/>
                <w:color w:val="auto"/>
              </w:rPr>
            </w:pPr>
            <w:r>
              <w:rPr>
                <w:rFonts w:ascii="Arial" w:cs="Arial" w:eastAsia="Arial" w:hAnsi="Arial"/>
                <w:sz w:val="16"/>
                <w:szCs w:val="16"/>
                <w:b w:val="1"/>
                <w:bCs w:val="1"/>
                <w:color w:val="auto"/>
              </w:rPr>
              <w:t>5.8%</w:t>
            </w:r>
          </w:p>
        </w:tc>
      </w:tr>
    </w:tbl>
    <w:p>
      <w:pPr>
        <w:spacing w:after="0" w:line="24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757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(c)</w:t>
            </w:r>
          </w:p>
        </w:tc>
        <w:tc>
          <w:tcPr>
            <w:tcW w:w="3400" w:type="dxa"/>
            <w:vAlign w:val="bottom"/>
            <w:gridSpan w:val="2"/>
          </w:tcPr>
          <w:p>
            <w:pPr>
              <w:ind w:left="200"/>
              <w:spacing w:after="0"/>
              <w:rPr>
                <w:sz w:val="20"/>
                <w:szCs w:val="20"/>
                <w:color w:val="auto"/>
              </w:rPr>
            </w:pPr>
            <w:r>
              <w:rPr>
                <w:rFonts w:ascii="Arial" w:cs="Arial" w:eastAsia="Arial" w:hAnsi="Arial"/>
                <w:sz w:val="16"/>
                <w:szCs w:val="16"/>
                <w:color w:val="auto"/>
                <w:w w:val="94"/>
              </w:rPr>
              <w:t>Number of shares as to which such person has:</w:t>
            </w: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514"/>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600" w:type="dxa"/>
            <w:vAlign w:val="bottom"/>
          </w:tcPr>
          <w:p>
            <w:pPr>
              <w:jc w:val="right"/>
              <w:ind w:right="400"/>
              <w:spacing w:after="0"/>
              <w:rPr>
                <w:sz w:val="20"/>
                <w:szCs w:val="20"/>
                <w:color w:val="auto"/>
              </w:rPr>
            </w:pPr>
            <w:r>
              <w:rPr>
                <w:rFonts w:ascii="Arial" w:cs="Arial" w:eastAsia="Arial" w:hAnsi="Arial"/>
                <w:sz w:val="16"/>
                <w:szCs w:val="16"/>
                <w:b w:val="1"/>
                <w:bCs w:val="1"/>
                <w:color w:val="auto"/>
              </w:rPr>
              <w:t>0</w:t>
            </w:r>
          </w:p>
        </w:tc>
        <w:tc>
          <w:tcPr>
            <w:tcW w:w="5300" w:type="dxa"/>
            <w:vAlign w:val="bottom"/>
          </w:tcPr>
          <w:p>
            <w:pPr>
              <w:spacing w:after="0"/>
              <w:rPr>
                <w:sz w:val="24"/>
                <w:szCs w:val="24"/>
                <w:color w:val="auto"/>
              </w:rPr>
            </w:pP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(ii)</w:t>
            </w:r>
          </w:p>
        </w:tc>
        <w:tc>
          <w:tcPr>
            <w:tcW w:w="2940" w:type="dxa"/>
            <w:vAlign w:val="bottom"/>
          </w:tcPr>
          <w:p>
            <w:pPr>
              <w:spacing w:after="0"/>
              <w:rPr>
                <w:sz w:val="20"/>
                <w:szCs w:val="20"/>
                <w:color w:val="auto"/>
              </w:rPr>
            </w:pPr>
            <w:r>
              <w:rPr>
                <w:rFonts w:ascii="Arial" w:cs="Arial" w:eastAsia="Arial" w:hAnsi="Arial"/>
                <w:sz w:val="16"/>
                <w:szCs w:val="16"/>
                <w:color w:val="auto"/>
                <w:w w:val="98"/>
              </w:rPr>
              <w:t>shared power to vote or to direct the vote:</w:t>
            </w:r>
          </w:p>
        </w:tc>
        <w:tc>
          <w:tcPr>
            <w:tcW w:w="59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3860"/>
              <w:spacing w:after="0"/>
              <w:rPr>
                <w:sz w:val="20"/>
                <w:szCs w:val="20"/>
                <w:color w:val="auto"/>
              </w:rPr>
            </w:pPr>
            <w:r>
              <w:rPr>
                <w:rFonts w:ascii="Arial" w:cs="Arial" w:eastAsia="Arial" w:hAnsi="Arial"/>
                <w:sz w:val="16"/>
                <w:szCs w:val="16"/>
                <w:b w:val="1"/>
                <w:bCs w:val="1"/>
                <w:color w:val="auto"/>
              </w:rPr>
              <w:t>Not applicable.</w:t>
            </w:r>
          </w:p>
        </w:tc>
      </w:tr>
      <w:tr>
        <w:trPr>
          <w:trHeight w:val="442"/>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540"/>
              <w:spacing w:after="0"/>
              <w:rPr>
                <w:sz w:val="20"/>
                <w:szCs w:val="20"/>
                <w:color w:val="auto"/>
              </w:rPr>
            </w:pPr>
            <w:r>
              <w:rPr>
                <w:rFonts w:ascii="Arial" w:cs="Arial" w:eastAsia="Arial" w:hAnsi="Arial"/>
                <w:sz w:val="16"/>
                <w:szCs w:val="16"/>
                <w:b w:val="1"/>
                <w:bCs w:val="1"/>
                <w:color w:val="auto"/>
                <w:w w:val="92"/>
              </w:rPr>
              <w:t>1,599,155</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300" w:type="dxa"/>
            <w:vAlign w:val="bottom"/>
            <w:gridSpan w:val="4"/>
          </w:tcPr>
          <w:p>
            <w:pPr>
              <w:ind w:left="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gridSpan w:val="4"/>
          </w:tcPr>
          <w:p>
            <w:pPr>
              <w:ind w:left="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4"/>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5"/>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w w:val="92"/>
              </w:rPr>
              <w:t>Identification and Classification of Members of the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rPr>
              <w:t>Notice of Dissolution of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gridSpan w:val="2"/>
          </w:tcPr>
          <w:p>
            <w:pPr>
              <w:ind w:left="620"/>
              <w:spacing w:after="0"/>
              <w:rPr>
                <w:sz w:val="20"/>
                <w:szCs w:val="20"/>
                <w:color w:val="auto"/>
              </w:rPr>
            </w:pPr>
            <w:r>
              <w:rPr>
                <w:rFonts w:ascii="Arial" w:cs="Arial" w:eastAsia="Arial" w:hAnsi="Arial"/>
                <w:sz w:val="16"/>
                <w:szCs w:val="16"/>
                <w:color w:val="auto"/>
                <w:w w:val="92"/>
              </w:rPr>
              <w:t>Certification.</w:t>
            </w:r>
          </w:p>
        </w:tc>
        <w:tc>
          <w:tcPr>
            <w:tcW w:w="2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5" w:name="page6"/>
    <w:bookmarkEnd w:id="5"/>
    <w:p>
      <w:pPr>
        <w:jc w:val="center"/>
        <w:ind w:right="-103"/>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ind w:left="4264"/>
        <w:spacing w:after="0"/>
        <w:rPr>
          <w:sz w:val="20"/>
          <w:szCs w:val="20"/>
          <w:color w:val="auto"/>
        </w:rPr>
      </w:pPr>
      <w:r>
        <w:rPr>
          <w:rFonts w:ascii="Arial" w:cs="Arial" w:eastAsia="Arial" w:hAnsi="Arial"/>
          <w:sz w:val="16"/>
          <w:szCs w:val="16"/>
          <w:b w:val="1"/>
          <w:bCs w:val="1"/>
          <w:color w:val="auto"/>
        </w:rPr>
        <w:t>Biovac, L.L.C.</w:t>
      </w:r>
    </w:p>
    <w:p>
      <w:pPr>
        <w:spacing w:after="0" w:line="200" w:lineRule="exact"/>
        <w:rPr>
          <w:sz w:val="20"/>
          <w:szCs w:val="20"/>
          <w:color w:val="auto"/>
        </w:rPr>
      </w:pPr>
    </w:p>
    <w:p>
      <w:pPr>
        <w:spacing w:after="0" w:line="241" w:lineRule="exact"/>
        <w:rPr>
          <w:sz w:val="20"/>
          <w:szCs w:val="20"/>
          <w:color w:val="auto"/>
        </w:rPr>
      </w:pPr>
    </w:p>
    <w:p>
      <w:pPr>
        <w:ind w:left="4264"/>
        <w:spacing w:after="0"/>
        <w:tabs>
          <w:tab w:leader="none" w:pos="4664"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4"/>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-115570</wp:posOffset>
            </wp:positionV>
            <wp:extent cx="242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jc w:val="center"/>
        <w:ind w:right="416"/>
        <w:spacing w:after="0"/>
        <w:tabs>
          <w:tab w:leader="none" w:pos="1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464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 w:hanging="4"/>
        <w:spacing w:after="0" w:line="275" w:lineRule="auto"/>
        <w:tabs>
          <w:tab w:leader="none" w:pos="164" w:val="left"/>
        </w:tabs>
        <w:numPr>
          <w:ilvl w:val="0"/>
          <w:numId w:val="3"/>
        </w:numPr>
        <w:rPr>
          <w:rFonts w:ascii="Arial" w:cs="Arial" w:eastAsia="Arial" w:hAnsi="Arial"/>
          <w:sz w:val="16"/>
          <w:szCs w:val="16"/>
          <w:color w:val="auto"/>
        </w:rPr>
      </w:pPr>
      <w:r>
        <w:rPr>
          <w:rFonts w:ascii="Arial" w:cs="Arial" w:eastAsia="Arial" w:hAnsi="Arial"/>
          <w:sz w:val="16"/>
          <w:szCs w:val="16"/>
          <w:color w:val="auto"/>
        </w:rPr>
        <w:t>Duly authorized under Power of Attorney appointing Carl A. Valenstein attorney-in-fact, dated November 8, 2006, by Fuad El-Hibri, General Manager of Biovac, L.L.C., filed as Exhibit 24 to Biovac, L.L.C.’s Form 3 filed with the SEC on November 14, 2006, and incorporated by reference herein.</w:t>
      </w:r>
    </w:p>
    <w:p>
      <w:pPr>
        <w:spacing w:after="0" w:line="196" w:lineRule="exact"/>
        <w:rPr>
          <w:sz w:val="20"/>
          <w:szCs w:val="20"/>
          <w:color w:val="auto"/>
        </w:rPr>
      </w:pPr>
    </w:p>
    <w:p>
      <w:pPr>
        <w:jc w:val="center"/>
        <w:ind w:right="-103"/>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24"/>
          </w:cols>
          <w:pgMar w:left="236" w:top="338"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2019-12-15T13:38:07Z</dcterms:created>
  <dcterms:modified xsi:type="dcterms:W3CDTF">2019-12-15T13:38:07Z</dcterms:modified>
</cp:coreProperties>
</file>