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66"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JP MORGAN PARTNERS BHCA</w:t>
        </w:r>
      </w:hyperlink>
      <w:r>
        <w:rPr>
          <w:rFonts w:ascii="Arial" w:cs="Arial" w:eastAsia="Arial" w:hAnsi="Arial"/>
          <w:sz w:val="22"/>
          <w:szCs w:val="22"/>
          <w:u w:val="single" w:color="auto"/>
          <w:color w:val="0000EE"/>
        </w:rPr>
        <w:t xml:space="preserve"> </w:t>
      </w:r>
      <w:hyperlink r:id="rId11">
        <w:r>
          <w:rPr>
            <w:rFonts w:ascii="Arial" w:cs="Arial" w:eastAsia="Arial" w:hAnsi="Arial"/>
            <w:sz w:val="22"/>
            <w:szCs w:val="22"/>
            <w:u w:val="single" w:color="auto"/>
            <w:color w:val="0000EE"/>
          </w:rPr>
          <w:t>LP</w:t>
        </w:r>
      </w:hyperlink>
    </w:p>
    <w:p>
      <w:pPr>
        <w:spacing w:after="0" w:line="313"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260"/>
        <w:spacing w:after="0" w:line="331" w:lineRule="auto"/>
        <w:rPr>
          <w:sz w:val="20"/>
          <w:szCs w:val="20"/>
          <w:color w:val="auto"/>
        </w:rPr>
      </w:pPr>
      <w:r>
        <w:rPr>
          <w:rFonts w:ascii="Arial" w:cs="Arial" w:eastAsia="Arial" w:hAnsi="Arial"/>
          <w:sz w:val="18"/>
          <w:szCs w:val="18"/>
          <w:color w:val="0000FF"/>
        </w:rPr>
        <w:t>C/O J.P. MORGAN PARTNERS, LLC 270 PARK AVENUE</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03/08/2007</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Emergent BioSolutions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EBS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6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120" w:type="dxa"/>
            <w:vAlign w:val="bottom"/>
            <w:vMerge w:val="restart"/>
          </w:tcPr>
          <w:p>
            <w:pPr>
              <w:spacing w:after="0"/>
              <w:rPr>
                <w:sz w:val="20"/>
                <w:szCs w:val="20"/>
                <w:color w:val="auto"/>
              </w:rPr>
            </w:pPr>
            <w:r>
              <w:rPr>
                <w:rFonts w:ascii="Arial" w:cs="Arial" w:eastAsia="Arial" w:hAnsi="Arial"/>
                <w:sz w:val="18"/>
                <w:szCs w:val="18"/>
                <w:color w:val="0000FF"/>
              </w:rPr>
              <w:t>Member of 13(d) group</w:t>
            </w:r>
          </w:p>
        </w:tc>
        <w:tc>
          <w:tcPr>
            <w:tcW w:w="3120" w:type="dxa"/>
            <w:vAlign w:val="bottom"/>
            <w:gridSpan w:val="2"/>
          </w:tcPr>
          <w:p>
            <w:pPr>
              <w:ind w:left="4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20"/>
        </w:trPr>
        <w:tc>
          <w:tcPr>
            <w:tcW w:w="21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69"/>
        </w:trPr>
        <w:tc>
          <w:tcPr>
            <w:tcW w:w="2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66" w:orient="portrait"/>
          <w:cols w:equalWidth="0" w:num="3">
            <w:col w:w="3120" w:space="372"/>
            <w:col w:w="1228"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6"/>
              </w:rPr>
              <w:t>727,209</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6"/>
              </w:rPr>
              <w:t>415,381</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7"/>
              </w:rPr>
              <w:t>94,399</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7"/>
              </w:rPr>
              <w:t>47,652</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7"/>
              </w:rPr>
              <w:t>13,689</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8"/>
              </w:rPr>
              <w:t>5,320</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(6)</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7"/>
              </w:rPr>
              <w:t>33,714</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6"/>
              <w:spacing w:after="0"/>
              <w:rPr>
                <w:sz w:val="20"/>
                <w:szCs w:val="20"/>
                <w:color w:val="auto"/>
              </w:rPr>
            </w:pPr>
            <w:r>
              <w:rPr>
                <w:rFonts w:ascii="Arial" w:cs="Arial" w:eastAsia="Arial" w:hAnsi="Arial"/>
                <w:sz w:val="18"/>
                <w:szCs w:val="18"/>
                <w:color w:val="0000FF"/>
                <w:w w:val="86"/>
              </w:rPr>
              <w:t>117,054</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w:t>
            </w:r>
          </w:p>
        </w:tc>
        <w:tc>
          <w:tcPr>
            <w:tcW w:w="3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JP MORGAN PARTNERS BHCA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gridSpan w:val="4"/>
          </w:tcPr>
          <w:p>
            <w:pPr>
              <w:ind w:left="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640" w:type="dxa"/>
            <w:vAlign w:val="bottom"/>
            <w:gridSpan w:val="2"/>
          </w:tcPr>
          <w:p>
            <w:pPr>
              <w:ind w:left="80"/>
              <w:spacing w:after="0"/>
              <w:rPr>
                <w:sz w:val="20"/>
                <w:szCs w:val="20"/>
                <w:color w:val="auto"/>
              </w:rPr>
            </w:pPr>
            <w:r>
              <w:rPr>
                <w:rFonts w:ascii="Arial" w:cs="Arial" w:eastAsia="Arial" w:hAnsi="Arial"/>
                <w:sz w:val="18"/>
                <w:szCs w:val="18"/>
                <w:color w:val="0000FF"/>
              </w:rPr>
              <w:t>10017</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gridSpan w:val="4"/>
          </w:tcPr>
          <w:p>
            <w:pPr>
              <w:ind w:left="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JP MORGAN PARTNERS GLOBAL</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INVESTORS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J.P. MORGAN PARTNERS,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270 PARK AVENUE</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66"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10017</w:t>
      </w:r>
    </w:p>
    <w:p>
      <w:pPr>
        <w:sectPr>
          <w:pgSz w:w="11900" w:h="16866" w:orient="portrait"/>
          <w:cols w:equalWidth="0" w:num="1">
            <w:col w:w="11420"/>
          </w:cols>
          <w:pgMar w:left="240" w:top="226" w:right="239" w:bottom="0" w:gutter="0" w:footer="0" w:header="0"/>
          <w:type w:val="continuous"/>
        </w:sectPr>
      </w:pPr>
    </w:p>
    <w:bookmarkStart w:id="1" w:name="page2"/>
    <w:bookmarkEnd w:id="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J P MORGAN PARTNERS GLOBAL</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INVESTORS CAYMAN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J P MORGAN PARTNERS GLOBAL</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INVESTORS A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J P MORGAN PARTNERS GLOBAL</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INVESTORS CAYMAN II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JP MORGAN PARTNERS GLOBAL</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INVESTORS SELLDOWN LLP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JP MORGAN PARTNERS GLOBAL</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INVESTORS SELLDOWN II L 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69" w:orient="portrait"/>
          <w:cols w:equalWidth="0" w:num="1">
            <w:col w:w="10139"/>
          </w:cols>
          <w:pgMar w:left="320" w:top="436" w:right="1440" w:bottom="0" w:gutter="0" w:footer="0" w:header="0"/>
        </w:sectPr>
      </w:pPr>
    </w:p>
    <w:p>
      <w:pPr>
        <w:ind w:left="40"/>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JPMP MASTER FUND MANAGER L P</w:t>
        </w:r>
      </w:hyperlink>
    </w:p>
    <w:p>
      <w:pPr>
        <w:sectPr>
          <w:pgSz w:w="11900" w:h="16869" w:orient="portrait"/>
          <w:cols w:equalWidth="0" w:num="1">
            <w:col w:w="10139"/>
          </w:cols>
          <w:pgMar w:left="320" w:top="436" w:right="1440" w:bottom="0" w:gutter="0" w:footer="0" w:header="0"/>
          <w:type w:val="continuous"/>
        </w:sectPr>
      </w:pPr>
    </w:p>
    <w:bookmarkStart w:id="2" w:name="page3"/>
    <w:bookmarkEnd w:id="2"/>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9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924175" cy="509841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2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2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2">
        <w:r>
          <w:rPr>
            <w:rFonts w:ascii="Arial" w:cs="Arial" w:eastAsia="Arial" w:hAnsi="Arial"/>
            <w:sz w:val="22"/>
            <w:szCs w:val="22"/>
            <w:u w:val="single" w:color="auto"/>
            <w:color w:val="0000EE"/>
          </w:rPr>
          <w:t>JPMP GLOBAL INVESTORS L 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JPMP CAPITAL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3"/>
              </w:rPr>
              <w:t>C/O J.P. MORGAN PARTNERS,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270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ectPr>
          <w:pgSz w:w="11900" w:h="16873" w:orient="portrait"/>
          <w:cols w:equalWidth="0" w:num="1">
            <w:col w:w="10199"/>
          </w:cols>
          <w:pgMar w:left="260" w:top="449" w:right="1440" w:bottom="0" w:gutter="0" w:footer="0" w:header="0"/>
        </w:sect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See Exhibit 99.1.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JPMP BHCA.</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 Morgan Global.</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owed by JPMP Cayman.</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JPMP Global A.</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JPMP Cayman II.</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JPMP Selldown.</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shown represents the beneficial ownership of the Issuer's securities owned by JPMP Selldown II.</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2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(BHCA), L.P.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6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0966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Master Fund Manager,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6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general partner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7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7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1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28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GLOBAL INVESTORS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7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L.P. By: JPMP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8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9880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Investors,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partner By: JPMP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87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Corp.,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00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C. Wilmot Name: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1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 Wilmot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3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2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GLOBAL INVESTORS,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20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JPMP 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50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3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JPMP 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12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0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7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15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28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09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(CAYMAN), L.P.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1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719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Global Investors,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0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73" w:orient="portrait"/>
          <w:cols w:equalWidth="0" w:num="2">
            <w:col w:w="9080" w:space="60"/>
            <w:col w:w="1059"/>
          </w:cols>
          <w:pgMar w:left="260" w:top="449" w:right="1440"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76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3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7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2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0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(CAYMAN) II, L.P.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4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Global Investors,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0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0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74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2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09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(SELLDOWN), L.P.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0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Global Investors,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03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0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7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J.P. MORGAN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28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09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(SELLDOWN)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7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JPMP Global Investors,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8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0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7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JPMP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77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MANAGER, L.P. By: JPMP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76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Corp.,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/s/ John C. Wilmot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0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Name: John C Wilmot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74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JPMP GLOBAL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135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JPMP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52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 Wilmot Name: John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15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Wilmot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1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081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JPMP CAPITAL CORP.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12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John C. Wilmot Name: John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0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Wilmot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1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081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03/08/2007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9060" w:space="6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type w:val="continuous"/>
        </w:sectPr>
      </w:pPr>
    </w:p>
    <w:bookmarkStart w:id="4" w:name="page5"/>
    <w:bookmarkEnd w:id="4"/>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JPMP BHCA/Emergent BioSolutions Inc. -</w:t>
      </w:r>
    </w:p>
    <w:p>
      <w:pPr>
        <w:spacing w:after="0" w:line="22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Form 3 is being filed by:</w:t>
      </w:r>
    </w:p>
    <w:p>
      <w:pPr>
        <w:spacing w:after="0" w:line="221" w:lineRule="exact"/>
        <w:rPr>
          <w:rFonts w:ascii="Arial" w:cs="Arial" w:eastAsia="Arial" w:hAnsi="Arial"/>
          <w:sz w:val="18"/>
          <w:szCs w:val="18"/>
          <w:color w:val="auto"/>
        </w:rPr>
      </w:pPr>
    </w:p>
    <w:p>
      <w:pPr>
        <w:ind w:left="1320" w:hanging="66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(BHCA), L.P. (“</w:t>
      </w:r>
      <w:r>
        <w:rPr>
          <w:rFonts w:ascii="Arial" w:cs="Arial" w:eastAsia="Arial" w:hAnsi="Arial"/>
          <w:sz w:val="18"/>
          <w:szCs w:val="18"/>
          <w:b w:val="1"/>
          <w:bCs w:val="1"/>
          <w:color w:val="auto"/>
        </w:rPr>
        <w:t>JPMP BHCA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L.P. (“</w:t>
      </w:r>
      <w:r>
        <w:rPr>
          <w:rFonts w:ascii="Arial" w:cs="Arial" w:eastAsia="Arial" w:hAnsi="Arial"/>
          <w:sz w:val="18"/>
          <w:szCs w:val="18"/>
          <w:b w:val="1"/>
          <w:bCs w:val="1"/>
          <w:color w:val="auto"/>
        </w:rPr>
        <w:t>J.P. Morgan Global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A, L.P. (“</w:t>
      </w:r>
      <w:r>
        <w:rPr>
          <w:rFonts w:ascii="Arial" w:cs="Arial" w:eastAsia="Arial" w:hAnsi="Arial"/>
          <w:sz w:val="18"/>
          <w:szCs w:val="18"/>
          <w:b w:val="1"/>
          <w:bCs w:val="1"/>
          <w:color w:val="auto"/>
        </w:rPr>
        <w:t>JPMP Global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(Cayman), L.P. (“</w:t>
      </w:r>
      <w:r>
        <w:rPr>
          <w:rFonts w:ascii="Arial" w:cs="Arial" w:eastAsia="Arial" w:hAnsi="Arial"/>
          <w:sz w:val="18"/>
          <w:szCs w:val="18"/>
          <w:b w:val="1"/>
          <w:bCs w:val="1"/>
          <w:color w:val="auto"/>
        </w:rPr>
        <w:t>JPMP Cayman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(Cayman) II, L.P. (“</w:t>
      </w:r>
      <w:r>
        <w:rPr>
          <w:rFonts w:ascii="Arial" w:cs="Arial" w:eastAsia="Arial" w:hAnsi="Arial"/>
          <w:sz w:val="18"/>
          <w:szCs w:val="18"/>
          <w:b w:val="1"/>
          <w:bCs w:val="1"/>
          <w:color w:val="auto"/>
        </w:rPr>
        <w:t>JPMP Cayman 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(Selldown), L.P. (“</w:t>
      </w:r>
      <w:r>
        <w:rPr>
          <w:rFonts w:ascii="Arial" w:cs="Arial" w:eastAsia="Arial" w:hAnsi="Arial"/>
          <w:sz w:val="18"/>
          <w:szCs w:val="18"/>
          <w:b w:val="1"/>
          <w:bCs w:val="1"/>
          <w:color w:val="auto"/>
        </w:rPr>
        <w:t>JPMP Selldown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340" w:hanging="644"/>
        <w:spacing w:after="0" w:line="282" w:lineRule="auto"/>
        <w:tabs>
          <w:tab w:leader="none" w:pos="1326" w:val="left"/>
        </w:tabs>
        <w:numPr>
          <w:ilvl w:val="1"/>
          <w:numId w:val="4"/>
        </w:numPr>
        <w:rPr>
          <w:rFonts w:ascii="Arial" w:cs="Arial" w:eastAsia="Arial" w:hAnsi="Arial"/>
          <w:sz w:val="18"/>
          <w:szCs w:val="18"/>
          <w:color w:val="auto"/>
        </w:rPr>
      </w:pPr>
      <w:r>
        <w:rPr>
          <w:rFonts w:ascii="Arial" w:cs="Arial" w:eastAsia="Arial" w:hAnsi="Arial"/>
          <w:sz w:val="18"/>
          <w:szCs w:val="18"/>
          <w:color w:val="auto"/>
        </w:rPr>
        <w:t>J.P. Morgan Partners Global Investors (Selldown) II, L.P. (“</w:t>
      </w:r>
      <w:r>
        <w:rPr>
          <w:rFonts w:ascii="Arial" w:cs="Arial" w:eastAsia="Arial" w:hAnsi="Arial"/>
          <w:sz w:val="18"/>
          <w:szCs w:val="18"/>
          <w:b w:val="1"/>
          <w:bCs w:val="1"/>
          <w:color w:val="auto"/>
        </w:rPr>
        <w:t>JPMP Selldown II</w:t>
      </w:r>
      <w:r>
        <w:rPr>
          <w:rFonts w:ascii="Arial" w:cs="Arial" w:eastAsia="Arial" w:hAnsi="Arial"/>
          <w:sz w:val="18"/>
          <w:szCs w:val="18"/>
          <w:color w:val="auto"/>
        </w:rPr>
        <w:t>” and together with J.P. Morgan Global, JPMP Global A, JPMP Cayman, JPMP Cayman II and JPMP Selldown, the “</w:t>
      </w:r>
      <w:r>
        <w:rPr>
          <w:rFonts w:ascii="Arial" w:cs="Arial" w:eastAsia="Arial" w:hAnsi="Arial"/>
          <w:sz w:val="18"/>
          <w:szCs w:val="18"/>
          <w:b w:val="1"/>
          <w:bCs w:val="1"/>
          <w:color w:val="auto"/>
        </w:rPr>
        <w:t>Global Funds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40" w:hanging="68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JPMP Master Fund Manager, L.P. (“</w:t>
      </w:r>
      <w:r>
        <w:rPr>
          <w:rFonts w:ascii="Arial" w:cs="Arial" w:eastAsia="Arial" w:hAnsi="Arial"/>
          <w:sz w:val="18"/>
          <w:szCs w:val="18"/>
          <w:b w:val="1"/>
          <w:bCs w:val="1"/>
          <w:color w:val="auto"/>
        </w:rPr>
        <w:t>JPMP MFM</w:t>
      </w:r>
      <w:r>
        <w:rPr>
          <w:rFonts w:ascii="Arial" w:cs="Arial" w:eastAsia="Arial" w:hAnsi="Arial"/>
          <w:sz w:val="18"/>
          <w:szCs w:val="18"/>
          <w:color w:val="auto"/>
        </w:rPr>
        <w:t>”), the general partner of JPMP BHCA,</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JPMP Global Investors, L.P. (“</w:t>
      </w:r>
      <w:r>
        <w:rPr>
          <w:rFonts w:ascii="Arial" w:cs="Arial" w:eastAsia="Arial" w:hAnsi="Arial"/>
          <w:sz w:val="18"/>
          <w:szCs w:val="18"/>
          <w:b w:val="1"/>
          <w:bCs w:val="1"/>
          <w:color w:val="auto"/>
        </w:rPr>
        <w:t>JPMP Global</w:t>
      </w:r>
      <w:r>
        <w:rPr>
          <w:rFonts w:ascii="Arial" w:cs="Arial" w:eastAsia="Arial" w:hAnsi="Arial"/>
          <w:sz w:val="18"/>
          <w:szCs w:val="18"/>
          <w:color w:val="auto"/>
        </w:rPr>
        <w:t>”), the general partner of the Global Funds, and</w:t>
      </w:r>
    </w:p>
    <w:p>
      <w:pPr>
        <w:spacing w:after="0" w:line="225" w:lineRule="exact"/>
        <w:rPr>
          <w:rFonts w:ascii="Arial" w:cs="Arial" w:eastAsia="Arial" w:hAnsi="Arial"/>
          <w:sz w:val="18"/>
          <w:szCs w:val="18"/>
          <w:color w:val="auto"/>
        </w:rPr>
      </w:pPr>
    </w:p>
    <w:p>
      <w:pPr>
        <w:ind w:left="1300" w:right="100" w:hanging="644"/>
        <w:spacing w:after="0" w:line="282" w:lineRule="auto"/>
        <w:tabs>
          <w:tab w:leader="none" w:pos="1334" w:val="left"/>
        </w:tabs>
        <w:numPr>
          <w:ilvl w:val="1"/>
          <w:numId w:val="4"/>
        </w:numPr>
        <w:rPr>
          <w:rFonts w:ascii="Arial" w:cs="Arial" w:eastAsia="Arial" w:hAnsi="Arial"/>
          <w:sz w:val="18"/>
          <w:szCs w:val="18"/>
          <w:color w:val="auto"/>
        </w:rPr>
      </w:pPr>
      <w:r>
        <w:rPr>
          <w:rFonts w:ascii="Arial" w:cs="Arial" w:eastAsia="Arial" w:hAnsi="Arial"/>
          <w:sz w:val="18"/>
          <w:szCs w:val="18"/>
          <w:color w:val="auto"/>
        </w:rPr>
        <w:t>JPMP Capital Corp. (“</w:t>
      </w:r>
      <w:r>
        <w:rPr>
          <w:rFonts w:ascii="Arial" w:cs="Arial" w:eastAsia="Arial" w:hAnsi="Arial"/>
          <w:sz w:val="18"/>
          <w:szCs w:val="18"/>
          <w:b w:val="1"/>
          <w:bCs w:val="1"/>
          <w:color w:val="auto"/>
        </w:rPr>
        <w:t>JPMP Capital</w:t>
      </w:r>
      <w:r>
        <w:rPr>
          <w:rFonts w:ascii="Arial" w:cs="Arial" w:eastAsia="Arial" w:hAnsi="Arial"/>
          <w:sz w:val="18"/>
          <w:szCs w:val="18"/>
          <w:color w:val="auto"/>
        </w:rPr>
        <w:t>”, and together with JPMP BHCA, the Global Funds, JPMP MFM and JPMP Global,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the general partner of JPMP MFM and JPMP BHCA.</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Each of JPMP Global and JPMP Capital may be deemed, pursuant to Rule 13d-3 under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to beneficially own the shares held by the Global Funds. Each of JPMP MFM and JPMP Capital may be deemed, pursuant to Rule 13d-3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to beneficially own the shares held by the JPMP BHCA. The amount shown represents the beneficial ownership of the Issuer’s common stock held by the Reporting Persons as a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Designated</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Date of Event</w:t>
            </w: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Issuer, Name,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Title and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gridSpan w:val="3"/>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Requiring</w:t>
            </w:r>
          </w:p>
        </w:tc>
        <w:tc>
          <w:tcPr>
            <w:tcW w:w="2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Ticker or</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Reporting Person (1)</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 (1)</w:t>
            </w: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Statement</w:t>
            </w: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J.P. Morgan Partners (BHCA),</w:t>
            </w:r>
          </w:p>
        </w:tc>
        <w:tc>
          <w:tcPr>
            <w:tcW w:w="2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J.P. Morgan Partners</w:t>
            </w:r>
          </w:p>
        </w:tc>
        <w:tc>
          <w:tcPr>
            <w:tcW w:w="2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March 8, 2007</w:t>
            </w:r>
          </w:p>
        </w:tc>
        <w:tc>
          <w:tcPr>
            <w:tcW w:w="2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Emergent BioSolutions</w:t>
            </w:r>
          </w:p>
        </w:tc>
        <w:tc>
          <w:tcPr>
            <w:tcW w:w="24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See Table 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w:t>
            </w:r>
          </w:p>
        </w:tc>
        <w:tc>
          <w:tcPr>
            <w:tcW w:w="18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6"/>
              </w:rPr>
              <w:t>J.P. Morgan Partners</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March 8, 2007</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Emergent BioSolutions</w:t>
            </w: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See Table 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Designated</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Date of Event</w:t>
            </w: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Issuer, Name,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Title and</w:t>
            </w:r>
          </w:p>
        </w:tc>
        <w:tc>
          <w:tcPr>
            <w:tcW w:w="0" w:type="dxa"/>
            <w:vAlign w:val="bottom"/>
          </w:tcPr>
          <w:p>
            <w:pPr>
              <w:spacing w:after="0"/>
              <w:rPr>
                <w:sz w:val="1"/>
                <w:szCs w:val="1"/>
                <w:color w:val="auto"/>
              </w:rPr>
            </w:pPr>
          </w:p>
        </w:tc>
      </w:tr>
      <w:tr>
        <w:trPr>
          <w:trHeight w:val="149"/>
        </w:trPr>
        <w:tc>
          <w:tcPr>
            <w:tcW w:w="3500" w:type="dxa"/>
            <w:vAlign w:val="bottom"/>
            <w:gridSpan w:val="3"/>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Requiring</w:t>
            </w:r>
          </w:p>
        </w:tc>
        <w:tc>
          <w:tcPr>
            <w:tcW w:w="2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Ticker or</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Reporting Person (1)</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 (1)</w:t>
            </w: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Statement</w:t>
            </w: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J.P. Morgan Partners Global</w:t>
            </w:r>
          </w:p>
        </w:tc>
        <w:tc>
          <w:tcPr>
            <w:tcW w:w="2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J.P. Morgan Partners</w:t>
            </w:r>
          </w:p>
        </w:tc>
        <w:tc>
          <w:tcPr>
            <w:tcW w:w="2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March 8, 2007</w:t>
            </w:r>
          </w:p>
        </w:tc>
        <w:tc>
          <w:tcPr>
            <w:tcW w:w="2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Emergent BioSolutions</w:t>
            </w:r>
          </w:p>
        </w:tc>
        <w:tc>
          <w:tcPr>
            <w:tcW w:w="24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See Table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(Cayman), 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w:t>
            </w:r>
          </w:p>
        </w:tc>
        <w:tc>
          <w:tcPr>
            <w:tcW w:w="18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6"/>
              </w:rPr>
              <w:t>J.P. Morgan Partners</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March 8, 2007</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Emergent BioSolutions</w:t>
            </w: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See Table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A, 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w:t>
            </w:r>
          </w:p>
        </w:tc>
        <w:tc>
          <w:tcPr>
            <w:tcW w:w="18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6"/>
              </w:rPr>
              <w:t>J.P. Morgan Partners</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March 8, 2007</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Emergent BioSolutions</w:t>
            </w: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See Table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(Cayman) II, 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w:t>
            </w:r>
          </w:p>
        </w:tc>
        <w:tc>
          <w:tcPr>
            <w:tcW w:w="18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6"/>
              </w:rPr>
              <w:t>J.P. Morgan Partners</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March 8, 2007</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Emergent BioSolutions</w:t>
            </w: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See Table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(Selldown), L.P.</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(BHCA), L.P.</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Inc. [EBS]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J.P. Morgan Partners Global</w:t>
            </w:r>
          </w:p>
        </w:tc>
        <w:tc>
          <w:tcPr>
            <w:tcW w:w="24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J.P. Morgan Partners</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8, 2007</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Emergent BioSolutions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See Table 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Investors (Selldown) II, L.P.</w:t>
            </w:r>
          </w:p>
        </w:tc>
        <w:tc>
          <w:tcPr>
            <w:tcW w:w="24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(BHCA), L.P.</w:t>
            </w: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Inc. [EBS]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2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JPMP Master Fund Manager, L.P.</w:t>
            </w:r>
          </w:p>
        </w:tc>
        <w:tc>
          <w:tcPr>
            <w:tcW w:w="242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6"/>
              </w:rPr>
              <w:t>J.P. Morgan Partners</w:t>
            </w:r>
          </w:p>
        </w:tc>
        <w:tc>
          <w:tcPr>
            <w:tcW w:w="1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March 8, 2007</w:t>
            </w: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Emergent BioSolutions</w:t>
            </w: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See Table 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24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(BHCA), L.P.</w:t>
            </w: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Inc. [EBS]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2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JPMP Global Investors, L.P.</w:t>
            </w:r>
          </w:p>
        </w:tc>
        <w:tc>
          <w:tcPr>
            <w:tcW w:w="242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6"/>
              </w:rPr>
              <w:t>J.P. Morgan Partners</w:t>
            </w:r>
          </w:p>
        </w:tc>
        <w:tc>
          <w:tcPr>
            <w:tcW w:w="1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March 8, 2007</w:t>
            </w: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Emergent BioSolutions</w:t>
            </w: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See Table 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24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(BHCA), L.P.</w:t>
            </w: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Inc. [EBS]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Row 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2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JPMP Capital Corp.</w:t>
            </w:r>
          </w:p>
        </w:tc>
        <w:tc>
          <w:tcPr>
            <w:tcW w:w="242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6"/>
              </w:rPr>
              <w:t>J.P. Morgan Partners</w:t>
            </w:r>
          </w:p>
        </w:tc>
        <w:tc>
          <w:tcPr>
            <w:tcW w:w="1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March 8, 2007</w:t>
            </w: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Emergent BioSolutions</w:t>
            </w: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See Table 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24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6"/>
              </w:rPr>
              <w:t>(BHCA), L.P.</w:t>
            </w: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Inc. [EBS]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Row 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2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24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Title of Derivative</w:t>
            </w: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Securities and</w:t>
            </w:r>
          </w:p>
        </w:tc>
        <w:tc>
          <w:tcPr>
            <w:tcW w:w="2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Ownership</w:t>
            </w: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Title and Amount</w:t>
            </w:r>
          </w:p>
        </w:tc>
        <w:tc>
          <w:tcPr>
            <w:tcW w:w="2060" w:type="dxa"/>
            <w:vAlign w:val="bottom"/>
            <w:gridSpan w:val="2"/>
            <w:vMerge w:val="continue"/>
          </w:tcPr>
          <w:p>
            <w:pPr>
              <w:spacing w:after="0"/>
              <w:rPr>
                <w:sz w:val="12"/>
                <w:szCs w:val="12"/>
                <w:color w:val="auto"/>
              </w:rPr>
            </w:pPr>
          </w:p>
        </w:tc>
        <w:tc>
          <w:tcPr>
            <w:tcW w:w="2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Nature of</w:t>
            </w: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Form:</w:t>
            </w:r>
          </w:p>
        </w:tc>
        <w:tc>
          <w:tcPr>
            <w:tcW w:w="2240" w:type="dxa"/>
            <w:vAlign w:val="bottom"/>
            <w:gridSpan w:val="2"/>
            <w:vMerge w:val="continue"/>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Disclaims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Direct (D)</w:t>
            </w:r>
          </w:p>
        </w:tc>
        <w:tc>
          <w:tcPr>
            <w:tcW w:w="2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Indirect</w:t>
            </w: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3"/>
            <w:vMerge w:val="continue"/>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 Indirect</w:t>
            </w:r>
          </w:p>
        </w:tc>
        <w:tc>
          <w:tcPr>
            <w:tcW w:w="2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Pecuniary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Reporting Person (1)</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w:t>
            </w: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Ownership</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J.P. Morgan Partners (BHCA), L.P.</w:t>
            </w:r>
          </w:p>
        </w:tc>
        <w:tc>
          <w:tcPr>
            <w:tcW w:w="2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Applicable</w:t>
            </w:r>
          </w:p>
        </w:tc>
        <w:tc>
          <w:tcPr>
            <w:tcW w:w="2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D</w:t>
            </w:r>
          </w:p>
        </w:tc>
        <w:tc>
          <w:tcPr>
            <w:tcW w:w="26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Applicable</w:t>
            </w:r>
          </w:p>
        </w:tc>
        <w:tc>
          <w:tcPr>
            <w:tcW w:w="2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J.P. Morgan Partners Global Investors, L.P.</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 Investors</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L.P.</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 Investors A,</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L.P.</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 Investors</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II, L.P.</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 Investors</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(Selldown), L.P.</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 Morgan Partners Global Investors</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Not Applicable</w:t>
            </w:r>
          </w:p>
        </w:tc>
        <w:tc>
          <w:tcPr>
            <w:tcW w:w="1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(Selldown) II, L.P.</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JPMP Master Fund Manager, L.P.</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rPr>
              <w:t>I</w:t>
            </w:r>
          </w:p>
        </w:tc>
        <w:tc>
          <w:tcPr>
            <w:tcW w:w="22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See Explanatory Note 1</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below</w:t>
            </w: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Title of Derivative</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 and</w:t>
            </w:r>
          </w:p>
        </w:tc>
        <w:tc>
          <w:tcPr>
            <w:tcW w:w="2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Ownership</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Title and Amount</w:t>
            </w:r>
          </w:p>
        </w:tc>
        <w:tc>
          <w:tcPr>
            <w:tcW w:w="2060" w:type="dxa"/>
            <w:vAlign w:val="bottom"/>
            <w:gridSpan w:val="2"/>
            <w:vMerge w:val="continue"/>
          </w:tcPr>
          <w:p>
            <w:pPr>
              <w:spacing w:after="0"/>
              <w:rPr>
                <w:sz w:val="12"/>
                <w:szCs w:val="12"/>
                <w:color w:val="auto"/>
              </w:rPr>
            </w:pPr>
          </w:p>
        </w:tc>
        <w:tc>
          <w:tcPr>
            <w:tcW w:w="2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Nature of</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Securities</w:t>
            </w:r>
          </w:p>
        </w:tc>
        <w:tc>
          <w:tcPr>
            <w:tcW w:w="2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Form:</w:t>
            </w:r>
          </w:p>
        </w:tc>
        <w:tc>
          <w:tcPr>
            <w:tcW w:w="2260" w:type="dxa"/>
            <w:vAlign w:val="bottom"/>
            <w:gridSpan w:val="2"/>
            <w:vMerge w:val="continue"/>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Disclaims</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Direct (D)</w:t>
            </w:r>
          </w:p>
        </w:tc>
        <w:tc>
          <w:tcPr>
            <w:tcW w:w="2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Indirect</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3"/>
            <w:vMerge w:val="continue"/>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or Indirect</w:t>
            </w:r>
          </w:p>
        </w:tc>
        <w:tc>
          <w:tcPr>
            <w:tcW w:w="2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Pecuniary</w:t>
            </w:r>
          </w:p>
        </w:tc>
        <w:tc>
          <w:tcPr>
            <w:tcW w:w="0" w:type="dxa"/>
            <w:vAlign w:val="bottom"/>
          </w:tcPr>
          <w:p>
            <w:pPr>
              <w:spacing w:after="0"/>
              <w:rPr>
                <w:sz w:val="1"/>
                <w:szCs w:val="1"/>
                <w:color w:val="auto"/>
              </w:rPr>
            </w:pPr>
          </w:p>
        </w:tc>
      </w:tr>
      <w:tr>
        <w:trPr>
          <w:trHeight w:val="17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Reporting Person (1)</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w:t>
            </w:r>
          </w:p>
        </w:tc>
        <w:tc>
          <w:tcPr>
            <w:tcW w:w="2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Ownership</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JPMP Global Investors, L.P.</w:t>
            </w:r>
          </w:p>
        </w:tc>
        <w:tc>
          <w:tcPr>
            <w:tcW w:w="2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Applicable</w:t>
            </w:r>
          </w:p>
        </w:tc>
        <w:tc>
          <w:tcPr>
            <w:tcW w:w="2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I</w:t>
            </w:r>
          </w:p>
        </w:tc>
        <w:tc>
          <w:tcPr>
            <w:tcW w:w="2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See Explanatory Note 2</w:t>
            </w:r>
          </w:p>
        </w:tc>
        <w:tc>
          <w:tcPr>
            <w:tcW w:w="2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below</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JPMP Capital Corp.</w:t>
            </w:r>
          </w:p>
        </w:tc>
        <w:tc>
          <w:tcPr>
            <w:tcW w:w="1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Not Applicable</w:t>
            </w:r>
          </w:p>
        </w:tc>
        <w:tc>
          <w:tcPr>
            <w:tcW w:w="2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rPr>
              <w:t>I</w:t>
            </w:r>
          </w:p>
        </w:tc>
        <w:tc>
          <w:tcPr>
            <w:tcW w:w="22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9"/>
              </w:rPr>
              <w:t>See Explanatory Note 3</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J.P. Morgan Partners, LLC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below</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 Park Avenue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w:t>
      </w:r>
    </w:p>
    <w:p>
      <w:pPr>
        <w:spacing w:after="0" w:line="225" w:lineRule="exact"/>
        <w:rPr>
          <w:sz w:val="20"/>
          <w:szCs w:val="20"/>
          <w:color w:val="auto"/>
        </w:rPr>
      </w:pPr>
    </w:p>
    <w:p>
      <w:pPr>
        <w:ind w:right="180" w:firstLine="656"/>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amounts shown in Table I in row 2 represents the beneficial ownership of the Issuer’s securities held by JPMP BHCA, a portion of which may be attributable to JPMP MFM because it is the sole general partner of JPMP BHCA. The actual pro rata portion of such beneficial ownership that may be attributable to JPMP MFM is not readily determinable because it is subject to several variables, including the internal rate of return and vesting interest within JPMP BHCA. JPMP MFM disclaims such beneficial ownership except to the extent of its pecuniary interest.</w:t>
      </w:r>
    </w:p>
    <w:p>
      <w:pPr>
        <w:spacing w:after="0" w:line="171" w:lineRule="exact"/>
        <w:rPr>
          <w:rFonts w:ascii="Arial" w:cs="Arial" w:eastAsia="Arial" w:hAnsi="Arial"/>
          <w:sz w:val="17"/>
          <w:szCs w:val="17"/>
          <w:color w:val="auto"/>
        </w:rPr>
      </w:pPr>
    </w:p>
    <w:p>
      <w:pPr>
        <w:ind w:right="120" w:firstLine="656"/>
        <w:spacing w:after="0" w:line="30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amounts shown in Table I in row 3 through 8 represents the beneficial ownership of the Issuer’s securities held by the Global Funds, a portion of which may be attributable to JPMP Global because it is the sole general partner of the Global Funds. The actual pro rata portion of such beneficial ownership that may be attributable to JPMP Global is not readily determinable because it is subject to several variables, including the internal rate of return and vesting interest within the Global Funds. JPMP Global disclaims beneficial ownership except to the extent of its pecuniary interest.</w:t>
      </w:r>
    </w:p>
    <w:p>
      <w:pPr>
        <w:spacing w:after="0" w:line="154" w:lineRule="exact"/>
        <w:rPr>
          <w:rFonts w:ascii="Arial" w:cs="Arial" w:eastAsia="Arial" w:hAnsi="Arial"/>
          <w:sz w:val="16"/>
          <w:szCs w:val="16"/>
          <w:color w:val="auto"/>
        </w:rPr>
      </w:pPr>
    </w:p>
    <w:p>
      <w:pPr>
        <w:ind w:right="100" w:firstLine="656"/>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shown in Table I in row 1 represents the beneficial ownership of the Issuer’s securities held by the Reporting Persons, a portion of which may be attributable to JPMP Capital because it is the sole general partner of JPMP MFM and JPMP Global. The actual pro rata portion of such beneficial ownership that may be attributable to JPMP Capital is not readily determinable because it is subject to several variables, including the internal rate of return and vesting interest within the JPMP BHCA and the Global Funds. JPMP Capital disclaims such beneficial ownership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21"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1" Type="http://schemas.openxmlformats.org/officeDocument/2006/relationships/hyperlink" Target="http://www.sec.gov/cgi-bin/browse-edgar?action=getcompany&amp;CIK=0001106607" TargetMode="External"/><Relationship Id="rId12" Type="http://schemas.openxmlformats.org/officeDocument/2006/relationships/hyperlink" Target="http://www.sec.gov/cgi-bin/browse-edgar?action=getcompany&amp;CIK=0001367644" TargetMode="External"/><Relationship Id="rId13" Type="http://schemas.openxmlformats.org/officeDocument/2006/relationships/hyperlink" Target="http://www.sec.gov/cgi-bin/browse-edgar?action=getcompany&amp;CIK=0001162622" TargetMode="External"/><Relationship Id="rId15" Type="http://schemas.openxmlformats.org/officeDocument/2006/relationships/hyperlink" Target="http://www.sec.gov/cgi-bin/browse-edgar?action=getcompany&amp;CIK=0001169890" TargetMode="External"/><Relationship Id="rId16" Type="http://schemas.openxmlformats.org/officeDocument/2006/relationships/hyperlink" Target="http://www.sec.gov/cgi-bin/browse-edgar?action=getcompany&amp;CIK=0001167095" TargetMode="External"/><Relationship Id="rId17" Type="http://schemas.openxmlformats.org/officeDocument/2006/relationships/hyperlink" Target="http://www.sec.gov/cgi-bin/browse-edgar?action=getcompany&amp;CIK=0001169889" TargetMode="External"/><Relationship Id="rId18" Type="http://schemas.openxmlformats.org/officeDocument/2006/relationships/hyperlink" Target="http://www.sec.gov/cgi-bin/browse-edgar?action=getcompany&amp;CIK=0001317638" TargetMode="External"/><Relationship Id="rId19" Type="http://schemas.openxmlformats.org/officeDocument/2006/relationships/hyperlink" Target="http://www.sec.gov/cgi-bin/browse-edgar?action=getcompany&amp;CIK=0001361608" TargetMode="External"/><Relationship Id="rId20" Type="http://schemas.openxmlformats.org/officeDocument/2006/relationships/hyperlink" Target="http://www.sec.gov/cgi-bin/browse-edgar?action=getcompany&amp;CIK=0001243235" TargetMode="External"/><Relationship Id="rId22" Type="http://schemas.openxmlformats.org/officeDocument/2006/relationships/hyperlink" Target="http://www.sec.gov/cgi-bin/browse-edgar?action=getcompany&amp;CIK=0001281161" TargetMode="External"/><Relationship Id="rId23" Type="http://schemas.openxmlformats.org/officeDocument/2006/relationships/hyperlink" Target="http://www.sec.gov/cgi-bin/browse-edgar?action=getcompany&amp;CIK=00013305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2019-12-16T21:25:30Z</dcterms:created>
  <dcterms:modified xsi:type="dcterms:W3CDTF">2019-12-16T21:25:30Z</dcterms:modified>
</cp:coreProperties>
</file>