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5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552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GAITHERSBURG MD</w:t>
            </w:r>
          </w:p>
        </w:tc>
        <w:tc>
          <w:tcPr>
            <w:tcW w:w="1200" w:type="dxa"/>
            <w:vAlign w:val="bottom"/>
          </w:tcPr>
          <w:p>
            <w:pPr>
              <w:ind w:left="100"/>
              <w:spacing w:after="0"/>
              <w:rPr>
                <w:sz w:val="20"/>
                <w:szCs w:val="20"/>
                <w:color w:val="auto"/>
              </w:rPr>
            </w:pPr>
            <w:r>
              <w:rPr>
                <w:rFonts w:ascii="Arial" w:cs="Arial" w:eastAsia="Arial" w:hAnsi="Arial"/>
                <w:sz w:val="18"/>
                <w:szCs w:val="18"/>
                <w:color w:val="0000FF"/>
              </w:rPr>
              <w:t>20879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8"/>
              </w:rPr>
              <w:t>02/26/2020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2,365</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59.91</w:t>
            </w:r>
            <w:r>
              <w:rPr>
                <w:rFonts w:ascii="Arial" w:cs="Arial" w:eastAsia="Arial" w:hAnsi="Arial"/>
                <w:sz w:val="22"/>
                <w:szCs w:val="22"/>
                <w:color w:val="008000"/>
                <w:w w:val="84"/>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1,482,663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20" w:type="dxa"/>
            <w:vAlign w:val="bottom"/>
            <w:gridSpan w:val="3"/>
          </w:tcPr>
          <w:p>
            <w:pPr>
              <w:jc w:val="center"/>
              <w:ind w:left="505"/>
              <w:spacing w:after="0"/>
              <w:rPr>
                <w:sz w:val="20"/>
                <w:szCs w:val="20"/>
                <w:color w:val="auto"/>
              </w:rPr>
            </w:pPr>
            <w:r>
              <w:rPr>
                <w:rFonts w:ascii="Arial" w:cs="Arial" w:eastAsia="Arial" w:hAnsi="Arial"/>
                <w:sz w:val="18"/>
                <w:szCs w:val="18"/>
                <w:color w:val="0000FF"/>
                <w:w w:val="88"/>
              </w:rPr>
              <w:t>02/26/2020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37"/>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26"/>
              <w:spacing w:after="0"/>
              <w:rPr>
                <w:sz w:val="20"/>
                <w:szCs w:val="20"/>
                <w:color w:val="auto"/>
              </w:rPr>
            </w:pPr>
            <w:r>
              <w:rPr>
                <w:rFonts w:ascii="Arial" w:cs="Arial" w:eastAsia="Arial" w:hAnsi="Arial"/>
                <w:sz w:val="18"/>
                <w:szCs w:val="18"/>
                <w:color w:val="0000FF"/>
                <w:w w:val="88"/>
              </w:rPr>
              <w:t>6,429</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128"/>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1,489,092</w:t>
            </w:r>
          </w:p>
        </w:tc>
        <w:tc>
          <w:tcPr>
            <w:tcW w:w="280" w:type="dxa"/>
            <w:vAlign w:val="bottom"/>
          </w:tcPr>
          <w:p>
            <w:pPr>
              <w:spacing w:after="0"/>
              <w:rPr>
                <w:sz w:val="23"/>
                <w:szCs w:val="23"/>
                <w:color w:val="auto"/>
              </w:rPr>
            </w:pPr>
          </w:p>
        </w:tc>
        <w:tc>
          <w:tcPr>
            <w:tcW w:w="700" w:type="dxa"/>
            <w:vAlign w:val="bottom"/>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20" w:type="dxa"/>
            <w:vAlign w:val="bottom"/>
            <w:gridSpan w:val="3"/>
          </w:tcPr>
          <w:p>
            <w:pPr>
              <w:jc w:val="center"/>
              <w:ind w:left="505"/>
              <w:spacing w:after="0"/>
              <w:rPr>
                <w:sz w:val="20"/>
                <w:szCs w:val="20"/>
                <w:color w:val="auto"/>
              </w:rPr>
            </w:pPr>
            <w:r>
              <w:rPr>
                <w:rFonts w:ascii="Arial" w:cs="Arial" w:eastAsia="Arial" w:hAnsi="Arial"/>
                <w:sz w:val="18"/>
                <w:szCs w:val="18"/>
                <w:color w:val="0000FF"/>
                <w:w w:val="88"/>
              </w:rPr>
              <w:t>02/26/2020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37"/>
              <w:spacing w:after="0"/>
              <w:rPr>
                <w:sz w:val="20"/>
                <w:szCs w:val="20"/>
                <w:color w:val="auto"/>
              </w:rPr>
            </w:pPr>
            <w:r>
              <w:rPr>
                <w:rFonts w:ascii="Arial" w:cs="Arial" w:eastAsia="Arial" w:hAnsi="Arial"/>
                <w:sz w:val="14"/>
                <w:szCs w:val="14"/>
                <w:color w:val="0000FF"/>
                <w:w w:val="92"/>
              </w:rPr>
              <w:t>F</w:t>
            </w:r>
          </w:p>
        </w:tc>
        <w:tc>
          <w:tcPr>
            <w:tcW w:w="720" w:type="dxa"/>
            <w:vAlign w:val="bottom"/>
          </w:tcPr>
          <w:p>
            <w:pPr>
              <w:jc w:val="center"/>
              <w:ind w:left="126"/>
              <w:spacing w:after="0"/>
              <w:rPr>
                <w:sz w:val="20"/>
                <w:szCs w:val="20"/>
                <w:color w:val="auto"/>
              </w:rPr>
            </w:pPr>
            <w:r>
              <w:rPr>
                <w:rFonts w:ascii="Arial" w:cs="Arial" w:eastAsia="Arial" w:hAnsi="Arial"/>
                <w:sz w:val="18"/>
                <w:szCs w:val="18"/>
                <w:color w:val="0000FF"/>
                <w:w w:val="88"/>
              </w:rPr>
              <w:t>2,530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59.91</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1,486,562</w:t>
            </w:r>
          </w:p>
        </w:tc>
        <w:tc>
          <w:tcPr>
            <w:tcW w:w="280" w:type="dxa"/>
            <w:vAlign w:val="bottom"/>
          </w:tcPr>
          <w:p>
            <w:pPr>
              <w:spacing w:after="0"/>
              <w:rPr>
                <w:sz w:val="23"/>
                <w:szCs w:val="23"/>
                <w:color w:val="auto"/>
              </w:rPr>
            </w:pPr>
          </w:p>
        </w:tc>
        <w:tc>
          <w:tcPr>
            <w:tcW w:w="700" w:type="dxa"/>
            <w:vAlign w:val="bottom"/>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8"/>
              </w:rPr>
              <w:t>02/26/2020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7"/>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7"/>
              </w:rPr>
              <w:t>13,619</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58.7</w:t>
            </w:r>
            <w:r>
              <w:rPr>
                <w:rFonts w:ascii="Arial" w:cs="Arial" w:eastAsia="Arial" w:hAnsi="Arial"/>
                <w:sz w:val="22"/>
                <w:szCs w:val="22"/>
                <w:color w:val="008000"/>
                <w:w w:val="85"/>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1,472,943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20" w:type="dxa"/>
            <w:vAlign w:val="bottom"/>
            <w:gridSpan w:val="3"/>
          </w:tcPr>
          <w:p>
            <w:pPr>
              <w:jc w:val="center"/>
              <w:ind w:left="505"/>
              <w:spacing w:after="0"/>
              <w:rPr>
                <w:sz w:val="20"/>
                <w:szCs w:val="20"/>
                <w:color w:val="auto"/>
              </w:rPr>
            </w:pPr>
            <w:r>
              <w:rPr>
                <w:rFonts w:ascii="Arial" w:cs="Arial" w:eastAsia="Arial" w:hAnsi="Arial"/>
                <w:sz w:val="18"/>
                <w:szCs w:val="18"/>
                <w:color w:val="0000FF"/>
                <w:w w:val="88"/>
              </w:rPr>
              <w:t>02/27/2020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37"/>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26"/>
              <w:spacing w:after="0"/>
              <w:rPr>
                <w:sz w:val="20"/>
                <w:szCs w:val="20"/>
                <w:color w:val="auto"/>
              </w:rPr>
            </w:pPr>
            <w:r>
              <w:rPr>
                <w:rFonts w:ascii="Arial" w:cs="Arial" w:eastAsia="Arial" w:hAnsi="Arial"/>
                <w:sz w:val="18"/>
                <w:szCs w:val="18"/>
                <w:color w:val="0000FF"/>
                <w:w w:val="88"/>
              </w:rPr>
              <w:t>9,794</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128"/>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1,482,737</w:t>
            </w:r>
          </w:p>
        </w:tc>
        <w:tc>
          <w:tcPr>
            <w:tcW w:w="280" w:type="dxa"/>
            <w:vAlign w:val="bottom"/>
          </w:tcPr>
          <w:p>
            <w:pPr>
              <w:spacing w:after="0"/>
              <w:rPr>
                <w:sz w:val="23"/>
                <w:szCs w:val="23"/>
                <w:color w:val="auto"/>
              </w:rPr>
            </w:pPr>
          </w:p>
        </w:tc>
        <w:tc>
          <w:tcPr>
            <w:tcW w:w="700" w:type="dxa"/>
            <w:vAlign w:val="bottom"/>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20" w:type="dxa"/>
            <w:vAlign w:val="bottom"/>
            <w:gridSpan w:val="3"/>
          </w:tcPr>
          <w:p>
            <w:pPr>
              <w:jc w:val="center"/>
              <w:ind w:left="505"/>
              <w:spacing w:after="0"/>
              <w:rPr>
                <w:sz w:val="20"/>
                <w:szCs w:val="20"/>
                <w:color w:val="auto"/>
              </w:rPr>
            </w:pPr>
            <w:r>
              <w:rPr>
                <w:rFonts w:ascii="Arial" w:cs="Arial" w:eastAsia="Arial" w:hAnsi="Arial"/>
                <w:sz w:val="18"/>
                <w:szCs w:val="18"/>
                <w:color w:val="0000FF"/>
                <w:w w:val="88"/>
              </w:rPr>
              <w:t>02/27/2020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37"/>
              <w:spacing w:after="0"/>
              <w:rPr>
                <w:sz w:val="20"/>
                <w:szCs w:val="20"/>
                <w:color w:val="auto"/>
              </w:rPr>
            </w:pPr>
            <w:r>
              <w:rPr>
                <w:rFonts w:ascii="Arial" w:cs="Arial" w:eastAsia="Arial" w:hAnsi="Arial"/>
                <w:sz w:val="14"/>
                <w:szCs w:val="14"/>
                <w:color w:val="0000FF"/>
                <w:w w:val="92"/>
              </w:rPr>
              <w:t>F</w:t>
            </w:r>
          </w:p>
        </w:tc>
        <w:tc>
          <w:tcPr>
            <w:tcW w:w="720" w:type="dxa"/>
            <w:vAlign w:val="bottom"/>
          </w:tcPr>
          <w:p>
            <w:pPr>
              <w:jc w:val="center"/>
              <w:ind w:left="126"/>
              <w:spacing w:after="0"/>
              <w:rPr>
                <w:sz w:val="20"/>
                <w:szCs w:val="20"/>
                <w:color w:val="auto"/>
              </w:rPr>
            </w:pPr>
            <w:r>
              <w:rPr>
                <w:rFonts w:ascii="Arial" w:cs="Arial" w:eastAsia="Arial" w:hAnsi="Arial"/>
                <w:sz w:val="18"/>
                <w:szCs w:val="18"/>
                <w:color w:val="0000FF"/>
                <w:w w:val="88"/>
              </w:rPr>
              <w:t>3,854</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58.42</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1,478,883</w:t>
            </w:r>
          </w:p>
        </w:tc>
        <w:tc>
          <w:tcPr>
            <w:tcW w:w="280" w:type="dxa"/>
            <w:vAlign w:val="bottom"/>
          </w:tcPr>
          <w:p>
            <w:pPr>
              <w:spacing w:after="0"/>
              <w:rPr>
                <w:sz w:val="23"/>
                <w:szCs w:val="23"/>
                <w:color w:val="auto"/>
              </w:rPr>
            </w:pPr>
          </w:p>
        </w:tc>
        <w:tc>
          <w:tcPr>
            <w:tcW w:w="700" w:type="dxa"/>
            <w:vAlign w:val="bottom"/>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8"/>
              </w:rPr>
              <w:t>02/27/2020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7"/>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9,837</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56.97</w:t>
            </w:r>
            <w:r>
              <w:rPr>
                <w:rFonts w:ascii="Arial" w:cs="Arial" w:eastAsia="Arial" w:hAnsi="Arial"/>
                <w:sz w:val="22"/>
                <w:szCs w:val="22"/>
                <w:color w:val="008000"/>
                <w:w w:val="84"/>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1,469,046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(6)</w:t>
            </w:r>
          </w:p>
        </w:tc>
        <w:tc>
          <w:tcPr>
            <w:tcW w:w="280" w:type="dxa"/>
            <w:vAlign w:val="bottom"/>
          </w:tcPr>
          <w:p>
            <w:pPr>
              <w:spacing w:after="0"/>
              <w:rPr>
                <w:sz w:val="18"/>
                <w:szCs w:val="18"/>
                <w:color w:val="auto"/>
              </w:rPr>
            </w:pPr>
          </w:p>
        </w:tc>
        <w:tc>
          <w:tcPr>
            <w:tcW w:w="700" w:type="dxa"/>
            <w:vAlign w:val="bottom"/>
          </w:tcPr>
          <w:p>
            <w:pPr>
              <w:jc w:val="center"/>
              <w:ind w:right="284"/>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(7)</w:t>
            </w:r>
          </w:p>
        </w:tc>
        <w:tc>
          <w:tcPr>
            <w:tcW w:w="280" w:type="dxa"/>
            <w:vAlign w:val="bottom"/>
          </w:tcPr>
          <w:p>
            <w:pPr>
              <w:spacing w:after="0"/>
              <w:rPr>
                <w:sz w:val="18"/>
                <w:szCs w:val="18"/>
                <w:color w:val="auto"/>
              </w:rPr>
            </w:pPr>
          </w:p>
        </w:tc>
        <w:tc>
          <w:tcPr>
            <w:tcW w:w="700" w:type="dxa"/>
            <w:vAlign w:val="bottom"/>
          </w:tcPr>
          <w:p>
            <w:pPr>
              <w:jc w:val="center"/>
              <w:ind w:right="284"/>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1"/>
          </w:tcPr>
          <w:p>
            <w:pPr>
              <w:jc w:val="center"/>
              <w:ind w:left="3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4"/>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46"/>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02/26/2020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6,429</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ind w:right="26"/>
              <w:spacing w:after="0"/>
              <w:rPr>
                <w:sz w:val="20"/>
                <w:szCs w:val="20"/>
                <w:color w:val="auto"/>
              </w:rPr>
            </w:pPr>
            <w:r>
              <w:rPr>
                <w:rFonts w:ascii="Arial" w:cs="Arial" w:eastAsia="Arial" w:hAnsi="Arial"/>
                <w:sz w:val="11"/>
                <w:szCs w:val="11"/>
                <w:color w:val="008000"/>
              </w:rPr>
              <w:t>(8)</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6,429</w:t>
            </w:r>
          </w:p>
        </w:tc>
        <w:tc>
          <w:tcPr>
            <w:tcW w:w="180" w:type="dxa"/>
            <w:vAlign w:val="bottom"/>
          </w:tcPr>
          <w:p>
            <w:pPr>
              <w:spacing w:after="0"/>
              <w:rPr>
                <w:sz w:val="16"/>
                <w:szCs w:val="16"/>
                <w:color w:val="auto"/>
              </w:rPr>
            </w:pPr>
          </w:p>
        </w:tc>
        <w:tc>
          <w:tcPr>
            <w:tcW w:w="62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47,774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02/27/2020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9,794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720" w:type="dxa"/>
            <w:vAlign w:val="bottom"/>
            <w:vMerge w:val="restart"/>
          </w:tcPr>
          <w:p>
            <w:pPr>
              <w:jc w:val="center"/>
              <w:ind w:right="26"/>
              <w:spacing w:after="0"/>
              <w:rPr>
                <w:sz w:val="20"/>
                <w:szCs w:val="20"/>
                <w:color w:val="auto"/>
              </w:rPr>
            </w:pPr>
            <w:r>
              <w:rPr>
                <w:rFonts w:ascii="Arial" w:cs="Arial" w:eastAsia="Arial" w:hAnsi="Arial"/>
                <w:sz w:val="11"/>
                <w:szCs w:val="11"/>
                <w:color w:val="008000"/>
              </w:rPr>
              <w:t>(9)</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9,794</w:t>
            </w:r>
          </w:p>
        </w:tc>
        <w:tc>
          <w:tcPr>
            <w:tcW w:w="180" w:type="dxa"/>
            <w:vAlign w:val="bottom"/>
          </w:tcPr>
          <w:p>
            <w:pPr>
              <w:spacing w:after="0"/>
              <w:rPr>
                <w:sz w:val="16"/>
                <w:szCs w:val="16"/>
                <w:color w:val="auto"/>
              </w:rPr>
            </w:pPr>
          </w:p>
        </w:tc>
        <w:tc>
          <w:tcPr>
            <w:tcW w:w="62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37,980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withholding of shares by Emergent Biosolutions Inc. to satisfy tax withholding obligations on the vesting of restricted stock units pursuant to award granted February 26, 2019, which was inadvertently not reported on a Form 4 filed on February 27,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convert into common stock on a one-for-one basis.</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listed on this Form 4 were made by the Reporting Person pursuant to a trading plan adopted on September 4, 2019 that is intended to comply with Rule 10b5-1(c) under the Securities Exchange Act of 1934.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reflects a weighted average price. These shares were sold in multiple transactions at prices ranging from $57.38 to $60.39.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reflects a weighted average price. These shares were sold in multiple transactions at prices ranging from $56.25 to $58.08.</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27, 2018, Mr. El-Hibri was granted 19,288 restricted stock units vesting in three approximately equal annual installments beginning on the day prior to the first anniversary of the grant date.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9. On February 28, 2017, Mr. El-Hibri was granted 29,382 restricted stock units vesting in three approximately equal annual installments beginning on the day prior to the first anniversary of the grant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ind w:left="682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02/28/2020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2020-02-28T21:47:52Z</dcterms:created>
  <dcterms:modified xsi:type="dcterms:W3CDTF">2020-02-28T21:47:52Z</dcterms:modified>
</cp:coreProperties>
</file>