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w w:val="91"/>
              </w:rPr>
              <w:t>Yasmine Gibellini</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Germany</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6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1,375,084*</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1,375,084*</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5"/>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5.0%**</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 w:right="140" w:hanging="4"/>
        <w:spacing w:after="0" w:line="258" w:lineRule="auto"/>
        <w:tabs>
          <w:tab w:leader="none" w:pos="203" w:val="left"/>
        </w:tabs>
        <w:numPr>
          <w:ilvl w:val="0"/>
          <w:numId w:val="2"/>
        </w:numPr>
        <w:rPr>
          <w:rFonts w:ascii="Arial" w:cs="Arial" w:eastAsia="Arial" w:hAnsi="Arial"/>
          <w:sz w:val="16"/>
          <w:szCs w:val="16"/>
          <w:color w:val="auto"/>
        </w:rPr>
      </w:pPr>
      <w:r>
        <w:rPr>
          <w:rFonts w:ascii="Arial" w:cs="Arial" w:eastAsia="Arial" w:hAnsi="Arial"/>
          <w:sz w:val="16"/>
          <w:szCs w:val="16"/>
          <w:color w:val="auto"/>
        </w:rPr>
        <w:t>Yasmine Gibellini and her husband Mauro Gibellini have shared dispositive power over 100% of the shares of Emergent BioSolutions Inc. (the “Issuer”) owned by Biologika, L.L.C. (“Biologika”) as tenants by the entirety. However, Biologika is a party to a voting agreement, dated June 30, 2004, pursuant to which it granted a proxy to BioPharm, L.L.C. (“BioPharm”) to vote all of the shares of the Issuer that it owns in the same manner and to the same extent as BioPharm votes its own shares of the Issuer. Biologika is a party to another voting agreement, dated June 30, 2004, pursuant to which it granted a</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line="349" w:lineRule="auto"/>
        <w:rPr>
          <w:sz w:val="20"/>
          <w:szCs w:val="20"/>
          <w:color w:val="auto"/>
        </w:rPr>
      </w:pPr>
      <w:r>
        <w:rPr>
          <w:rFonts w:ascii="Arial" w:cs="Arial" w:eastAsia="Arial" w:hAnsi="Arial"/>
          <w:sz w:val="14"/>
          <w:szCs w:val="14"/>
          <w:color w:val="auto"/>
        </w:rPr>
        <w:t>proxy to Fuad El-Hibri, the General Manager of Intervac, L.L.C. to vote all of the shares that it owns of the Issuer in the manner set forth in that voting agreement. Therefore, as of the date of this filing, Mr. and Mrs. Gibellini beneficially own 1,375,084 shares of the Issuer over which they have shared dispositive power with Biologika but no voting power.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Based on 27,596,249 shares of Emergent BioSolutions Inc. issued and outstanding as of December 31, 2006.</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c>
          <w:tcPr>
            <w:tcW w:w="200" w:type="dxa"/>
            <w:vAlign w:val="bottom"/>
          </w:tcPr>
          <w:p>
            <w:pPr>
              <w:spacing w:after="0"/>
              <w:rPr>
                <w:sz w:val="24"/>
                <w:szCs w:val="24"/>
                <w:color w:val="auto"/>
              </w:rPr>
            </w:pP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w w:val="93"/>
              </w:rPr>
              <w:t>2273 Research Blvd.</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c>
          <w:tcPr>
            <w:tcW w:w="20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Yasmine Gibellini</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4460" w:type="dxa"/>
            <w:vAlign w:val="bottom"/>
            <w:gridSpan w:val="4"/>
          </w:tcPr>
          <w:p>
            <w:pPr>
              <w:ind w:left="560"/>
              <w:spacing w:after="0"/>
              <w:rPr>
                <w:sz w:val="20"/>
                <w:szCs w:val="20"/>
                <w:color w:val="auto"/>
              </w:rPr>
            </w:pPr>
            <w:r>
              <w:rPr>
                <w:rFonts w:ascii="Arial" w:cs="Arial" w:eastAsia="Arial" w:hAnsi="Arial"/>
                <w:sz w:val="16"/>
                <w:szCs w:val="16"/>
                <w:color w:val="auto"/>
                <w:w w:val="91"/>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11308 Glen Road</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w w:val="97"/>
              </w:rPr>
              <w:t>Potomac, MD 20854</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Germany</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1,375,084</w:t>
            </w:r>
          </w:p>
        </w:tc>
        <w:tc>
          <w:tcPr>
            <w:tcW w:w="20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68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640" w:type="dxa"/>
            <w:vAlign w:val="bottom"/>
          </w:tcPr>
          <w:p>
            <w:pPr>
              <w:jc w:val="right"/>
              <w:ind w:right="1100"/>
              <w:spacing w:after="0"/>
              <w:rPr>
                <w:sz w:val="20"/>
                <w:szCs w:val="20"/>
                <w:color w:val="auto"/>
              </w:rPr>
            </w:pPr>
            <w:r>
              <w:rPr>
                <w:rFonts w:ascii="Arial" w:cs="Arial" w:eastAsia="Arial" w:hAnsi="Arial"/>
                <w:sz w:val="16"/>
                <w:szCs w:val="16"/>
                <w:b w:val="1"/>
                <w:bCs w:val="1"/>
                <w:color w:val="auto"/>
              </w:rPr>
              <w:t>5.0%</w:t>
            </w:r>
          </w:p>
        </w:tc>
        <w:tc>
          <w:tcPr>
            <w:tcW w:w="200" w:type="dxa"/>
            <w:vAlign w:val="bottom"/>
          </w:tcPr>
          <w:p>
            <w:pPr>
              <w:spacing w:after="0"/>
              <w:rPr>
                <w:sz w:val="24"/>
                <w:szCs w:val="24"/>
                <w:color w:val="auto"/>
              </w:rPr>
            </w:pPr>
          </w:p>
        </w:tc>
      </w:tr>
      <w:tr>
        <w:trPr>
          <w:trHeight w:val="442"/>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(c)</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w w:val="91"/>
              </w:rPr>
              <w:t>Number of shares as to which such person has:</w:t>
            </w:r>
          </w:p>
        </w:tc>
        <w:tc>
          <w:tcPr>
            <w:tcW w:w="20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bl>
    <w:p>
      <w:pPr>
        <w:spacing w:after="0" w:line="247"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757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w:t>
            </w:r>
          </w:p>
        </w:tc>
        <w:tc>
          <w:tcPr>
            <w:tcW w:w="3040" w:type="dxa"/>
            <w:vAlign w:val="bottom"/>
          </w:tcPr>
          <w:p>
            <w:pPr>
              <w:spacing w:after="0"/>
              <w:rPr>
                <w:sz w:val="20"/>
                <w:szCs w:val="20"/>
                <w:color w:val="auto"/>
              </w:rPr>
            </w:pPr>
            <w:r>
              <w:rPr>
                <w:rFonts w:ascii="Arial" w:cs="Arial" w:eastAsia="Arial" w:hAnsi="Arial"/>
                <w:sz w:val="16"/>
                <w:szCs w:val="16"/>
                <w:color w:val="auto"/>
              </w:rPr>
              <w:t>shared power to vote or to direct the vote:</w:t>
            </w:r>
          </w:p>
        </w:tc>
        <w:tc>
          <w:tcPr>
            <w:tcW w:w="58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3860"/>
              <w:spacing w:after="0"/>
              <w:rPr>
                <w:sz w:val="20"/>
                <w:szCs w:val="20"/>
                <w:color w:val="auto"/>
              </w:rPr>
            </w:pPr>
            <w:r>
              <w:rPr>
                <w:rFonts w:ascii="Arial" w:cs="Arial" w:eastAsia="Arial" w:hAnsi="Arial"/>
                <w:sz w:val="16"/>
                <w:szCs w:val="16"/>
                <w:b w:val="1"/>
                <w:bCs w:val="1"/>
                <w:color w:val="auto"/>
              </w:rPr>
              <w:t>Not applicable.</w:t>
            </w:r>
          </w:p>
        </w:tc>
      </w:tr>
      <w:tr>
        <w:trPr>
          <w:trHeight w:val="442"/>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540"/>
              <w:spacing w:after="0"/>
              <w:rPr>
                <w:sz w:val="20"/>
                <w:szCs w:val="20"/>
                <w:color w:val="auto"/>
              </w:rPr>
            </w:pPr>
            <w:r>
              <w:rPr>
                <w:rFonts w:ascii="Arial" w:cs="Arial" w:eastAsia="Arial" w:hAnsi="Arial"/>
                <w:sz w:val="16"/>
                <w:szCs w:val="16"/>
                <w:b w:val="1"/>
                <w:bCs w:val="1"/>
                <w:color w:val="auto"/>
                <w:w w:val="92"/>
              </w:rPr>
              <w:t>1,375,084</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4"/>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w w:val="94"/>
              </w:rPr>
              <w:t>Identification and Classification of Members of the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Notice of Dissolution of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tcPr>
          <w:p>
            <w:pPr>
              <w:ind w:left="620"/>
              <w:spacing w:after="0"/>
              <w:rPr>
                <w:sz w:val="20"/>
                <w:szCs w:val="20"/>
                <w:color w:val="auto"/>
              </w:rPr>
            </w:pPr>
            <w:r>
              <w:rPr>
                <w:rFonts w:ascii="Arial" w:cs="Arial" w:eastAsia="Arial" w:hAnsi="Arial"/>
                <w:sz w:val="16"/>
                <w:szCs w:val="16"/>
                <w:color w:val="auto"/>
                <w:w w:val="92"/>
              </w:rPr>
              <w:t>Certification.</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98" w:right="259" w:bottom="1440" w:gutter="0" w:footer="0" w:header="0"/>
        </w:sectPr>
      </w:pPr>
    </w:p>
    <w:bookmarkStart w:id="5" w:name="page6"/>
    <w:bookmarkEnd w:id="5"/>
    <w:p>
      <w:pPr>
        <w:ind w:left="5240"/>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Yasmine Gibellini</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660"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-115570</wp:posOffset>
            </wp:positionV>
            <wp:extent cx="2420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ind w:left="4680"/>
        <w:spacing w:after="0"/>
        <w:tabs>
          <w:tab w:leader="none" w:pos="51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30"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340"/>
          </w:cols>
          <w:pgMar w:left="240" w:top="338" w:right="1319" w:bottom="1440" w:gutter="0" w:footer="0" w:header="0"/>
        </w:sectPr>
      </w:pPr>
    </w:p>
    <w:bookmarkStart w:id="6" w:name="page7"/>
    <w:bookmarkEnd w:id="6"/>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0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18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394"/>
        </w:trPr>
        <w:tc>
          <w:tcPr>
            <w:tcW w:w="1500" w:type="dxa"/>
            <w:vAlign w:val="bottom"/>
          </w:tcPr>
          <w:p>
            <w:pPr>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1"/>
              </w:rPr>
              <w:t>Power of Attorney</w:t>
            </w:r>
          </w:p>
        </w:tc>
      </w:tr>
    </w:tbl>
    <w:p>
      <w:pPr>
        <w:sectPr>
          <w:pgSz w:w="11900" w:h="16838" w:orient="portrait"/>
          <w:cols w:equalWidth="0" w:num="1">
            <w:col w:w="10219"/>
          </w:cols>
          <w:pgMar w:left="240" w:top="338"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color w:val="auto"/>
        </w:rPr>
        <w:t>EXHIBIT 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6" w:lineRule="exact"/>
        <w:rPr>
          <w:sz w:val="20"/>
          <w:szCs w:val="20"/>
          <w:color w:val="auto"/>
        </w:rPr>
      </w:pPr>
    </w:p>
    <w:p>
      <w:pPr>
        <w:ind w:right="80" w:firstLine="574"/>
        <w:spacing w:after="0" w:line="265" w:lineRule="auto"/>
        <w:rPr>
          <w:sz w:val="20"/>
          <w:szCs w:val="20"/>
          <w:color w:val="auto"/>
        </w:rPr>
      </w:pPr>
      <w:r>
        <w:rPr>
          <w:rFonts w:ascii="Arial" w:cs="Arial" w:eastAsia="Arial" w:hAnsi="Arial"/>
          <w:sz w:val="16"/>
          <w:szCs w:val="16"/>
          <w:color w:val="auto"/>
        </w:rPr>
        <w:t xml:space="preserve">Know all by these presents, that the undersigned hereby makes, constitutes and appoints any attorney or legal assistant of Thelen Reid &amp; Priest LLP, including </w:t>
      </w:r>
      <w:r>
        <w:rPr>
          <w:rFonts w:ascii="Arial" w:cs="Arial" w:eastAsia="Arial" w:hAnsi="Arial"/>
          <w:sz w:val="16"/>
          <w:szCs w:val="16"/>
          <w:b w:val="1"/>
          <w:bCs w:val="1"/>
          <w:color w:val="auto"/>
        </w:rPr>
        <w:t>Carl A.</w:t>
      </w:r>
      <w:r>
        <w:rPr>
          <w:rFonts w:ascii="Arial" w:cs="Arial" w:eastAsia="Arial" w:hAnsi="Arial"/>
          <w:sz w:val="16"/>
          <w:szCs w:val="16"/>
          <w:color w:val="auto"/>
        </w:rPr>
        <w:t xml:space="preserve"> </w:t>
      </w:r>
      <w:r>
        <w:rPr>
          <w:rFonts w:ascii="Arial" w:cs="Arial" w:eastAsia="Arial" w:hAnsi="Arial"/>
          <w:sz w:val="16"/>
          <w:szCs w:val="16"/>
          <w:b w:val="1"/>
          <w:bCs w:val="1"/>
          <w:color w:val="auto"/>
        </w:rPr>
        <w:t>Valenstein, Esq., Joseph R. Tiano, Esq., Andrea Schroepfer and Rachel Lipman</w:t>
      </w:r>
      <w:r>
        <w:rPr>
          <w:rFonts w:ascii="Arial" w:cs="Arial" w:eastAsia="Arial" w:hAnsi="Arial"/>
          <w:sz w:val="16"/>
          <w:szCs w:val="16"/>
          <w:color w:val="auto"/>
        </w:rPr>
        <w:t>, signing singly and each acting individually, as the undersigned’s true and lawful attorney-in-fact with full power and authority as hereinafter described to:</w:t>
      </w:r>
    </w:p>
    <w:p>
      <w:pPr>
        <w:spacing w:after="0" w:line="203" w:lineRule="exact"/>
        <w:rPr>
          <w:sz w:val="20"/>
          <w:szCs w:val="20"/>
          <w:color w:val="auto"/>
        </w:rPr>
      </w:pPr>
    </w:p>
    <w:p>
      <w:pPr>
        <w:ind w:right="220" w:firstLine="569"/>
        <w:spacing w:after="0" w:line="315" w:lineRule="auto"/>
        <w:tabs>
          <w:tab w:leader="none" w:pos="1126"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execute, acknowledge, and deliver such written documentation with respect to completing and filing a </w:t>
      </w:r>
      <w:r>
        <w:rPr>
          <w:rFonts w:ascii="Arial" w:cs="Arial" w:eastAsia="Arial" w:hAnsi="Arial"/>
          <w:sz w:val="15"/>
          <w:szCs w:val="15"/>
          <w:b w:val="1"/>
          <w:bCs w:val="1"/>
          <w:color w:val="auto"/>
        </w:rPr>
        <w:t>UNIFORM APPLICATION FOR ACCESS CODES</w:t>
      </w:r>
      <w:r>
        <w:rPr>
          <w:rFonts w:ascii="Arial" w:cs="Arial" w:eastAsia="Arial" w:hAnsi="Arial"/>
          <w:sz w:val="15"/>
          <w:szCs w:val="15"/>
          <w:color w:val="auto"/>
        </w:rPr>
        <w:t xml:space="preserve"> </w:t>
      </w:r>
      <w:r>
        <w:rPr>
          <w:rFonts w:ascii="Arial" w:cs="Arial" w:eastAsia="Arial" w:hAnsi="Arial"/>
          <w:sz w:val="15"/>
          <w:szCs w:val="15"/>
          <w:b w:val="1"/>
          <w:bCs w:val="1"/>
          <w:color w:val="auto"/>
        </w:rPr>
        <w:t>TO FILE ON EDGAR with the U.S. Security and Exchange Commission</w:t>
      </w:r>
      <w:r>
        <w:rPr>
          <w:rFonts w:ascii="Arial" w:cs="Arial" w:eastAsia="Arial" w:hAnsi="Arial"/>
          <w:sz w:val="15"/>
          <w:szCs w:val="15"/>
          <w:color w:val="auto"/>
        </w:rPr>
        <w:t>, all upon such terms and conditions as said attorney shall approve.</w:t>
      </w:r>
    </w:p>
    <w:p>
      <w:pPr>
        <w:spacing w:after="0" w:line="172" w:lineRule="exact"/>
        <w:rPr>
          <w:rFonts w:ascii="Arial" w:cs="Arial" w:eastAsia="Arial" w:hAnsi="Arial"/>
          <w:sz w:val="15"/>
          <w:szCs w:val="15"/>
          <w:color w:val="auto"/>
        </w:rPr>
      </w:pPr>
    </w:p>
    <w:p>
      <w:pPr>
        <w:ind w:right="40"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 significant stockholder of Emergent BioSolutions Inc. (the “Company”), Forms 3, 4, and 5 (including any amendments thereto) in accordance with Section 16(a) of the Securities Exchange Act of 1934 and the rules thereunder (the “Exchange Act”) and Forms 13D and/or 13G (including any amendments thereto) in accordance with Section 13 of the Exchange Act;</w:t>
      </w:r>
    </w:p>
    <w:p>
      <w:pPr>
        <w:spacing w:after="0" w:line="210" w:lineRule="exact"/>
        <w:rPr>
          <w:rFonts w:ascii="Arial" w:cs="Arial" w:eastAsia="Arial" w:hAnsi="Arial"/>
          <w:sz w:val="16"/>
          <w:szCs w:val="16"/>
          <w:color w:val="auto"/>
        </w:rPr>
      </w:pPr>
    </w:p>
    <w:p>
      <w:pPr>
        <w:jc w:val="both"/>
        <w:ind w:right="120"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prepare, complete and execute any such Form 3, 4, 5, 13D and/or 13G, prepare, complete and execute any amendment or amendments thereto, and timely deliver and file such form with the United States Securities and Exchange Commission and any stock exchange or similar authority;</w:t>
      </w:r>
    </w:p>
    <w:p>
      <w:pPr>
        <w:spacing w:after="0" w:line="210" w:lineRule="exact"/>
        <w:rPr>
          <w:rFonts w:ascii="Arial" w:cs="Arial" w:eastAsia="Arial" w:hAnsi="Arial"/>
          <w:sz w:val="16"/>
          <w:szCs w:val="16"/>
          <w:color w:val="auto"/>
        </w:rPr>
      </w:pPr>
    </w:p>
    <w:p>
      <w:pPr>
        <w:ind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10" w:lineRule="exact"/>
        <w:rPr>
          <w:rFonts w:ascii="Arial" w:cs="Arial" w:eastAsia="Arial" w:hAnsi="Arial"/>
          <w:sz w:val="16"/>
          <w:szCs w:val="16"/>
          <w:color w:val="auto"/>
        </w:rPr>
      </w:pPr>
    </w:p>
    <w:p>
      <w:pPr>
        <w:ind w:right="40" w:firstLine="569"/>
        <w:spacing w:after="0" w:line="287" w:lineRule="auto"/>
        <w:tabs>
          <w:tab w:leader="none" w:pos="1126" w:val="left"/>
        </w:tabs>
        <w:numPr>
          <w:ilvl w:val="0"/>
          <w:numId w:val="3"/>
        </w:numPr>
        <w:rPr>
          <w:rFonts w:ascii="Arial" w:cs="Arial" w:eastAsia="Arial" w:hAnsi="Arial"/>
          <w:sz w:val="15"/>
          <w:szCs w:val="15"/>
          <w:color w:val="auto"/>
        </w:rPr>
      </w:pPr>
      <w:r>
        <w:rPr>
          <w:rFonts w:ascii="Arial" w:cs="Arial" w:eastAsia="Arial" w:hAnsi="Arial"/>
          <w:sz w:val="15"/>
          <w:szCs w:val="15"/>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4" w:lineRule="exact"/>
        <w:rPr>
          <w:sz w:val="20"/>
          <w:szCs w:val="20"/>
          <w:color w:val="auto"/>
        </w:rPr>
      </w:pPr>
    </w:p>
    <w:p>
      <w:pPr>
        <w:ind w:right="20" w:firstLine="574"/>
        <w:spacing w:after="0" w:line="25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6"/>
          <w:szCs w:val="16"/>
          <w:color w:val="auto"/>
        </w:rPr>
        <w:t>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or Section 13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18" w:lineRule="exact"/>
        <w:rPr>
          <w:sz w:val="20"/>
          <w:szCs w:val="20"/>
          <w:color w:val="auto"/>
        </w:rPr>
      </w:pPr>
    </w:p>
    <w:p>
      <w:pPr>
        <w:ind w:firstLine="574"/>
        <w:spacing w:after="0" w:line="34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5, 13D or 13G with respect to the undersigned’s holdings of and transactions in securities issued by the Company, unless earlier revoked by the undersigned in a signed writing delivered to the foregoing attorneys-in-fact.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has caused this Power of Attorney to be executed as of this 8th day of November, 2006.</w:t>
      </w:r>
    </w:p>
    <w:p>
      <w:pPr>
        <w:spacing w:after="0" w:line="200" w:lineRule="exact"/>
        <w:rPr>
          <w:sz w:val="20"/>
          <w:szCs w:val="20"/>
          <w:color w:val="auto"/>
        </w:rPr>
      </w:pPr>
    </w:p>
    <w:p>
      <w:pPr>
        <w:spacing w:after="0" w:line="28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/s/ Yasmine Gibellini</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Yasmine Gibellini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-115570</wp:posOffset>
            </wp:positionV>
            <wp:extent cx="2519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9680" cy="762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0"/>
          </w:cols>
          <w:pgMar w:left="240" w:top="366" w:right="2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2019-12-15T14:55:09Z</dcterms:created>
  <dcterms:modified xsi:type="dcterms:W3CDTF">2019-12-15T14:55:09Z</dcterms:modified>
</cp:coreProperties>
</file>