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1"/>
          <w:szCs w:val="21"/>
          <w:b w:val="1"/>
          <w:bCs w:val="1"/>
          <w:color w:val="auto"/>
        </w:rPr>
        <w:t>UNITED STATES</w:t>
      </w:r>
    </w:p>
    <w:p>
      <w:pPr>
        <w:spacing w:after="0" w:line="34" w:lineRule="exact"/>
        <w:rPr>
          <w:sz w:val="24"/>
          <w:szCs w:val="24"/>
          <w:color w:val="auto"/>
        </w:rPr>
      </w:pPr>
    </w:p>
    <w:p>
      <w:pPr>
        <w:jc w:val="center"/>
        <w:ind w:right="-279"/>
        <w:spacing w:after="0"/>
        <w:rPr>
          <w:sz w:val="20"/>
          <w:szCs w:val="20"/>
          <w:color w:val="auto"/>
        </w:rPr>
      </w:pPr>
      <w:r>
        <w:rPr>
          <w:rFonts w:ascii="Arial" w:cs="Arial" w:eastAsia="Arial" w:hAnsi="Arial"/>
          <w:sz w:val="21"/>
          <w:szCs w:val="21"/>
          <w:b w:val="1"/>
          <w:bCs w:val="1"/>
          <w:color w:val="auto"/>
        </w:rPr>
        <w:t>SECURITIES AND EXCHANGE COMMISSION</w:t>
      </w:r>
    </w:p>
    <w:p>
      <w:pPr>
        <w:spacing w:after="0" w:line="7" w:lineRule="exact"/>
        <w:rPr>
          <w:sz w:val="24"/>
          <w:szCs w:val="24"/>
          <w:color w:val="auto"/>
        </w:rPr>
      </w:pPr>
    </w:p>
    <w:p>
      <w:pPr>
        <w:jc w:val="center"/>
        <w:ind w:right="-279"/>
        <w:spacing w:after="0"/>
        <w:rPr>
          <w:sz w:val="20"/>
          <w:szCs w:val="20"/>
          <w:color w:val="auto"/>
        </w:rPr>
      </w:pPr>
      <w:r>
        <w:rPr>
          <w:rFonts w:ascii="Arial" w:cs="Arial" w:eastAsia="Arial" w:hAnsi="Arial"/>
          <w:sz w:val="15"/>
          <w:szCs w:val="15"/>
          <w:b w:val="1"/>
          <w:bCs w:val="1"/>
          <w:color w:val="auto"/>
        </w:rPr>
        <w:t>Washington, D.C. 20549</w:t>
      </w:r>
    </w:p>
    <w:p>
      <w:pPr>
        <w:spacing w:after="0" w:line="173" w:lineRule="exact"/>
        <w:rPr>
          <w:sz w:val="24"/>
          <w:szCs w:val="24"/>
          <w:color w:val="auto"/>
        </w:rPr>
      </w:pPr>
    </w:p>
    <w:p>
      <w:pPr>
        <w:jc w:val="center"/>
        <w:ind w:right="-279"/>
        <w:spacing w:after="0"/>
        <w:rPr>
          <w:sz w:val="20"/>
          <w:szCs w:val="20"/>
          <w:color w:val="auto"/>
        </w:rPr>
      </w:pPr>
      <w:r>
        <w:rPr>
          <w:rFonts w:ascii="Arial" w:cs="Arial" w:eastAsia="Arial" w:hAnsi="Arial"/>
          <w:sz w:val="21"/>
          <w:szCs w:val="21"/>
          <w:b w:val="1"/>
          <w:bCs w:val="1"/>
          <w:color w:val="auto"/>
        </w:rPr>
        <w:t>SCHEDULE 14A</w:t>
      </w:r>
    </w:p>
    <w:p>
      <w:pPr>
        <w:spacing w:after="0" w:line="31" w:lineRule="exact"/>
        <w:rPr>
          <w:sz w:val="24"/>
          <w:szCs w:val="24"/>
          <w:color w:val="auto"/>
        </w:rPr>
      </w:pPr>
    </w:p>
    <w:p>
      <w:pPr>
        <w:jc w:val="center"/>
        <w:ind w:right="-279"/>
        <w:spacing w:after="0"/>
        <w:rPr>
          <w:sz w:val="20"/>
          <w:szCs w:val="20"/>
          <w:color w:val="auto"/>
        </w:rPr>
      </w:pPr>
      <w:r>
        <w:rPr>
          <w:rFonts w:ascii="Arial" w:cs="Arial" w:eastAsia="Arial" w:hAnsi="Arial"/>
          <w:sz w:val="15"/>
          <w:szCs w:val="15"/>
          <w:b w:val="1"/>
          <w:bCs w:val="1"/>
          <w:color w:val="auto"/>
        </w:rPr>
        <w:t>(RULE 14a-101)</w:t>
      </w:r>
    </w:p>
    <w:p>
      <w:pPr>
        <w:spacing w:after="0" w:line="178" w:lineRule="exact"/>
        <w:rPr>
          <w:sz w:val="24"/>
          <w:szCs w:val="24"/>
          <w:color w:val="auto"/>
        </w:rPr>
      </w:pPr>
    </w:p>
    <w:p>
      <w:pPr>
        <w:jc w:val="center"/>
        <w:ind w:right="-279"/>
        <w:spacing w:after="0"/>
        <w:rPr>
          <w:sz w:val="20"/>
          <w:szCs w:val="20"/>
          <w:color w:val="auto"/>
        </w:rPr>
      </w:pPr>
      <w:r>
        <w:rPr>
          <w:rFonts w:ascii="Arial" w:cs="Arial" w:eastAsia="Arial" w:hAnsi="Arial"/>
          <w:sz w:val="15"/>
          <w:szCs w:val="15"/>
          <w:b w:val="1"/>
          <w:bCs w:val="1"/>
          <w:color w:val="auto"/>
        </w:rPr>
        <w:t>Proxy Statement Pursuant to Section 14(a) of</w:t>
      </w:r>
    </w:p>
    <w:p>
      <w:pPr>
        <w:spacing w:after="0" w:line="25" w:lineRule="exact"/>
        <w:rPr>
          <w:sz w:val="24"/>
          <w:szCs w:val="24"/>
          <w:color w:val="auto"/>
        </w:rPr>
      </w:pPr>
    </w:p>
    <w:p>
      <w:pPr>
        <w:jc w:val="center"/>
        <w:ind w:right="-299"/>
        <w:spacing w:after="0"/>
        <w:tabs>
          <w:tab w:leader="none" w:pos="160" w:val="left"/>
        </w:tabs>
        <w:rPr>
          <w:sz w:val="20"/>
          <w:szCs w:val="20"/>
          <w:color w:val="auto"/>
        </w:rPr>
      </w:pPr>
      <w:r>
        <w:rPr>
          <w:rFonts w:ascii="Arial" w:cs="Arial" w:eastAsia="Arial" w:hAnsi="Arial"/>
          <w:sz w:val="14"/>
          <w:szCs w:val="14"/>
          <w:b w:val="1"/>
          <w:bCs w:val="1"/>
          <w:color w:val="auto"/>
        </w:rPr>
        <w:t>the Securities Exchange Act of 1934 (Amendment No.</w:t>
      </w:r>
      <w:r>
        <w:rPr>
          <w:sz w:val="20"/>
          <w:szCs w:val="20"/>
          <w:color w:val="auto"/>
        </w:rPr>
        <w:tab/>
      </w:r>
      <w:r>
        <w:rPr>
          <w:rFonts w:ascii="Arial" w:cs="Arial" w:eastAsia="Arial" w:hAnsi="Arial"/>
          <w:sz w:val="15"/>
          <w:szCs w:val="15"/>
          <w:b w:val="1"/>
          <w:bCs w:val="1"/>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5"/>
          <w:szCs w:val="15"/>
          <w:color w:val="auto"/>
        </w:rPr>
        <w:t>Filed by the Registrant x</w:t>
      </w:r>
    </w:p>
    <w:p>
      <w:pPr>
        <w:spacing w:after="0" w:line="194"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 o</w:t>
      </w:r>
    </w:p>
    <w:p>
      <w:pPr>
        <w:spacing w:after="0" w:line="194"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w:t>
      </w:r>
    </w:p>
    <w:p>
      <w:pPr>
        <w:spacing w:after="0" w:line="21" w:lineRule="exact"/>
        <w:rPr>
          <w:sz w:val="24"/>
          <w:szCs w:val="24"/>
          <w:color w:val="auto"/>
        </w:rPr>
      </w:pPr>
    </w:p>
    <w:p>
      <w:pPr>
        <w:ind w:left="580" w:hanging="578"/>
        <w:spacing w:after="0"/>
        <w:tabs>
          <w:tab w:leader="none" w:pos="580" w:val="left"/>
        </w:tabs>
        <w:numPr>
          <w:ilvl w:val="0"/>
          <w:numId w:val="1"/>
        </w:numPr>
        <w:rPr>
          <w:rFonts w:ascii="Arial" w:cs="Arial" w:eastAsia="Arial" w:hAnsi="Arial"/>
          <w:sz w:val="15"/>
          <w:szCs w:val="15"/>
          <w:color w:val="auto"/>
        </w:rPr>
      </w:pPr>
      <w:r>
        <w:rPr>
          <w:rFonts w:ascii="Arial" w:cs="Arial" w:eastAsia="Arial" w:hAnsi="Arial"/>
          <w:sz w:val="15"/>
          <w:szCs w:val="15"/>
          <w:color w:val="auto"/>
        </w:rPr>
        <w:t>Preliminary Proxy Statement</w:t>
      </w:r>
    </w:p>
    <w:p>
      <w:pPr>
        <w:spacing w:after="0" w:line="10" w:lineRule="exact"/>
        <w:rPr>
          <w:rFonts w:ascii="Arial" w:cs="Arial" w:eastAsia="Arial" w:hAnsi="Arial"/>
          <w:sz w:val="15"/>
          <w:szCs w:val="15"/>
          <w:color w:val="auto"/>
        </w:rPr>
      </w:pPr>
    </w:p>
    <w:p>
      <w:pPr>
        <w:ind w:left="580" w:hanging="578"/>
        <w:spacing w:after="0"/>
        <w:tabs>
          <w:tab w:leader="none" w:pos="580"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Confidential, for Use of the Commission Only (as permitted by Rule 14a-6(e)(2))</w:t>
      </w:r>
    </w:p>
    <w:p>
      <w:pPr>
        <w:spacing w:after="0" w:line="10" w:lineRule="exact"/>
        <w:rPr>
          <w:rFonts w:ascii="Arial" w:cs="Arial" w:eastAsia="Arial" w:hAnsi="Arial"/>
          <w:sz w:val="15"/>
          <w:szCs w:val="15"/>
          <w:color w:val="auto"/>
        </w:rPr>
      </w:pPr>
    </w:p>
    <w:p>
      <w:pPr>
        <w:ind w:left="580" w:hanging="578"/>
        <w:spacing w:after="0"/>
        <w:tabs>
          <w:tab w:leader="none" w:pos="580" w:val="left"/>
        </w:tabs>
        <w:numPr>
          <w:ilvl w:val="0"/>
          <w:numId w:val="1"/>
        </w:numPr>
        <w:rPr>
          <w:rFonts w:ascii="Arial" w:cs="Arial" w:eastAsia="Arial" w:hAnsi="Arial"/>
          <w:sz w:val="15"/>
          <w:szCs w:val="15"/>
          <w:color w:val="auto"/>
        </w:rPr>
      </w:pPr>
      <w:r>
        <w:rPr>
          <w:rFonts w:ascii="Arial" w:cs="Arial" w:eastAsia="Arial" w:hAnsi="Arial"/>
          <w:sz w:val="15"/>
          <w:szCs w:val="15"/>
          <w:color w:val="auto"/>
        </w:rPr>
        <w:t>Definitive Proxy Statement</w:t>
      </w:r>
    </w:p>
    <w:p>
      <w:pPr>
        <w:spacing w:after="0" w:line="11" w:lineRule="exact"/>
        <w:rPr>
          <w:sz w:val="24"/>
          <w:szCs w:val="24"/>
          <w:color w:val="auto"/>
        </w:rPr>
      </w:pPr>
    </w:p>
    <w:p>
      <w:pPr>
        <w:ind w:left="580" w:hanging="578"/>
        <w:spacing w:after="0"/>
        <w:tabs>
          <w:tab w:leader="none" w:pos="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Definitive Additional Materials</w:t>
      </w:r>
    </w:p>
    <w:p>
      <w:pPr>
        <w:spacing w:after="0" w:line="11" w:lineRule="exact"/>
        <w:rPr>
          <w:sz w:val="24"/>
          <w:szCs w:val="24"/>
          <w:color w:val="auto"/>
        </w:rPr>
      </w:pPr>
    </w:p>
    <w:p>
      <w:pPr>
        <w:ind w:left="580" w:hanging="578"/>
        <w:spacing w:after="0"/>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Soliciting Material under §240.14a-12</w:t>
      </w:r>
    </w:p>
    <w:p>
      <w:pPr>
        <w:spacing w:after="0" w:line="174" w:lineRule="exact"/>
        <w:rPr>
          <w:sz w:val="24"/>
          <w:szCs w:val="24"/>
          <w:color w:val="auto"/>
        </w:rPr>
      </w:pPr>
    </w:p>
    <w:p>
      <w:pPr>
        <w:jc w:val="center"/>
        <w:ind w:right="-279"/>
        <w:spacing w:after="0"/>
        <w:rPr>
          <w:sz w:val="20"/>
          <w:szCs w:val="20"/>
          <w:color w:val="auto"/>
        </w:rPr>
      </w:pPr>
      <w:r>
        <w:rPr>
          <w:rFonts w:ascii="Arial" w:cs="Arial" w:eastAsia="Arial" w:hAnsi="Arial"/>
          <w:sz w:val="21"/>
          <w:szCs w:val="21"/>
          <w:b w:val="1"/>
          <w:bCs w:val="1"/>
          <w:color w:val="auto"/>
        </w:rPr>
        <w:t>Emergent BioSolutions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726757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17" w:lineRule="exact"/>
        <w:rPr>
          <w:sz w:val="24"/>
          <w:szCs w:val="24"/>
          <w:color w:val="auto"/>
        </w:rPr>
      </w:pPr>
    </w:p>
    <w:p>
      <w:pPr>
        <w:jc w:val="center"/>
        <w:ind w:right="-279"/>
        <w:spacing w:after="0"/>
        <w:rPr>
          <w:sz w:val="20"/>
          <w:szCs w:val="20"/>
          <w:color w:val="auto"/>
        </w:rPr>
      </w:pPr>
      <w:r>
        <w:rPr>
          <w:rFonts w:ascii="Arial" w:cs="Arial" w:eastAsia="Arial" w:hAnsi="Arial"/>
          <w:sz w:val="15"/>
          <w:szCs w:val="15"/>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242570</wp:posOffset>
            </wp:positionV>
            <wp:extent cx="726757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362" w:lineRule="exact"/>
        <w:rPr>
          <w:sz w:val="24"/>
          <w:szCs w:val="24"/>
          <w:color w:val="auto"/>
        </w:rPr>
      </w:pPr>
    </w:p>
    <w:p>
      <w:pPr>
        <w:jc w:val="center"/>
        <w:ind w:right="-279"/>
        <w:spacing w:after="0"/>
        <w:rPr>
          <w:sz w:val="20"/>
          <w:szCs w:val="20"/>
          <w:color w:val="auto"/>
        </w:rPr>
      </w:pPr>
      <w:r>
        <w:rPr>
          <w:rFonts w:ascii="Arial" w:cs="Arial" w:eastAsia="Arial" w:hAnsi="Arial"/>
          <w:sz w:val="15"/>
          <w:szCs w:val="15"/>
          <w:color w:val="auto"/>
        </w:rPr>
        <w:t>(Name of Person(s) Filing Proxy Statement, if other than the Registrant)</w:t>
      </w:r>
    </w:p>
    <w:p>
      <w:pPr>
        <w:spacing w:after="0" w:line="194" w:lineRule="exact"/>
        <w:rPr>
          <w:sz w:val="24"/>
          <w:szCs w:val="24"/>
          <w:color w:val="auto"/>
        </w:rPr>
      </w:pPr>
    </w:p>
    <w:p>
      <w:pPr>
        <w:spacing w:after="0"/>
        <w:rPr>
          <w:sz w:val="20"/>
          <w:szCs w:val="20"/>
          <w:color w:val="auto"/>
        </w:rPr>
      </w:pPr>
      <w:r>
        <w:rPr>
          <w:rFonts w:ascii="Arial" w:cs="Arial" w:eastAsia="Arial" w:hAnsi="Arial"/>
          <w:sz w:val="15"/>
          <w:szCs w:val="15"/>
          <w:color w:val="auto"/>
        </w:rPr>
        <w:t>Payment of Filing Fee (Check the appropriate box):</w:t>
      </w:r>
    </w:p>
    <w:p>
      <w:pPr>
        <w:spacing w:after="0" w:line="21" w:lineRule="exact"/>
        <w:rPr>
          <w:sz w:val="24"/>
          <w:szCs w:val="24"/>
          <w:color w:val="auto"/>
        </w:rPr>
      </w:pPr>
    </w:p>
    <w:p>
      <w:pPr>
        <w:ind w:left="580" w:hanging="578"/>
        <w:spacing w:after="0"/>
        <w:tabs>
          <w:tab w:leader="none" w:pos="580" w:val="left"/>
        </w:tabs>
        <w:numPr>
          <w:ilvl w:val="0"/>
          <w:numId w:val="4"/>
        </w:numPr>
        <w:rPr>
          <w:rFonts w:ascii="Arial" w:cs="Arial" w:eastAsia="Arial" w:hAnsi="Arial"/>
          <w:sz w:val="15"/>
          <w:szCs w:val="15"/>
          <w:color w:val="auto"/>
        </w:rPr>
      </w:pPr>
      <w:r>
        <w:rPr>
          <w:rFonts w:ascii="Arial" w:cs="Arial" w:eastAsia="Arial" w:hAnsi="Arial"/>
          <w:sz w:val="15"/>
          <w:szCs w:val="15"/>
          <w:color w:val="auto"/>
        </w:rPr>
        <w:t>No fee required.</w:t>
      </w:r>
    </w:p>
    <w:p>
      <w:pPr>
        <w:spacing w:after="0" w:line="11" w:lineRule="exact"/>
        <w:rPr>
          <w:sz w:val="24"/>
          <w:szCs w:val="24"/>
          <w:color w:val="auto"/>
        </w:rPr>
      </w:pPr>
    </w:p>
    <w:p>
      <w:pPr>
        <w:ind w:left="580" w:hanging="578"/>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Fee computed on table below per Exchange Act Rules 14a-6(i)(1) and 0-11.</w:t>
      </w:r>
    </w:p>
    <w:p>
      <w:pPr>
        <w:spacing w:after="0" w:line="10" w:lineRule="exact"/>
        <w:rPr>
          <w:rFonts w:ascii="Arial" w:cs="Arial" w:eastAsia="Arial" w:hAnsi="Arial"/>
          <w:sz w:val="15"/>
          <w:szCs w:val="15"/>
          <w:color w:val="auto"/>
        </w:rPr>
      </w:pPr>
    </w:p>
    <w:p>
      <w:pPr>
        <w:ind w:left="1180" w:hanging="594"/>
        <w:spacing w:after="0"/>
        <w:tabs>
          <w:tab w:leader="none" w:pos="1180" w:val="left"/>
        </w:tabs>
        <w:numPr>
          <w:ilvl w:val="1"/>
          <w:numId w:val="5"/>
        </w:numPr>
        <w:rPr>
          <w:rFonts w:ascii="Arial" w:cs="Arial" w:eastAsia="Arial" w:hAnsi="Arial"/>
          <w:sz w:val="15"/>
          <w:szCs w:val="15"/>
          <w:color w:val="auto"/>
        </w:rPr>
      </w:pPr>
      <w:r>
        <w:rPr>
          <w:rFonts w:ascii="Arial" w:cs="Arial" w:eastAsia="Arial" w:hAnsi="Arial"/>
          <w:sz w:val="15"/>
          <w:szCs w:val="15"/>
          <w:color w:val="auto"/>
        </w:rPr>
        <w:t>Title of each class of securities to which transaction applies:</w:t>
      </w:r>
    </w:p>
    <w:p>
      <w:pPr>
        <w:spacing w:after="0" w:line="194" w:lineRule="exact"/>
        <w:rPr>
          <w:rFonts w:ascii="Arial" w:cs="Arial" w:eastAsia="Arial" w:hAnsi="Arial"/>
          <w:sz w:val="15"/>
          <w:szCs w:val="15"/>
          <w:color w:val="auto"/>
        </w:rPr>
      </w:pPr>
    </w:p>
    <w:p>
      <w:pPr>
        <w:ind w:left="1180" w:hanging="594"/>
        <w:spacing w:after="0"/>
        <w:tabs>
          <w:tab w:leader="none" w:pos="1180" w:val="left"/>
        </w:tabs>
        <w:numPr>
          <w:ilvl w:val="1"/>
          <w:numId w:val="5"/>
        </w:numPr>
        <w:rPr>
          <w:rFonts w:ascii="Arial" w:cs="Arial" w:eastAsia="Arial" w:hAnsi="Arial"/>
          <w:sz w:val="15"/>
          <w:szCs w:val="15"/>
          <w:color w:val="auto"/>
        </w:rPr>
      </w:pPr>
      <w:r>
        <w:rPr>
          <w:rFonts w:ascii="Arial" w:cs="Arial" w:eastAsia="Arial" w:hAnsi="Arial"/>
          <w:sz w:val="15"/>
          <w:szCs w:val="15"/>
          <w:color w:val="auto"/>
        </w:rPr>
        <w:t>Aggregate number of securities to which transaction applies:</w:t>
      </w:r>
    </w:p>
    <w:p>
      <w:pPr>
        <w:spacing w:after="0" w:line="205" w:lineRule="exact"/>
        <w:rPr>
          <w:rFonts w:ascii="Arial" w:cs="Arial" w:eastAsia="Arial" w:hAnsi="Arial"/>
          <w:sz w:val="15"/>
          <w:szCs w:val="15"/>
          <w:color w:val="auto"/>
        </w:rPr>
      </w:pPr>
    </w:p>
    <w:p>
      <w:pPr>
        <w:ind w:left="1180" w:hanging="594"/>
        <w:spacing w:after="0" w:line="284" w:lineRule="auto"/>
        <w:tabs>
          <w:tab w:leader="none" w:pos="1180" w:val="left"/>
        </w:tabs>
        <w:numPr>
          <w:ilvl w:val="1"/>
          <w:numId w:val="5"/>
        </w:numPr>
        <w:rPr>
          <w:rFonts w:ascii="Arial" w:cs="Arial" w:eastAsia="Arial" w:hAnsi="Arial"/>
          <w:sz w:val="15"/>
          <w:szCs w:val="15"/>
          <w:color w:val="auto"/>
        </w:rPr>
      </w:pPr>
      <w:r>
        <w:rPr>
          <w:rFonts w:ascii="Arial" w:cs="Arial" w:eastAsia="Arial" w:hAnsi="Arial"/>
          <w:sz w:val="15"/>
          <w:szCs w:val="15"/>
          <w:color w:val="auto"/>
        </w:rPr>
        <w:t>Per unit price or other underlying value of transaction computed pursuant to Exchange Act Rule 0-11 (set forth the amount on which the filing fee is calculated and state how it was determined):</w:t>
      </w:r>
    </w:p>
    <w:p>
      <w:pPr>
        <w:spacing w:after="0" w:line="152" w:lineRule="exact"/>
        <w:rPr>
          <w:rFonts w:ascii="Arial" w:cs="Arial" w:eastAsia="Arial" w:hAnsi="Arial"/>
          <w:sz w:val="15"/>
          <w:szCs w:val="15"/>
          <w:color w:val="auto"/>
        </w:rPr>
      </w:pPr>
    </w:p>
    <w:p>
      <w:pPr>
        <w:ind w:left="1180" w:hanging="594"/>
        <w:spacing w:after="0"/>
        <w:tabs>
          <w:tab w:leader="none" w:pos="1180" w:val="left"/>
        </w:tabs>
        <w:numPr>
          <w:ilvl w:val="1"/>
          <w:numId w:val="5"/>
        </w:numPr>
        <w:rPr>
          <w:rFonts w:ascii="Arial" w:cs="Arial" w:eastAsia="Arial" w:hAnsi="Arial"/>
          <w:sz w:val="15"/>
          <w:szCs w:val="15"/>
          <w:color w:val="auto"/>
        </w:rPr>
      </w:pPr>
      <w:r>
        <w:rPr>
          <w:rFonts w:ascii="Arial" w:cs="Arial" w:eastAsia="Arial" w:hAnsi="Arial"/>
          <w:sz w:val="15"/>
          <w:szCs w:val="15"/>
          <w:color w:val="auto"/>
        </w:rPr>
        <w:t>Proposed maximum aggregate value of transaction:</w:t>
      </w:r>
    </w:p>
    <w:p>
      <w:pPr>
        <w:spacing w:after="0" w:line="205" w:lineRule="exact"/>
        <w:rPr>
          <w:rFonts w:ascii="Arial" w:cs="Arial" w:eastAsia="Arial" w:hAnsi="Arial"/>
          <w:sz w:val="15"/>
          <w:szCs w:val="15"/>
          <w:color w:val="auto"/>
        </w:rPr>
      </w:pPr>
    </w:p>
    <w:p>
      <w:pPr>
        <w:ind w:left="1180" w:hanging="594"/>
        <w:spacing w:after="0"/>
        <w:tabs>
          <w:tab w:leader="none" w:pos="1180" w:val="left"/>
        </w:tabs>
        <w:numPr>
          <w:ilvl w:val="1"/>
          <w:numId w:val="5"/>
        </w:numPr>
        <w:rPr>
          <w:rFonts w:ascii="Arial" w:cs="Arial" w:eastAsia="Arial" w:hAnsi="Arial"/>
          <w:sz w:val="15"/>
          <w:szCs w:val="15"/>
          <w:color w:val="auto"/>
        </w:rPr>
      </w:pPr>
      <w:r>
        <w:rPr>
          <w:rFonts w:ascii="Arial" w:cs="Arial" w:eastAsia="Arial" w:hAnsi="Arial"/>
          <w:sz w:val="15"/>
          <w:szCs w:val="15"/>
          <w:color w:val="auto"/>
        </w:rPr>
        <w:t>Total fee paid:</w:t>
      </w:r>
    </w:p>
    <w:p>
      <w:pPr>
        <w:spacing w:after="0" w:line="193" w:lineRule="exact"/>
        <w:rPr>
          <w:rFonts w:ascii="Arial" w:cs="Arial" w:eastAsia="Arial" w:hAnsi="Arial"/>
          <w:sz w:val="15"/>
          <w:szCs w:val="15"/>
          <w:color w:val="auto"/>
        </w:rPr>
      </w:pPr>
    </w:p>
    <w:p>
      <w:pPr>
        <w:ind w:left="580" w:hanging="578"/>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Fee paid previously with preliminary materials.</w:t>
      </w:r>
    </w:p>
    <w:p>
      <w:pPr>
        <w:spacing w:after="0" w:line="21" w:lineRule="exact"/>
        <w:rPr>
          <w:rFonts w:ascii="Arial" w:cs="Arial" w:eastAsia="Arial" w:hAnsi="Arial"/>
          <w:sz w:val="15"/>
          <w:szCs w:val="15"/>
          <w:color w:val="auto"/>
        </w:rPr>
      </w:pPr>
    </w:p>
    <w:p>
      <w:pPr>
        <w:ind w:left="580" w:right="180" w:hanging="578"/>
        <w:spacing w:after="0" w:line="254" w:lineRule="auto"/>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Arial" w:cs="Arial" w:eastAsia="Arial" w:hAnsi="Arial"/>
          <w:sz w:val="15"/>
          <w:szCs w:val="15"/>
          <w:color w:val="auto"/>
        </w:rPr>
      </w:pPr>
    </w:p>
    <w:p>
      <w:pPr>
        <w:ind w:left="1180" w:hanging="594"/>
        <w:spacing w:after="0"/>
        <w:tabs>
          <w:tab w:leader="none" w:pos="1180" w:val="left"/>
        </w:tabs>
        <w:numPr>
          <w:ilvl w:val="1"/>
          <w:numId w:val="5"/>
        </w:numPr>
        <w:rPr>
          <w:rFonts w:ascii="Arial" w:cs="Arial" w:eastAsia="Arial" w:hAnsi="Arial"/>
          <w:sz w:val="15"/>
          <w:szCs w:val="15"/>
          <w:color w:val="auto"/>
        </w:rPr>
      </w:pPr>
      <w:r>
        <w:rPr>
          <w:rFonts w:ascii="Arial" w:cs="Arial" w:eastAsia="Arial" w:hAnsi="Arial"/>
          <w:sz w:val="15"/>
          <w:szCs w:val="15"/>
          <w:color w:val="auto"/>
        </w:rPr>
        <w:t>Amount Previously Paid:</w:t>
      </w:r>
    </w:p>
    <w:p>
      <w:pPr>
        <w:spacing w:after="0" w:line="194" w:lineRule="exact"/>
        <w:rPr>
          <w:rFonts w:ascii="Arial" w:cs="Arial" w:eastAsia="Arial" w:hAnsi="Arial"/>
          <w:sz w:val="15"/>
          <w:szCs w:val="15"/>
          <w:color w:val="auto"/>
        </w:rPr>
      </w:pPr>
    </w:p>
    <w:p>
      <w:pPr>
        <w:ind w:left="1180" w:hanging="594"/>
        <w:spacing w:after="0"/>
        <w:tabs>
          <w:tab w:leader="none" w:pos="1180" w:val="left"/>
        </w:tabs>
        <w:numPr>
          <w:ilvl w:val="1"/>
          <w:numId w:val="5"/>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pacing w:after="0" w:line="205" w:lineRule="exact"/>
        <w:rPr>
          <w:rFonts w:ascii="Arial" w:cs="Arial" w:eastAsia="Arial" w:hAnsi="Arial"/>
          <w:sz w:val="15"/>
          <w:szCs w:val="15"/>
          <w:color w:val="auto"/>
        </w:rPr>
      </w:pPr>
    </w:p>
    <w:p>
      <w:pPr>
        <w:ind w:left="1180" w:hanging="594"/>
        <w:spacing w:after="0"/>
        <w:tabs>
          <w:tab w:leader="none" w:pos="1180" w:val="left"/>
        </w:tabs>
        <w:numPr>
          <w:ilvl w:val="1"/>
          <w:numId w:val="5"/>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205" w:lineRule="exact"/>
        <w:rPr>
          <w:rFonts w:ascii="Arial" w:cs="Arial" w:eastAsia="Arial" w:hAnsi="Arial"/>
          <w:sz w:val="15"/>
          <w:szCs w:val="15"/>
          <w:color w:val="auto"/>
        </w:rPr>
      </w:pPr>
    </w:p>
    <w:p>
      <w:pPr>
        <w:ind w:left="1180" w:hanging="594"/>
        <w:spacing w:after="0"/>
        <w:tabs>
          <w:tab w:leader="none" w:pos="1180" w:val="left"/>
        </w:tabs>
        <w:numPr>
          <w:ilvl w:val="1"/>
          <w:numId w:val="5"/>
        </w:numPr>
        <w:rPr>
          <w:rFonts w:ascii="Arial" w:cs="Arial" w:eastAsia="Arial" w:hAnsi="Arial"/>
          <w:sz w:val="15"/>
          <w:szCs w:val="15"/>
          <w:color w:val="auto"/>
        </w:rPr>
      </w:pPr>
      <w:r>
        <w:rPr>
          <w:rFonts w:ascii="Arial" w:cs="Arial" w:eastAsia="Arial" w:hAnsi="Arial"/>
          <w:sz w:val="15"/>
          <w:szCs w:val="15"/>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742950</wp:posOffset>
            </wp:positionH>
            <wp:positionV relativeFrom="paragraph">
              <wp:posOffset>129540</wp:posOffset>
            </wp:positionV>
            <wp:extent cx="651891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18910" cy="6985"/>
                    </a:xfrm>
                    <a:prstGeom prst="rect">
                      <a:avLst/>
                    </a:prstGeom>
                    <a:noFill/>
                  </pic:spPr>
                </pic:pic>
              </a:graphicData>
            </a:graphic>
          </wp:anchor>
        </w:drawing>
        <w:drawing>
          <wp:anchor simplePos="0" relativeHeight="251657728" behindDoc="1" locked="0" layoutInCell="0" allowOverlap="1">
            <wp:simplePos x="0" y="0"/>
            <wp:positionH relativeFrom="column">
              <wp:posOffset>742950</wp:posOffset>
            </wp:positionH>
            <wp:positionV relativeFrom="paragraph">
              <wp:posOffset>-109220</wp:posOffset>
            </wp:positionV>
            <wp:extent cx="651891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18910" cy="6985"/>
                    </a:xfrm>
                    <a:prstGeom prst="rect">
                      <a:avLst/>
                    </a:prstGeom>
                    <a:noFill/>
                  </pic:spPr>
                </pic:pic>
              </a:graphicData>
            </a:graphic>
          </wp:anchor>
        </w:drawing>
        <w:drawing>
          <wp:anchor simplePos="0" relativeHeight="251657728" behindDoc="1" locked="0" layoutInCell="0" allowOverlap="1">
            <wp:simplePos x="0" y="0"/>
            <wp:positionH relativeFrom="column">
              <wp:posOffset>742950</wp:posOffset>
            </wp:positionH>
            <wp:positionV relativeFrom="paragraph">
              <wp:posOffset>-349250</wp:posOffset>
            </wp:positionV>
            <wp:extent cx="651891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8910" cy="6985"/>
                    </a:xfrm>
                    <a:prstGeom prst="rect">
                      <a:avLst/>
                    </a:prstGeom>
                    <a:noFill/>
                  </pic:spPr>
                </pic:pic>
              </a:graphicData>
            </a:graphic>
          </wp:anchor>
        </w:drawing>
        <w:drawing>
          <wp:anchor simplePos="0" relativeHeight="251657728" behindDoc="1" locked="0" layoutInCell="0" allowOverlap="1">
            <wp:simplePos x="0" y="0"/>
            <wp:positionH relativeFrom="column">
              <wp:posOffset>742950</wp:posOffset>
            </wp:positionH>
            <wp:positionV relativeFrom="paragraph">
              <wp:posOffset>-589280</wp:posOffset>
            </wp:positionV>
            <wp:extent cx="651891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8910" cy="6985"/>
                    </a:xfrm>
                    <a:prstGeom prst="rect">
                      <a:avLst/>
                    </a:prstGeom>
                    <a:noFill/>
                  </pic:spPr>
                </pic:pic>
              </a:graphicData>
            </a:graphic>
          </wp:anchor>
        </w:drawing>
        <w:drawing>
          <wp:anchor simplePos="0" relativeHeight="251657728" behindDoc="1" locked="0" layoutInCell="0" allowOverlap="1">
            <wp:simplePos x="0" y="0"/>
            <wp:positionH relativeFrom="column">
              <wp:posOffset>742950</wp:posOffset>
            </wp:positionH>
            <wp:positionV relativeFrom="paragraph">
              <wp:posOffset>-1170305</wp:posOffset>
            </wp:positionV>
            <wp:extent cx="651891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8910" cy="6985"/>
                    </a:xfrm>
                    <a:prstGeom prst="rect">
                      <a:avLst/>
                    </a:prstGeom>
                    <a:noFill/>
                  </pic:spPr>
                </pic:pic>
              </a:graphicData>
            </a:graphic>
          </wp:anchor>
        </w:drawing>
        <w:drawing>
          <wp:anchor simplePos="0" relativeHeight="251657728" behindDoc="1" locked="0" layoutInCell="0" allowOverlap="1">
            <wp:simplePos x="0" y="0"/>
            <wp:positionH relativeFrom="column">
              <wp:posOffset>742950</wp:posOffset>
            </wp:positionH>
            <wp:positionV relativeFrom="paragraph">
              <wp:posOffset>-1410335</wp:posOffset>
            </wp:positionV>
            <wp:extent cx="651891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8910" cy="6985"/>
                    </a:xfrm>
                    <a:prstGeom prst="rect">
                      <a:avLst/>
                    </a:prstGeom>
                    <a:noFill/>
                  </pic:spPr>
                </pic:pic>
              </a:graphicData>
            </a:graphic>
          </wp:anchor>
        </w:drawing>
        <w:drawing>
          <wp:anchor simplePos="0" relativeHeight="251657728" behindDoc="1" locked="0" layoutInCell="0" allowOverlap="1">
            <wp:simplePos x="0" y="0"/>
            <wp:positionH relativeFrom="column">
              <wp:posOffset>742950</wp:posOffset>
            </wp:positionH>
            <wp:positionV relativeFrom="paragraph">
              <wp:posOffset>-1650365</wp:posOffset>
            </wp:positionV>
            <wp:extent cx="651891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8910" cy="6985"/>
                    </a:xfrm>
                    <a:prstGeom prst="rect">
                      <a:avLst/>
                    </a:prstGeom>
                    <a:noFill/>
                  </pic:spPr>
                </pic:pic>
              </a:graphicData>
            </a:graphic>
          </wp:anchor>
        </w:drawing>
        <w:drawing>
          <wp:anchor simplePos="0" relativeHeight="251657728" behindDoc="1" locked="0" layoutInCell="0" allowOverlap="1">
            <wp:simplePos x="0" y="0"/>
            <wp:positionH relativeFrom="column">
              <wp:posOffset>742950</wp:posOffset>
            </wp:positionH>
            <wp:positionV relativeFrom="paragraph">
              <wp:posOffset>-2005965</wp:posOffset>
            </wp:positionV>
            <wp:extent cx="651891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8910" cy="6985"/>
                    </a:xfrm>
                    <a:prstGeom prst="rect">
                      <a:avLst/>
                    </a:prstGeom>
                    <a:noFill/>
                  </pic:spPr>
                </pic:pic>
              </a:graphicData>
            </a:graphic>
          </wp:anchor>
        </w:drawing>
        <w:drawing>
          <wp:anchor simplePos="0" relativeHeight="251657728" behindDoc="1" locked="0" layoutInCell="0" allowOverlap="1">
            <wp:simplePos x="0" y="0"/>
            <wp:positionH relativeFrom="column">
              <wp:posOffset>742950</wp:posOffset>
            </wp:positionH>
            <wp:positionV relativeFrom="paragraph">
              <wp:posOffset>-2245995</wp:posOffset>
            </wp:positionV>
            <wp:extent cx="651891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891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308610</wp:posOffset>
            </wp:positionV>
            <wp:extent cx="7287260" cy="27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140"/>
          </w:cols>
          <w:pgMar w:left="240" w:top="394" w:right="51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212725</wp:posOffset>
            </wp:positionV>
            <wp:extent cx="7320280" cy="94475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320280" cy="9447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95885</wp:posOffset>
            </wp:positionV>
            <wp:extent cx="7320280" cy="9447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320280" cy="9447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95885</wp:posOffset>
            </wp:positionV>
            <wp:extent cx="7320280" cy="9447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320280" cy="9447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95885</wp:posOffset>
            </wp:positionV>
            <wp:extent cx="7320280" cy="9447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320280" cy="94475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2019-12-03T11:29:47Z</dcterms:created>
  <dcterms:modified xsi:type="dcterms:W3CDTF">2019-12-03T11:29:47Z</dcterms:modified>
</cp:coreProperties>
</file>