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Bailey Sue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ROCKVILLE</w:t>
            </w:r>
          </w:p>
        </w:tc>
        <w:tc>
          <w:tcPr>
            <w:tcW w:w="980" w:type="dxa"/>
            <w:vAlign w:val="bottom"/>
          </w:tcPr>
          <w:p>
            <w:pPr>
              <w:ind w:left="140"/>
              <w:spacing w:after="0"/>
              <w:rPr>
                <w:sz w:val="20"/>
                <w:szCs w:val="20"/>
                <w:color w:val="auto"/>
              </w:rPr>
            </w:pPr>
            <w:r>
              <w:rPr>
                <w:rFonts w:ascii="Arial" w:cs="Arial" w:eastAsia="Arial" w:hAnsi="Arial"/>
                <w:sz w:val="18"/>
                <w:szCs w:val="18"/>
                <w:color w:val="0000FF"/>
              </w:rPr>
              <w:t>MD</w:t>
            </w:r>
          </w:p>
        </w:tc>
        <w:tc>
          <w:tcPr>
            <w:tcW w:w="1680" w:type="dxa"/>
            <w:vAlign w:val="bottom"/>
          </w:tcPr>
          <w:p>
            <w:pPr>
              <w:ind w:left="420"/>
              <w:spacing w:after="0"/>
              <w:rPr>
                <w:sz w:val="20"/>
                <w:szCs w:val="20"/>
                <w:color w:val="auto"/>
              </w:rPr>
            </w:pPr>
            <w:r>
              <w:rPr>
                <w:rFonts w:ascii="Arial" w:cs="Arial" w:eastAsia="Arial" w:hAnsi="Arial"/>
                <w:sz w:val="18"/>
                <w:szCs w:val="18"/>
                <w:color w:val="0000FF"/>
              </w:rPr>
              <w:t>20850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05/17/2012</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3,600</w:t>
            </w:r>
            <w:r>
              <w:rPr>
                <w:rFonts w:ascii="Arial" w:cs="Arial" w:eastAsia="Arial" w:hAnsi="Arial"/>
                <w:sz w:val="22"/>
                <w:szCs w:val="22"/>
                <w:color w:val="008000"/>
                <w:w w:val="82"/>
                <w:vertAlign w:val="superscript"/>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10,800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Director</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7,200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14.66</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05/17/2012</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7,200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05/16/2019</w:t>
            </w: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7,200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Second Amended and Restated Emergent BioSolutions Inc. 2006 Stock Incentive Plan.</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restricted stock units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 Each restricted stock unit represents the right of the Reporting Person to receive one share of common stock of Emergent BioSolutions Inc., subject to adjustment as provided in the grant agreement.</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will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/s/Jay G. Reilly,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05/21/2012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769"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2019-12-17T05:28:25Z</dcterms:created>
  <dcterms:modified xsi:type="dcterms:W3CDTF">2019-12-17T05:28:25Z</dcterms:modified>
</cp:coreProperties>
</file>