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White Marvin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680" w:type="dxa"/>
            <w:vAlign w:val="bottom"/>
          </w:tcPr>
          <w:p>
            <w:pPr>
              <w:jc w:val="right"/>
              <w:ind w:right="662"/>
              <w:spacing w:after="0"/>
              <w:rPr>
                <w:sz w:val="20"/>
                <w:szCs w:val="20"/>
                <w:color w:val="auto"/>
              </w:rPr>
            </w:pPr>
            <w:r>
              <w:rPr>
                <w:rFonts w:ascii="Arial" w:cs="Arial" w:eastAsia="Arial" w:hAnsi="Arial"/>
                <w:sz w:val="18"/>
                <w:szCs w:val="18"/>
                <w:color w:val="0000FF"/>
              </w:rPr>
              <w:t>20879</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05/21/2015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9,400</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30,300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Third Amended and Restated Emergent BioSolutions Inc. 2006 Stock Incentive Plan.</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restricted stock units vest in three equal annual installments beginning on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color w:val="0000FF"/>
                <w:w w:val="97"/>
              </w:rPr>
              <w:t>/s/Eric Burt, attorney-in-fact</w:t>
            </w: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05/21/2015</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324"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2019-12-08T17:58:21Z</dcterms:created>
  <dcterms:modified xsi:type="dcterms:W3CDTF">2019-12-08T17:58:21Z</dcterms:modified>
</cp:coreProperties>
</file>