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 Ronald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Due to a computational error in the Form 4 filed on February 25, 2020, Mr. Richard's subsequently filed From 4s showed the incorrect amount of securities beneficially owned. The amount of securities beneficially owned has been corrected herein.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80177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2020-08-11T15:48:02Z</dcterms:created>
  <dcterms:modified xsi:type="dcterms:W3CDTF">2020-08-11T15:48:02Z</dcterms:modified>
</cp:coreProperties>
</file>