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19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19, 2014</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Emergent BioSolutions Inc.</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20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216"/>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661"/>
        </w:trPr>
        <w:tc>
          <w:tcPr>
            <w:tcW w:w="646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0"/>
              </w:rPr>
              <w:t>2273 Research Boulevard, Suite 400, Rockville, Maryland</w:t>
            </w:r>
          </w:p>
        </w:tc>
        <w:tc>
          <w:tcPr>
            <w:tcW w:w="2620" w:type="dxa"/>
            <w:vAlign w:val="bottom"/>
          </w:tcPr>
          <w:p>
            <w:pPr>
              <w:jc w:val="right"/>
              <w:ind w:right="350"/>
              <w:spacing w:after="0"/>
              <w:rPr>
                <w:sz w:val="20"/>
                <w:szCs w:val="20"/>
                <w:color w:val="auto"/>
              </w:rPr>
            </w:pPr>
            <w:r>
              <w:rPr>
                <w:rFonts w:ascii="Arial" w:cs="Arial" w:eastAsia="Arial" w:hAnsi="Arial"/>
                <w:sz w:val="18"/>
                <w:szCs w:val="18"/>
                <w:b w:val="1"/>
                <w:bCs w:val="1"/>
                <w:color w:val="auto"/>
              </w:rPr>
              <w:t>20850</w:t>
            </w:r>
          </w:p>
        </w:tc>
      </w:tr>
      <w:tr>
        <w:trPr>
          <w:trHeight w:val="230"/>
        </w:trPr>
        <w:tc>
          <w:tcPr>
            <w:tcW w:w="420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795-1800</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468" w:right="4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Item 8.01 Other Events.</w:t>
      </w:r>
    </w:p>
    <w:p>
      <w:pPr>
        <w:spacing w:after="0" w:line="206" w:lineRule="exact"/>
        <w:rPr>
          <w:sz w:val="20"/>
          <w:szCs w:val="20"/>
          <w:color w:val="auto"/>
        </w:rPr>
      </w:pPr>
    </w:p>
    <w:p>
      <w:pPr>
        <w:ind w:right="320"/>
        <w:spacing w:after="0" w:line="248" w:lineRule="auto"/>
        <w:rPr>
          <w:sz w:val="20"/>
          <w:szCs w:val="20"/>
          <w:color w:val="auto"/>
        </w:rPr>
      </w:pPr>
      <w:r>
        <w:rPr>
          <w:rFonts w:ascii="Arial" w:cs="Arial" w:eastAsia="Arial" w:hAnsi="Arial"/>
          <w:sz w:val="22"/>
          <w:szCs w:val="22"/>
          <w:color w:val="auto"/>
        </w:rPr>
        <w:t>On August 19, 2014, Emergent BioSolutions Inc. issued a press release announcing that it has entered into an agreement with MorphoSys AG for the joint development and commercialization of ES414, a bi-specific antibody targeting prostate cancer developed by Emergent using its proprietary ADAPTIR</w:t>
      </w:r>
      <w:r>
        <w:rPr>
          <w:rFonts w:ascii="Arial" w:cs="Arial" w:eastAsia="Arial" w:hAnsi="Arial"/>
          <w:sz w:val="36"/>
          <w:szCs w:val="36"/>
          <w:color w:val="auto"/>
          <w:vertAlign w:val="superscript"/>
        </w:rPr>
        <w:t>TM</w:t>
      </w:r>
      <w:r>
        <w:rPr>
          <w:rFonts w:ascii="Arial" w:cs="Arial" w:eastAsia="Arial" w:hAnsi="Arial"/>
          <w:sz w:val="22"/>
          <w:szCs w:val="22"/>
          <w:color w:val="auto"/>
        </w:rPr>
        <w:t xml:space="preserve"> platform.</w:t>
      </w:r>
    </w:p>
    <w:p>
      <w:pPr>
        <w:spacing w:after="0"/>
        <w:rPr>
          <w:sz w:val="20"/>
          <w:szCs w:val="20"/>
          <w:color w:val="auto"/>
        </w:rPr>
      </w:pPr>
      <w:r>
        <w:rPr>
          <w:rFonts w:ascii="Arial" w:cs="Arial" w:eastAsia="Arial" w:hAnsi="Arial"/>
          <w:sz w:val="19"/>
          <w:szCs w:val="19"/>
          <w:color w:val="auto"/>
        </w:rPr>
        <w:t>A copy of the press release is attached as Exhibit 99 to this Current Report on Form 8−K and is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99 Press Release issued by Emergent BioSolutions Inc. on August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77" w:right="4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Date: August 19, 2014</w:t>
            </w:r>
          </w:p>
        </w:tc>
        <w:tc>
          <w:tcPr>
            <w:tcW w:w="5920" w:type="dxa"/>
            <w:vAlign w:val="bottom"/>
            <w:gridSpan w:val="3"/>
          </w:tcPr>
          <w:p>
            <w:pPr>
              <w:ind w:left="2020"/>
              <w:spacing w:after="0"/>
              <w:rPr>
                <w:sz w:val="20"/>
                <w:szCs w:val="20"/>
                <w:color w:val="auto"/>
              </w:rPr>
            </w:pPr>
            <w:r>
              <w:rPr>
                <w:rFonts w:ascii="Arial" w:cs="Arial" w:eastAsia="Arial" w:hAnsi="Arial"/>
                <w:sz w:val="18"/>
                <w:szCs w:val="18"/>
                <w:color w:val="auto"/>
              </w:rPr>
              <w:t>EMERGENT BIOSOLUTIONS INC.</w:t>
            </w:r>
          </w:p>
        </w:tc>
      </w:tr>
      <w:tr>
        <w:trPr>
          <w:trHeight w:val="190"/>
        </w:trPr>
        <w:tc>
          <w:tcPr>
            <w:tcW w:w="3700" w:type="dxa"/>
            <w:vAlign w:val="bottom"/>
          </w:tcPr>
          <w:p>
            <w:pPr>
              <w:spacing w:after="0"/>
              <w:rPr>
                <w:sz w:val="16"/>
                <w:szCs w:val="16"/>
                <w:color w:val="auto"/>
              </w:rPr>
            </w:pPr>
          </w:p>
        </w:tc>
        <w:tc>
          <w:tcPr>
            <w:tcW w:w="5920" w:type="dxa"/>
            <w:vAlign w:val="bottom"/>
            <w:gridSpan w:val="3"/>
          </w:tcPr>
          <w:p>
            <w:pPr>
              <w:ind w:left="2400"/>
              <w:spacing w:after="0" w:line="190" w:lineRule="exact"/>
              <w:rPr>
                <w:sz w:val="20"/>
                <w:szCs w:val="20"/>
                <w:color w:val="auto"/>
              </w:rPr>
            </w:pPr>
            <w:r>
              <w:rPr>
                <w:rFonts w:ascii="Arial" w:cs="Arial" w:eastAsia="Arial" w:hAnsi="Arial"/>
                <w:sz w:val="18"/>
                <w:szCs w:val="18"/>
                <w:color w:val="auto"/>
              </w:rPr>
              <w:t>By:/s/ A.B. Cruz</w:t>
            </w:r>
          </w:p>
        </w:tc>
      </w:tr>
      <w:tr>
        <w:trPr>
          <w:trHeight w:val="20"/>
        </w:trPr>
        <w:tc>
          <w:tcPr>
            <w:tcW w:w="3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2"/>
        </w:trPr>
        <w:tc>
          <w:tcPr>
            <w:tcW w:w="37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A.B. Cruz III</w:t>
            </w:r>
          </w:p>
        </w:tc>
      </w:tr>
      <w:tr>
        <w:trPr>
          <w:trHeight w:val="230"/>
        </w:trPr>
        <w:tc>
          <w:tcPr>
            <w:tcW w:w="3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0"/>
              </w:rPr>
              <w:t>Executive Vice President &amp; General Counsel</w:t>
            </w:r>
          </w:p>
        </w:tc>
      </w:tr>
    </w:tbl>
    <w:p>
      <w:pPr>
        <w:sectPr>
          <w:pgSz w:w="11900" w:h="16838" w:orient="portrait"/>
          <w:cols w:equalWidth="0" w:num="1">
            <w:col w:w="11220"/>
          </w:cols>
          <w:pgMar w:left="240" w:top="85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Rockville, MD, USA and Martinsried/Munich, Germany, 19 August 2014</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Emergent BioSolutions and MorphoSys Sign License Agreement to Co-Develop and Commercialize Prostate Cancer Drug Candidate ES414</w:t>
      </w:r>
    </w:p>
    <w:p>
      <w:pPr>
        <w:spacing w:after="0" w:line="26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Emergent BioSolutions Inc. (NYSE: EBS) and MorphoSys AG (FSE: MOR; Prime Standard Segment, TecDAX, OTC: MPSYY) today announced an agreement for the joint development and commercialization of Emergent's preclinical bi-specific antibody, ES414, targeting prostate cancer. Under the terms of the agreement, Emergent will receive an upfront payment of US$20 million and milestone payments of up to US$163 million. These milestone payments are linked to specific events, including successful development of ES414 in several indications and securing approval in certain territories. Emergent and MorphoSys will jointly develop ES414, with MorphoSys bearing 64% and Emergent 36% of the total costs. Emergent will retain commercialization rights in the U.S. and Canada, with a tiered royalty obligation to MorphoSys, from mid-single digit up to 20%. MorphoSys will gain worldwide commercialization rights excluding the U.S. and Canada, with a low single digit royalty obligation to Emergent. Emergent will manufacture and supply clinical material from its manufacturing facilities in Baltimore, Maryland. Additional financial details were not disclosed.</w:t>
      </w:r>
    </w:p>
    <w:p>
      <w:pPr>
        <w:spacing w:after="0" w:line="196" w:lineRule="exact"/>
        <w:rPr>
          <w:sz w:val="20"/>
          <w:szCs w:val="20"/>
          <w:color w:val="auto"/>
        </w:rPr>
      </w:pPr>
    </w:p>
    <w:p>
      <w:pPr>
        <w:ind w:right="400"/>
        <w:spacing w:after="0" w:line="212" w:lineRule="auto"/>
        <w:rPr>
          <w:sz w:val="20"/>
          <w:szCs w:val="20"/>
          <w:color w:val="auto"/>
        </w:rPr>
      </w:pPr>
      <w:r>
        <w:rPr>
          <w:rFonts w:ascii="Arial" w:cs="Arial" w:eastAsia="Arial" w:hAnsi="Arial"/>
          <w:sz w:val="18"/>
          <w:szCs w:val="18"/>
          <w:color w:val="auto"/>
        </w:rPr>
        <w:t>ES414, which will be renamed MOR209/ES414, was developed by Emergent using its proprietary ADAPTIR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(modular protein technology) platform.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have shown that ES414 redirects T-cell cytotoxicity towards prostate cancer cells expressing Prostate Specific Membrane Antigen (PSMA), an antigen commonly found on such cells.</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Barry Labinger, Executive Vice President and President Biosciences Division at Emergent BioSolutions, stated: "Emergent looks forward to collaborating with MorphoSys to potentially address important unmet needs amongst patients suffering from prostate cancer. Our companies bring complementary capabilities, compatible cultures and values, and a shared commitment to the highest quality development and commercialization of ES414. We expect to begin clinical development within the next six months. Progress with ES414 will help validate our ADAPTIR platform, which we believe has broad potential to generate additional novel treatments for cancer and other important diseases. We are encouraged by our partnership with MorphoSys and the continued interest of multiple parties in our ADAPTIR platform."</w:t>
      </w:r>
    </w:p>
    <w:p>
      <w:pPr>
        <w:spacing w:after="0" w:line="2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Arndt Schottelius, Chief Development Officer of MorphoSys, added: "We are pleased to be working with Emergent BioSolutions. We believe ES414 has the potential to be an important therapy for prostate cancer, where there is a pressing need for better treatments. The preclinical data suggest that the molecule has a number of potential advantages over other drug candidates in this indication. Our goal is to combine our capabilities with those of Emergent to enable the fastest possible development and commercialization of ES414."</w:t>
      </w:r>
    </w:p>
    <w:p>
      <w:pPr>
        <w:spacing w:after="0" w:line="21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Emergent and MorphoSys plan to initiate a Phase 1 clinical trial evaluating ES414 in patients with metastatic castration-resistant prostate cancer (mCRPC) within the next six months. The initial phase of the trial will be conducted in the U.S. and Australia, with Emergent as the sponsor.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ES414</w:t>
      </w:r>
    </w:p>
    <w:p>
      <w:pPr>
        <w:spacing w:after="0" w:line="2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ES414 is a targeted immunotherapeutic protein, which activates host T-cell immunity specifically against prostate cancer cells expressing Prostate Specific Membrane Antigen (PSMA), an antigen commonly overexpressed on prostate cancer cells. The ES414 molecule was constructed using Emergent's ADAPTIR technology platform and selectively binds to the T cell receptor on cytotoxic T cells and PSMA on tumor cells. ES414 contains two pairs of binding domains, each targeting a unique antigen, linked to opposite ends of an immunoglobulin Fc domain to extend the half-life and enable use of a purification process typical of lg-based molecules. In preclinical studies, ES414 has been shown to redirect T-cell cytotoxicity towards prostate cancer cells expressing PSMA.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ADAPTIR™ Platform</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ADAPTIR bispecific proteins are modular, single chain polypeptides that comprise two separate binding domains, a hinge segment, and an effector domain (huFc). They have a differentiated structure from monoclonal antibodies and can generate a unique signaling response. Some ADAPTIR molecules, like ES414, may mediate T-cell cytotoxicity by redirecting T cells against tumor cells. In addition, monospecific ADAPTIR proteins may mediate complement dependent cytotoxicity and Fc dependent cytotoxicity, similar to monoclonal antibodies.</w:t>
      </w:r>
    </w:p>
    <w:p>
      <w:pPr>
        <w:spacing w:after="0" w:line="2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ADAPTIR and any and all Emergent BioSolutions Inc. brand, product, service and feature names, logos, and slogans are trademarks or registered trademarks of Emergent BioSolutions Inc. or its subsidiaries in the United States or other countries. All rights reserved.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Prostate Cancer</w:t>
      </w:r>
    </w:p>
    <w:p>
      <w:pPr>
        <w:spacing w:after="0" w:line="27"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Prostate cancer is the most common cancer in men with approximately 230,000 new cases annually in the United States or 900,000 new cases annually worldwide. Screening, radiation, surgery and hormone ablation therapy have greatly improved the detection and treatment of early stage prostate cancer. However, the new therapies only improve life expectancy by a few months for patients with metastatic castration-resistant prostate cancer.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w:t>
      </w:r>
    </w:p>
    <w:p>
      <w:pPr>
        <w:spacing w:after="0" w:line="2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xml:space="preserve">Emergent BioSolutions is a global specialty biopharmaceutical company seeking to protect and enhance life by offering specialized products to healthcare providers and governments to address medical needs and emerging health threats. Additional information about us may be found at www.emergentbiosolutions.com. Follow us on twitter: </w:t>
      </w:r>
      <w:r>
        <w:rPr>
          <w:rFonts w:ascii="Arial" w:cs="Arial" w:eastAsia="Arial" w:hAnsi="Arial"/>
          <w:sz w:val="18"/>
          <w:szCs w:val="18"/>
          <w:u w:val="single" w:color="auto"/>
          <w:color w:val="0000FF"/>
        </w:rPr>
        <w:t>@emergentbiosolu.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MorphoSys</w:t>
      </w:r>
    </w:p>
    <w:p>
      <w:pPr>
        <w:spacing w:after="0" w:line="27"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MorphoSys developed HuCAL, the most successful antibody library technology in the pharmaceutical industry. By successfully applying this and other patented technologies, MorphoSys has become a leader in the field of therapeutic antibodies, one of the fastest-growing drug classes in human healthcare.</w:t>
      </w:r>
    </w:p>
    <w:p>
      <w:pPr>
        <w:spacing w:after="0" w:line="166"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Together with its pharmaceutical partners, MorphoSys has built a therapeutic pipeline of more than 80 human antibody drug candidates for the treatment of cancer, rheumatoid arthritis, and Alzheimer's disease, to name just a few. With its ongoing commitment to new antibody technology and drug development,</w:t>
      </w:r>
    </w:p>
    <w:p>
      <w:pPr>
        <w:sectPr>
          <w:pgSz w:w="11900" w:h="16838" w:orient="portrait"/>
          <w:cols w:equalWidth="0" w:num="1">
            <w:col w:w="11420"/>
          </w:cols>
          <w:pgMar w:left="240" w:top="361" w:right="239" w:bottom="0" w:gutter="0" w:footer="0" w:header="0"/>
        </w:sectPr>
      </w:pPr>
    </w:p>
    <w:bookmarkStart w:id="4" w:name="page5"/>
    <w:bookmarkEnd w:id="4"/>
    <w:p>
      <w:pPr>
        <w:ind w:right="300"/>
        <w:spacing w:after="0" w:line="277" w:lineRule="auto"/>
        <w:rPr>
          <w:sz w:val="20"/>
          <w:szCs w:val="20"/>
          <w:color w:val="auto"/>
        </w:rPr>
      </w:pPr>
      <w:r>
        <w:rPr>
          <w:rFonts w:ascii="Arial" w:cs="Arial" w:eastAsia="Arial" w:hAnsi="Arial"/>
          <w:sz w:val="18"/>
          <w:szCs w:val="18"/>
          <w:color w:val="auto"/>
        </w:rPr>
        <w:t>MorphoSys is focused on making the healthcare products of tomorrow. MorphoSys is listed on the Frankfurt Stock Exchange under the symbol MOR. For regular updates about MorphoSys, visit http://www.morphosys.com.</w:t>
      </w:r>
    </w:p>
    <w:p>
      <w:pPr>
        <w:spacing w:after="0" w:line="188" w:lineRule="exact"/>
        <w:rPr>
          <w:sz w:val="20"/>
          <w:szCs w:val="20"/>
          <w:color w:val="auto"/>
        </w:rPr>
      </w:pPr>
    </w:p>
    <w:p>
      <w:pPr>
        <w:ind w:right="80"/>
        <w:spacing w:after="0" w:line="198" w:lineRule="auto"/>
        <w:rPr>
          <w:sz w:val="20"/>
          <w:szCs w:val="20"/>
          <w:color w:val="auto"/>
        </w:rPr>
      </w:pPr>
      <w:r>
        <w:rPr>
          <w:rFonts w:ascii="Arial" w:cs="Arial" w:eastAsia="Arial" w:hAnsi="Arial"/>
          <w:sz w:val="18"/>
          <w:szCs w:val="18"/>
          <w:color w:val="auto"/>
        </w:rPr>
        <w:t>HuCAL</w:t>
      </w:r>
      <w:r>
        <w:rPr>
          <w:rFonts w:ascii="Arial" w:cs="Arial" w:eastAsia="Arial" w:hAnsi="Arial"/>
          <w:sz w:val="30"/>
          <w:szCs w:val="30"/>
          <w:color w:val="auto"/>
          <w:vertAlign w:val="superscript"/>
        </w:rPr>
        <w:t>®</w:t>
      </w:r>
      <w:r>
        <w:rPr>
          <w:rFonts w:ascii="Arial" w:cs="Arial" w:eastAsia="Arial" w:hAnsi="Arial"/>
          <w:sz w:val="18"/>
          <w:szCs w:val="18"/>
          <w:color w:val="auto"/>
        </w:rPr>
        <w:t>, HuCAL GOLD</w:t>
      </w:r>
      <w:r>
        <w:rPr>
          <w:rFonts w:ascii="Arial" w:cs="Arial" w:eastAsia="Arial" w:hAnsi="Arial"/>
          <w:sz w:val="30"/>
          <w:szCs w:val="30"/>
          <w:color w:val="auto"/>
          <w:vertAlign w:val="superscript"/>
        </w:rPr>
        <w:t>®</w:t>
      </w:r>
      <w:r>
        <w:rPr>
          <w:rFonts w:ascii="Arial" w:cs="Arial" w:eastAsia="Arial" w:hAnsi="Arial"/>
          <w:sz w:val="18"/>
          <w:szCs w:val="18"/>
          <w:color w:val="auto"/>
        </w:rPr>
        <w:t>, HuCAL PLATINUM</w:t>
      </w:r>
      <w:r>
        <w:rPr>
          <w:rFonts w:ascii="Arial" w:cs="Arial" w:eastAsia="Arial" w:hAnsi="Arial"/>
          <w:sz w:val="30"/>
          <w:szCs w:val="30"/>
          <w:color w:val="auto"/>
          <w:vertAlign w:val="superscript"/>
        </w:rPr>
        <w:t>®</w:t>
      </w:r>
      <w:r>
        <w:rPr>
          <w:rFonts w:ascii="Arial" w:cs="Arial" w:eastAsia="Arial" w:hAnsi="Arial"/>
          <w:sz w:val="18"/>
          <w:szCs w:val="18"/>
          <w:color w:val="auto"/>
        </w:rPr>
        <w:t>, CysDisplay</w:t>
      </w:r>
      <w:r>
        <w:rPr>
          <w:rFonts w:ascii="Arial" w:cs="Arial" w:eastAsia="Arial" w:hAnsi="Arial"/>
          <w:sz w:val="30"/>
          <w:szCs w:val="30"/>
          <w:color w:val="auto"/>
          <w:vertAlign w:val="superscript"/>
        </w:rPr>
        <w:t>®</w:t>
      </w:r>
      <w:r>
        <w:rPr>
          <w:rFonts w:ascii="Arial" w:cs="Arial" w:eastAsia="Arial" w:hAnsi="Arial"/>
          <w:sz w:val="18"/>
          <w:szCs w:val="18"/>
          <w:color w:val="auto"/>
        </w:rPr>
        <w:t>, RapMAT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arYla</w:t>
      </w:r>
      <w:r>
        <w:rPr>
          <w:rFonts w:ascii="Arial" w:cs="Arial" w:eastAsia="Arial" w:hAnsi="Arial"/>
          <w:sz w:val="30"/>
          <w:szCs w:val="30"/>
          <w:color w:val="auto"/>
          <w:vertAlign w:val="superscript"/>
        </w:rPr>
        <w:t>®</w:t>
      </w:r>
      <w:r>
        <w:rPr>
          <w:rFonts w:ascii="Arial" w:cs="Arial" w:eastAsia="Arial" w:hAnsi="Arial"/>
          <w:sz w:val="18"/>
          <w:szCs w:val="18"/>
          <w:color w:val="auto"/>
        </w:rPr>
        <w:t>, Ylanthia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100 billion high potentials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are registered trademarks of MorphoSys AG.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Slonomics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Sloning BioTechnology GmbH, a subsidiary of MorphoSys AG.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Safe Harbor Statement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includes forward-looking statements within the meaning of the Private Securities Litigation Reform Act of 1995. Any statements, other than statements of historical fact, are forward-looking statements. Forward-looking statements in this press release include statements about the potential and therapeutic opportunity of the ES414 molecule and potential milestone and royalty payments for development, regulatory approval and sales of the product candidate.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There are a number of important factors that could cause the company's actual results to differ materially from those indicated by such forward-looking statements, including the success of clinical trials for ES414; the timing of and our ability to obtain and maintain regulatory approvals for ES414; the rate and degree of market acceptance and clinical utility of ES414 as a product; and our commercialization, marketing and manufacturing capabilities and strategy with respect to ES414.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MorphoSys Safe Harbor Statement</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communication contains certain forward-looking statements concerning the MorphoSys group of companies. The forward-looking statements contained herein represent the judgment of MorphoSys as of the date of this release and involve risks and uncertainties. Should actual conditions differ from the Company's assumptions, actual results and actions may differ from those anticipated. MorphoSys does not intend to update any of these forward-looking statements as far as the wording of the relevant press release is concerned.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For more information, please contact:</w:t>
            </w: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80" w:type="dxa"/>
            <w:vAlign w:val="bottom"/>
          </w:tcPr>
          <w:p>
            <w:pPr>
              <w:spacing w:after="0"/>
              <w:rPr>
                <w:sz w:val="20"/>
                <w:szCs w:val="20"/>
                <w:color w:val="auto"/>
              </w:rPr>
            </w:pPr>
            <w:r>
              <w:rPr>
                <w:rFonts w:ascii="Arial" w:cs="Arial" w:eastAsia="Arial" w:hAnsi="Arial"/>
                <w:sz w:val="18"/>
                <w:szCs w:val="18"/>
                <w:b w:val="1"/>
                <w:bCs w:val="1"/>
                <w:color w:val="auto"/>
              </w:rPr>
              <w:t>Emergent BioSolutions</w:t>
            </w:r>
          </w:p>
        </w:tc>
        <w:tc>
          <w:tcPr>
            <w:tcW w:w="6140" w:type="dxa"/>
            <w:vAlign w:val="bottom"/>
          </w:tcPr>
          <w:p>
            <w:pPr>
              <w:ind w:left="440"/>
              <w:spacing w:after="0"/>
              <w:rPr>
                <w:sz w:val="20"/>
                <w:szCs w:val="20"/>
                <w:color w:val="auto"/>
              </w:rPr>
            </w:pPr>
            <w:r>
              <w:rPr>
                <w:rFonts w:ascii="Arial" w:cs="Arial" w:eastAsia="Arial" w:hAnsi="Arial"/>
                <w:sz w:val="18"/>
                <w:szCs w:val="18"/>
                <w:b w:val="1"/>
                <w:bCs w:val="1"/>
                <w:color w:val="auto"/>
              </w:rPr>
              <w:t>MorphoSys AG</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Arial" w:cs="Arial" w:eastAsia="Arial" w:hAnsi="Arial"/>
                <w:sz w:val="18"/>
                <w:szCs w:val="18"/>
                <w:color w:val="auto"/>
              </w:rPr>
              <w:t>Dr. Claudia Gutjahr-Löser</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i w:val="1"/>
                <w:iCs w:val="1"/>
                <w:color w:val="auto"/>
              </w:rPr>
              <w:t>Investors Contact:</w:t>
            </w:r>
          </w:p>
        </w:tc>
        <w:tc>
          <w:tcPr>
            <w:tcW w:w="6140" w:type="dxa"/>
            <w:vAlign w:val="bottom"/>
          </w:tcPr>
          <w:p>
            <w:pPr>
              <w:ind w:left="440"/>
              <w:spacing w:after="0"/>
              <w:rPr>
                <w:sz w:val="20"/>
                <w:szCs w:val="20"/>
                <w:color w:val="auto"/>
              </w:rPr>
            </w:pPr>
            <w:r>
              <w:rPr>
                <w:rFonts w:ascii="Arial" w:cs="Arial" w:eastAsia="Arial" w:hAnsi="Arial"/>
                <w:sz w:val="18"/>
                <w:szCs w:val="18"/>
                <w:color w:val="auto"/>
              </w:rPr>
              <w:t>Head of Corporate Communications &amp; IR</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Robert G. Burrows</w:t>
            </w: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Arial" w:cs="Arial" w:eastAsia="Arial" w:hAnsi="Arial"/>
                <w:sz w:val="18"/>
                <w:szCs w:val="18"/>
                <w:color w:val="auto"/>
              </w:rPr>
              <w:t>Vice President, Investor Relations</w:t>
            </w:r>
          </w:p>
        </w:tc>
        <w:tc>
          <w:tcPr>
            <w:tcW w:w="6140" w:type="dxa"/>
            <w:vAlign w:val="bottom"/>
          </w:tcPr>
          <w:p>
            <w:pPr>
              <w:ind w:left="440"/>
              <w:spacing w:after="0"/>
              <w:rPr>
                <w:sz w:val="20"/>
                <w:szCs w:val="20"/>
                <w:color w:val="auto"/>
              </w:rPr>
            </w:pPr>
            <w:r>
              <w:rPr>
                <w:rFonts w:ascii="Arial" w:cs="Arial" w:eastAsia="Arial" w:hAnsi="Arial"/>
                <w:sz w:val="18"/>
                <w:szCs w:val="18"/>
                <w:color w:val="auto"/>
              </w:rPr>
              <w:t>Mario Brkulj</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Tel: +1 301-795-1877</w:t>
            </w:r>
          </w:p>
        </w:tc>
        <w:tc>
          <w:tcPr>
            <w:tcW w:w="6140" w:type="dxa"/>
            <w:vAlign w:val="bottom"/>
          </w:tcPr>
          <w:p>
            <w:pPr>
              <w:ind w:left="440"/>
              <w:spacing w:after="0"/>
              <w:rPr>
                <w:sz w:val="20"/>
                <w:szCs w:val="20"/>
                <w:color w:val="auto"/>
              </w:rPr>
            </w:pPr>
            <w:r>
              <w:rPr>
                <w:rFonts w:ascii="Arial" w:cs="Arial" w:eastAsia="Arial" w:hAnsi="Arial"/>
                <w:sz w:val="18"/>
                <w:szCs w:val="18"/>
                <w:color w:val="auto"/>
              </w:rPr>
              <w:t>Associate Director Corporate Communications &amp; IR</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0000FF"/>
              </w:rPr>
              <w:t>BurrowsR@ebsi.com</w:t>
            </w:r>
          </w:p>
        </w:tc>
        <w:tc>
          <w:tcPr>
            <w:tcW w:w="6140" w:type="dxa"/>
            <w:vAlign w:val="bottom"/>
            <w:vMerge w:val="restart"/>
          </w:tcPr>
          <w:p>
            <w:pPr>
              <w:ind w:left="440"/>
              <w:spacing w:after="0"/>
              <w:rPr>
                <w:sz w:val="20"/>
                <w:szCs w:val="20"/>
                <w:color w:val="auto"/>
              </w:rPr>
            </w:pPr>
            <w:r>
              <w:rPr>
                <w:rFonts w:ascii="Arial" w:cs="Arial" w:eastAsia="Arial" w:hAnsi="Arial"/>
                <w:sz w:val="18"/>
                <w:szCs w:val="18"/>
                <w:color w:val="auto"/>
              </w:rPr>
              <w:t>Alexandra Goller</w:t>
            </w:r>
          </w:p>
        </w:tc>
        <w:tc>
          <w:tcPr>
            <w:tcW w:w="0" w:type="dxa"/>
            <w:vAlign w:val="bottom"/>
          </w:tcPr>
          <w:p>
            <w:pPr>
              <w:spacing w:after="0"/>
              <w:rPr>
                <w:sz w:val="1"/>
                <w:szCs w:val="1"/>
                <w:color w:val="auto"/>
              </w:rPr>
            </w:pPr>
          </w:p>
        </w:tc>
      </w:tr>
      <w:tr>
        <w:trPr>
          <w:trHeight w:val="202"/>
        </w:trPr>
        <w:tc>
          <w:tcPr>
            <w:tcW w:w="5280" w:type="dxa"/>
            <w:vAlign w:val="bottom"/>
          </w:tcPr>
          <w:p>
            <w:pPr>
              <w:spacing w:after="0"/>
              <w:rPr>
                <w:sz w:val="17"/>
                <w:szCs w:val="17"/>
                <w:color w:val="auto"/>
              </w:rPr>
            </w:pPr>
          </w:p>
        </w:tc>
        <w:tc>
          <w:tcPr>
            <w:tcW w:w="6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i w:val="1"/>
                <w:iCs w:val="1"/>
                <w:color w:val="auto"/>
              </w:rPr>
              <w:t>Media Contact:</w:t>
            </w:r>
          </w:p>
        </w:tc>
        <w:tc>
          <w:tcPr>
            <w:tcW w:w="6140" w:type="dxa"/>
            <w:vAlign w:val="bottom"/>
          </w:tcPr>
          <w:p>
            <w:pPr>
              <w:ind w:left="440"/>
              <w:spacing w:after="0"/>
              <w:rPr>
                <w:sz w:val="20"/>
                <w:szCs w:val="20"/>
                <w:color w:val="auto"/>
              </w:rPr>
            </w:pPr>
            <w:r>
              <w:rPr>
                <w:rFonts w:ascii="Arial" w:cs="Arial" w:eastAsia="Arial" w:hAnsi="Arial"/>
                <w:sz w:val="18"/>
                <w:szCs w:val="18"/>
                <w:color w:val="auto"/>
              </w:rPr>
              <w:t>Specialist Corporate Communications &amp; IR</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Tracey Schmitt</w:t>
            </w: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Arial" w:cs="Arial" w:eastAsia="Arial" w:hAnsi="Arial"/>
                <w:sz w:val="18"/>
                <w:szCs w:val="18"/>
                <w:color w:val="auto"/>
              </w:rPr>
              <w:t>Vice President, Global Public Affairs and Corporate Responsibility</w:t>
            </w:r>
          </w:p>
        </w:tc>
        <w:tc>
          <w:tcPr>
            <w:tcW w:w="6140" w:type="dxa"/>
            <w:vAlign w:val="bottom"/>
          </w:tcPr>
          <w:p>
            <w:pPr>
              <w:ind w:left="440"/>
              <w:spacing w:after="0"/>
              <w:rPr>
                <w:sz w:val="20"/>
                <w:szCs w:val="20"/>
                <w:color w:val="auto"/>
              </w:rPr>
            </w:pPr>
            <w:r>
              <w:rPr>
                <w:rFonts w:ascii="Arial" w:cs="Arial" w:eastAsia="Arial" w:hAnsi="Arial"/>
                <w:sz w:val="18"/>
                <w:szCs w:val="18"/>
                <w:color w:val="auto"/>
              </w:rPr>
              <w:t>Jessica Rush</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Tel: +1 301-795-1847</w:t>
            </w:r>
          </w:p>
        </w:tc>
        <w:tc>
          <w:tcPr>
            <w:tcW w:w="6140" w:type="dxa"/>
            <w:vAlign w:val="bottom"/>
          </w:tcPr>
          <w:p>
            <w:pPr>
              <w:ind w:left="440"/>
              <w:spacing w:after="0"/>
              <w:rPr>
                <w:sz w:val="20"/>
                <w:szCs w:val="20"/>
                <w:color w:val="auto"/>
              </w:rPr>
            </w:pPr>
            <w:r>
              <w:rPr>
                <w:rFonts w:ascii="Arial" w:cs="Arial" w:eastAsia="Arial" w:hAnsi="Arial"/>
                <w:sz w:val="18"/>
                <w:szCs w:val="18"/>
                <w:color w:val="auto"/>
              </w:rPr>
              <w:t>Specialist Corporate Communications &amp; IR</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0000FF"/>
              </w:rPr>
              <w:t>SchmittT@ebsi.com</w:t>
            </w:r>
          </w:p>
        </w:tc>
        <w:tc>
          <w:tcPr>
            <w:tcW w:w="6140" w:type="dxa"/>
            <w:vAlign w:val="bottom"/>
          </w:tcPr>
          <w:p>
            <w:pPr>
              <w:ind w:left="440"/>
              <w:spacing w:after="0"/>
              <w:rPr>
                <w:sz w:val="20"/>
                <w:szCs w:val="20"/>
                <w:color w:val="auto"/>
              </w:rPr>
            </w:pPr>
            <w:r>
              <w:rPr>
                <w:rFonts w:ascii="Arial" w:cs="Arial" w:eastAsia="Arial" w:hAnsi="Arial"/>
                <w:sz w:val="18"/>
                <w:szCs w:val="18"/>
                <w:b w:val="1"/>
                <w:bCs w:val="1"/>
                <w:color w:val="auto"/>
              </w:rPr>
              <w:t>Tel: +49 (0) 89 / 899 27-404</w:t>
            </w:r>
          </w:p>
        </w:tc>
        <w:tc>
          <w:tcPr>
            <w:tcW w:w="0" w:type="dxa"/>
            <w:vAlign w:val="bottom"/>
          </w:tcPr>
          <w:p>
            <w:pPr>
              <w:spacing w:after="0"/>
              <w:rPr>
                <w:sz w:val="1"/>
                <w:szCs w:val="1"/>
                <w:color w:val="auto"/>
              </w:rPr>
            </w:pPr>
          </w:p>
        </w:tc>
      </w:tr>
      <w:tr>
        <w:trPr>
          <w:trHeight w:val="241"/>
        </w:trPr>
        <w:tc>
          <w:tcPr>
            <w:tcW w:w="528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0000FF"/>
              </w:rPr>
              <w:t>investors@morphosys.com</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2019-12-07T13:08:42Z</dcterms:created>
  <dcterms:modified xsi:type="dcterms:W3CDTF">2019-12-07T13:08:42Z</dcterms:modified>
</cp:coreProperties>
</file>