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7"/>
          <w:szCs w:val="17"/>
          <w:b w:val="1"/>
          <w:bCs w:val="1"/>
          <w:color w:val="auto"/>
        </w:rPr>
        <w:t>UNITED STATES</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40"/>
        <w:spacing w:after="0" w:line="234" w:lineRule="auto"/>
        <w:rPr>
          <w:sz w:val="20"/>
          <w:szCs w:val="20"/>
          <w:color w:val="auto"/>
        </w:rPr>
      </w:pPr>
      <w:r>
        <w:rPr>
          <w:rFonts w:ascii="Arial" w:cs="Arial" w:eastAsia="Arial" w:hAnsi="Arial"/>
          <w:sz w:val="12"/>
          <w:szCs w:val="12"/>
          <w:b w:val="1"/>
          <w:bCs w:val="1"/>
          <w:color w:val="auto"/>
        </w:rPr>
        <w:t>WASHINGTON, D.C. 20549</w:t>
      </w:r>
    </w:p>
    <w:p>
      <w:pPr>
        <w:spacing w:after="0" w:line="1" w:lineRule="exact"/>
        <w:rPr>
          <w:sz w:val="24"/>
          <w:szCs w:val="24"/>
          <w:color w:val="auto"/>
        </w:rPr>
      </w:pPr>
    </w:p>
    <w:p>
      <w:pPr>
        <w:ind w:left="5140"/>
        <w:spacing w:after="0"/>
        <w:rPr>
          <w:sz w:val="20"/>
          <w:szCs w:val="20"/>
          <w:color w:val="auto"/>
        </w:rPr>
      </w:pPr>
      <w:r>
        <w:rPr>
          <w:rFonts w:ascii="Arial" w:cs="Arial" w:eastAsia="Arial" w:hAnsi="Arial"/>
          <w:sz w:val="12"/>
          <w:szCs w:val="12"/>
          <w:color w:val="auto"/>
        </w:rPr>
        <w:t>____________________</w:t>
      </w:r>
    </w:p>
    <w:p>
      <w:pPr>
        <w:spacing w:after="0" w:line="13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8-K</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2"/>
          <w:szCs w:val="12"/>
          <w:b w:val="1"/>
          <w:bCs w:val="1"/>
          <w:color w:val="auto"/>
        </w:rPr>
        <w:t>CURRENT REPORT</w:t>
      </w:r>
    </w:p>
    <w:p>
      <w:pPr>
        <w:jc w:val="center"/>
        <w:ind w:right="40"/>
        <w:spacing w:after="0" w:line="234" w:lineRule="auto"/>
        <w:rPr>
          <w:sz w:val="20"/>
          <w:szCs w:val="20"/>
          <w:color w:val="auto"/>
        </w:rPr>
      </w:pPr>
      <w:r>
        <w:rPr>
          <w:rFonts w:ascii="Arial" w:cs="Arial" w:eastAsia="Arial" w:hAnsi="Arial"/>
          <w:sz w:val="12"/>
          <w:szCs w:val="12"/>
          <w:b w:val="1"/>
          <w:bCs w:val="1"/>
          <w:color w:val="auto"/>
        </w:rPr>
        <w:t>Pursuant to Section 13 or 15(d) of the</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2"/>
          <w:szCs w:val="12"/>
          <w:b w:val="1"/>
          <w:bCs w:val="1"/>
          <w:color w:val="auto"/>
        </w:rPr>
        <w:t>Securities Exchange Act of 1934</w:t>
      </w:r>
    </w:p>
    <w:p>
      <w:pPr>
        <w:spacing w:after="0" w:line="136" w:lineRule="exact"/>
        <w:rPr>
          <w:sz w:val="24"/>
          <w:szCs w:val="24"/>
          <w:color w:val="auto"/>
        </w:rPr>
      </w:pPr>
    </w:p>
    <w:p>
      <w:pPr>
        <w:jc w:val="center"/>
        <w:ind w:right="40"/>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February 21, 2019</w:t>
      </w:r>
    </w:p>
    <w:p>
      <w:pPr>
        <w:spacing w:after="0" w:line="158"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Emergent BioSolutions Inc.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2"/>
          <w:szCs w:val="12"/>
          <w:color w:val="auto"/>
        </w:rPr>
        <w:t>(Exact Name of Registrant as Specified in Charter)</w:t>
      </w:r>
    </w:p>
    <w:p>
      <w:pPr>
        <w:spacing w:after="0" w:line="91" w:lineRule="exact"/>
        <w:rPr>
          <w:sz w:val="24"/>
          <w:szCs w:val="24"/>
          <w:color w:val="auto"/>
        </w:rPr>
      </w:pPr>
    </w:p>
    <w:tbl>
      <w:tblPr>
        <w:tblLayout w:type="fixed"/>
        <w:tblInd w:w="1340" w:type="dxa"/>
        <w:tblCellMar>
          <w:top w:w="0" w:type="dxa"/>
          <w:left w:w="0" w:type="dxa"/>
          <w:bottom w:w="0" w:type="dxa"/>
          <w:right w:w="0" w:type="dxa"/>
        </w:tblCellMar>
      </w:tblPr>
      <w:tr>
        <w:trPr>
          <w:trHeight w:val="139"/>
        </w:trPr>
        <w:tc>
          <w:tcPr>
            <w:tcW w:w="2020" w:type="dxa"/>
            <w:vAlign w:val="bottom"/>
          </w:tcPr>
          <w:p>
            <w:pPr>
              <w:jc w:val="center"/>
              <w:ind w:right="680"/>
              <w:spacing w:after="0"/>
              <w:rPr>
                <w:sz w:val="20"/>
                <w:szCs w:val="20"/>
                <w:color w:val="auto"/>
              </w:rPr>
            </w:pPr>
            <w:r>
              <w:rPr>
                <w:rFonts w:ascii="Arial" w:cs="Arial" w:eastAsia="Arial" w:hAnsi="Arial"/>
                <w:sz w:val="12"/>
                <w:szCs w:val="12"/>
                <w:b w:val="1"/>
                <w:bCs w:val="1"/>
                <w:color w:val="auto"/>
                <w:w w:val="91"/>
              </w:rPr>
              <w:t>Delaware</w:t>
            </w:r>
          </w:p>
        </w:tc>
        <w:tc>
          <w:tcPr>
            <w:tcW w:w="4840" w:type="dxa"/>
            <w:vAlign w:val="bottom"/>
          </w:tcPr>
          <w:p>
            <w:pPr>
              <w:jc w:val="center"/>
              <w:ind w:right="20"/>
              <w:spacing w:after="0"/>
              <w:rPr>
                <w:sz w:val="20"/>
                <w:szCs w:val="20"/>
                <w:color w:val="auto"/>
              </w:rPr>
            </w:pPr>
            <w:r>
              <w:rPr>
                <w:rFonts w:ascii="Arial" w:cs="Arial" w:eastAsia="Arial" w:hAnsi="Arial"/>
                <w:sz w:val="12"/>
                <w:szCs w:val="12"/>
                <w:b w:val="1"/>
                <w:bCs w:val="1"/>
                <w:color w:val="auto"/>
                <w:w w:val="90"/>
              </w:rPr>
              <w:t>001-33137</w:t>
            </w:r>
          </w:p>
        </w:tc>
        <w:tc>
          <w:tcPr>
            <w:tcW w:w="1740" w:type="dxa"/>
            <w:vAlign w:val="bottom"/>
          </w:tcPr>
          <w:p>
            <w:pPr>
              <w:jc w:val="center"/>
              <w:ind w:left="780"/>
              <w:spacing w:after="0"/>
              <w:rPr>
                <w:sz w:val="20"/>
                <w:szCs w:val="20"/>
                <w:color w:val="auto"/>
              </w:rPr>
            </w:pPr>
            <w:r>
              <w:rPr>
                <w:rFonts w:ascii="Arial" w:cs="Arial" w:eastAsia="Arial" w:hAnsi="Arial"/>
                <w:sz w:val="12"/>
                <w:szCs w:val="12"/>
                <w:b w:val="1"/>
                <w:bCs w:val="1"/>
                <w:color w:val="auto"/>
                <w:w w:val="90"/>
              </w:rPr>
              <w:t>14-1902018</w:t>
            </w:r>
          </w:p>
        </w:tc>
      </w:tr>
      <w:tr>
        <w:trPr>
          <w:trHeight w:val="135"/>
        </w:trPr>
        <w:tc>
          <w:tcPr>
            <w:tcW w:w="2020" w:type="dxa"/>
            <w:vAlign w:val="bottom"/>
          </w:tcPr>
          <w:p>
            <w:pPr>
              <w:jc w:val="center"/>
              <w:ind w:right="660"/>
              <w:spacing w:after="0" w:line="135" w:lineRule="exact"/>
              <w:rPr>
                <w:sz w:val="20"/>
                <w:szCs w:val="20"/>
                <w:color w:val="auto"/>
              </w:rPr>
            </w:pPr>
            <w:r>
              <w:rPr>
                <w:rFonts w:ascii="Arial" w:cs="Arial" w:eastAsia="Arial" w:hAnsi="Arial"/>
                <w:sz w:val="12"/>
                <w:szCs w:val="12"/>
                <w:color w:val="auto"/>
                <w:w w:val="91"/>
              </w:rPr>
              <w:t>(State or Other Jurisdiction</w:t>
            </w:r>
          </w:p>
        </w:tc>
        <w:tc>
          <w:tcPr>
            <w:tcW w:w="4840" w:type="dxa"/>
            <w:vAlign w:val="bottom"/>
          </w:tcPr>
          <w:p>
            <w:pPr>
              <w:jc w:val="center"/>
              <w:ind w:right="20"/>
              <w:spacing w:after="0" w:line="135" w:lineRule="exact"/>
              <w:rPr>
                <w:sz w:val="20"/>
                <w:szCs w:val="20"/>
                <w:color w:val="auto"/>
              </w:rPr>
            </w:pPr>
            <w:r>
              <w:rPr>
                <w:rFonts w:ascii="Arial" w:cs="Arial" w:eastAsia="Arial" w:hAnsi="Arial"/>
                <w:sz w:val="12"/>
                <w:szCs w:val="12"/>
                <w:color w:val="auto"/>
                <w:w w:val="91"/>
              </w:rPr>
              <w:t>(Commission</w:t>
            </w:r>
          </w:p>
        </w:tc>
        <w:tc>
          <w:tcPr>
            <w:tcW w:w="1740" w:type="dxa"/>
            <w:vAlign w:val="bottom"/>
          </w:tcPr>
          <w:p>
            <w:pPr>
              <w:jc w:val="center"/>
              <w:ind w:left="780"/>
              <w:spacing w:after="0" w:line="135" w:lineRule="exact"/>
              <w:rPr>
                <w:sz w:val="20"/>
                <w:szCs w:val="20"/>
                <w:color w:val="auto"/>
              </w:rPr>
            </w:pPr>
            <w:r>
              <w:rPr>
                <w:rFonts w:ascii="Arial" w:cs="Arial" w:eastAsia="Arial" w:hAnsi="Arial"/>
                <w:sz w:val="12"/>
                <w:szCs w:val="12"/>
                <w:color w:val="auto"/>
                <w:w w:val="94"/>
              </w:rPr>
              <w:t>(IRS Employer</w:t>
            </w:r>
          </w:p>
        </w:tc>
      </w:tr>
      <w:tr>
        <w:trPr>
          <w:trHeight w:val="153"/>
        </w:trPr>
        <w:tc>
          <w:tcPr>
            <w:tcW w:w="2020" w:type="dxa"/>
            <w:vAlign w:val="bottom"/>
          </w:tcPr>
          <w:p>
            <w:pPr>
              <w:jc w:val="center"/>
              <w:ind w:right="660"/>
              <w:spacing w:after="0"/>
              <w:rPr>
                <w:sz w:val="20"/>
                <w:szCs w:val="20"/>
                <w:color w:val="auto"/>
              </w:rPr>
            </w:pPr>
            <w:r>
              <w:rPr>
                <w:rFonts w:ascii="Arial" w:cs="Arial" w:eastAsia="Arial" w:hAnsi="Arial"/>
                <w:sz w:val="12"/>
                <w:szCs w:val="12"/>
                <w:color w:val="auto"/>
                <w:w w:val="93"/>
              </w:rPr>
              <w:t>of Incorporation)</w:t>
            </w:r>
          </w:p>
        </w:tc>
        <w:tc>
          <w:tcPr>
            <w:tcW w:w="4840" w:type="dxa"/>
            <w:vAlign w:val="bottom"/>
          </w:tcPr>
          <w:p>
            <w:pPr>
              <w:jc w:val="center"/>
              <w:ind w:right="40"/>
              <w:spacing w:after="0"/>
              <w:rPr>
                <w:sz w:val="20"/>
                <w:szCs w:val="20"/>
                <w:color w:val="auto"/>
              </w:rPr>
            </w:pPr>
            <w:r>
              <w:rPr>
                <w:rFonts w:ascii="Arial" w:cs="Arial" w:eastAsia="Arial" w:hAnsi="Arial"/>
                <w:sz w:val="12"/>
                <w:szCs w:val="12"/>
                <w:color w:val="auto"/>
                <w:w w:val="95"/>
              </w:rPr>
              <w:t>File Number)</w:t>
            </w:r>
          </w:p>
        </w:tc>
        <w:tc>
          <w:tcPr>
            <w:tcW w:w="1740" w:type="dxa"/>
            <w:vAlign w:val="bottom"/>
          </w:tcPr>
          <w:p>
            <w:pPr>
              <w:jc w:val="center"/>
              <w:ind w:left="780"/>
              <w:spacing w:after="0"/>
              <w:rPr>
                <w:sz w:val="20"/>
                <w:szCs w:val="20"/>
                <w:color w:val="auto"/>
              </w:rPr>
            </w:pPr>
            <w:r>
              <w:rPr>
                <w:rFonts w:ascii="Arial" w:cs="Arial" w:eastAsia="Arial" w:hAnsi="Arial"/>
                <w:sz w:val="12"/>
                <w:szCs w:val="12"/>
                <w:color w:val="auto"/>
                <w:w w:val="96"/>
              </w:rPr>
              <w:t>Identification No.)</w:t>
            </w:r>
          </w:p>
        </w:tc>
      </w:tr>
      <w:tr>
        <w:trPr>
          <w:trHeight w:val="275"/>
        </w:trPr>
        <w:tc>
          <w:tcPr>
            <w:tcW w:w="2020" w:type="dxa"/>
            <w:vAlign w:val="bottom"/>
          </w:tcPr>
          <w:p>
            <w:pPr>
              <w:spacing w:after="0"/>
              <w:rPr>
                <w:sz w:val="23"/>
                <w:szCs w:val="23"/>
                <w:color w:val="auto"/>
              </w:rPr>
            </w:pPr>
          </w:p>
        </w:tc>
        <w:tc>
          <w:tcPr>
            <w:tcW w:w="4840" w:type="dxa"/>
            <w:vAlign w:val="bottom"/>
          </w:tcPr>
          <w:p>
            <w:pPr>
              <w:jc w:val="center"/>
              <w:ind w:right="100"/>
              <w:spacing w:after="0"/>
              <w:rPr>
                <w:sz w:val="20"/>
                <w:szCs w:val="20"/>
                <w:color w:val="auto"/>
              </w:rPr>
            </w:pPr>
            <w:r>
              <w:rPr>
                <w:rFonts w:ascii="Arial" w:cs="Arial" w:eastAsia="Arial" w:hAnsi="Arial"/>
                <w:sz w:val="12"/>
                <w:szCs w:val="12"/>
                <w:b w:val="1"/>
                <w:bCs w:val="1"/>
                <w:color w:val="auto"/>
                <w:w w:val="89"/>
              </w:rPr>
              <w:t>400 Professional Drive, Suite 400</w:t>
            </w:r>
          </w:p>
        </w:tc>
        <w:tc>
          <w:tcPr>
            <w:tcW w:w="1740" w:type="dxa"/>
            <w:vAlign w:val="bottom"/>
          </w:tcPr>
          <w:p>
            <w:pPr>
              <w:spacing w:after="0"/>
              <w:rPr>
                <w:sz w:val="23"/>
                <w:szCs w:val="23"/>
                <w:color w:val="auto"/>
              </w:rPr>
            </w:pPr>
          </w:p>
        </w:tc>
      </w:tr>
      <w:tr>
        <w:trPr>
          <w:trHeight w:val="139"/>
        </w:trPr>
        <w:tc>
          <w:tcPr>
            <w:tcW w:w="2020" w:type="dxa"/>
            <w:vAlign w:val="bottom"/>
          </w:tcPr>
          <w:p>
            <w:pPr>
              <w:spacing w:after="0"/>
              <w:rPr>
                <w:sz w:val="12"/>
                <w:szCs w:val="12"/>
                <w:color w:val="auto"/>
              </w:rPr>
            </w:pPr>
          </w:p>
        </w:tc>
        <w:tc>
          <w:tcPr>
            <w:tcW w:w="4840" w:type="dxa"/>
            <w:vAlign w:val="bottom"/>
          </w:tcPr>
          <w:p>
            <w:pPr>
              <w:jc w:val="center"/>
              <w:ind w:right="100"/>
              <w:spacing w:after="0"/>
              <w:rPr>
                <w:sz w:val="20"/>
                <w:szCs w:val="20"/>
                <w:color w:val="auto"/>
              </w:rPr>
            </w:pPr>
            <w:r>
              <w:rPr>
                <w:rFonts w:ascii="Arial" w:cs="Arial" w:eastAsia="Arial" w:hAnsi="Arial"/>
                <w:sz w:val="12"/>
                <w:szCs w:val="12"/>
                <w:b w:val="1"/>
                <w:bCs w:val="1"/>
                <w:color w:val="auto"/>
                <w:w w:val="93"/>
              </w:rPr>
              <w:t>Gaithersburg, Maryland 20879</w:t>
            </w:r>
          </w:p>
        </w:tc>
        <w:tc>
          <w:tcPr>
            <w:tcW w:w="1740" w:type="dxa"/>
            <w:vAlign w:val="bottom"/>
          </w:tcPr>
          <w:p>
            <w:pPr>
              <w:spacing w:after="0"/>
              <w:rPr>
                <w:sz w:val="12"/>
                <w:szCs w:val="12"/>
                <w:color w:val="auto"/>
              </w:rPr>
            </w:pPr>
          </w:p>
        </w:tc>
      </w:tr>
      <w:tr>
        <w:trPr>
          <w:trHeight w:val="153"/>
        </w:trPr>
        <w:tc>
          <w:tcPr>
            <w:tcW w:w="2020" w:type="dxa"/>
            <w:vAlign w:val="bottom"/>
          </w:tcPr>
          <w:p>
            <w:pPr>
              <w:spacing w:after="0"/>
              <w:rPr>
                <w:sz w:val="13"/>
                <w:szCs w:val="13"/>
                <w:color w:val="auto"/>
              </w:rPr>
            </w:pPr>
          </w:p>
        </w:tc>
        <w:tc>
          <w:tcPr>
            <w:tcW w:w="4840" w:type="dxa"/>
            <w:vAlign w:val="bottom"/>
          </w:tcPr>
          <w:p>
            <w:pPr>
              <w:jc w:val="center"/>
              <w:ind w:right="100"/>
              <w:spacing w:after="0"/>
              <w:rPr>
                <w:sz w:val="20"/>
                <w:szCs w:val="20"/>
                <w:color w:val="auto"/>
              </w:rPr>
            </w:pPr>
            <w:r>
              <w:rPr>
                <w:rFonts w:ascii="Arial" w:cs="Arial" w:eastAsia="Arial" w:hAnsi="Arial"/>
                <w:sz w:val="12"/>
                <w:szCs w:val="12"/>
                <w:color w:val="auto"/>
                <w:w w:val="92"/>
              </w:rPr>
              <w:t>(Address of Principal Executive Offices)</w:t>
            </w:r>
          </w:p>
        </w:tc>
        <w:tc>
          <w:tcPr>
            <w:tcW w:w="1740" w:type="dxa"/>
            <w:vAlign w:val="bottom"/>
          </w:tcPr>
          <w:p>
            <w:pPr>
              <w:spacing w:after="0"/>
              <w:rPr>
                <w:sz w:val="13"/>
                <w:szCs w:val="13"/>
                <w:color w:val="auto"/>
              </w:rPr>
            </w:pPr>
          </w:p>
        </w:tc>
      </w:tr>
      <w:tr>
        <w:trPr>
          <w:trHeight w:val="297"/>
        </w:trPr>
        <w:tc>
          <w:tcPr>
            <w:tcW w:w="2020" w:type="dxa"/>
            <w:vAlign w:val="bottom"/>
          </w:tcPr>
          <w:p>
            <w:pPr>
              <w:spacing w:after="0"/>
              <w:rPr>
                <w:sz w:val="24"/>
                <w:szCs w:val="24"/>
                <w:color w:val="auto"/>
              </w:rPr>
            </w:pPr>
          </w:p>
        </w:tc>
        <w:tc>
          <w:tcPr>
            <w:tcW w:w="4840" w:type="dxa"/>
            <w:vAlign w:val="bottom"/>
          </w:tcPr>
          <w:p>
            <w:pPr>
              <w:jc w:val="center"/>
              <w:ind w:right="40"/>
              <w:spacing w:after="0"/>
              <w:rPr>
                <w:sz w:val="20"/>
                <w:szCs w:val="20"/>
                <w:color w:val="auto"/>
              </w:rPr>
            </w:pPr>
            <w:r>
              <w:rPr>
                <w:rFonts w:ascii="Arial" w:cs="Arial" w:eastAsia="Arial" w:hAnsi="Arial"/>
                <w:sz w:val="12"/>
                <w:szCs w:val="12"/>
                <w:color w:val="auto"/>
                <w:w w:val="91"/>
              </w:rPr>
              <w:t>Registrant's telephone number, including area code: (240) 631-3200</w:t>
            </w:r>
          </w:p>
        </w:tc>
        <w:tc>
          <w:tcPr>
            <w:tcW w:w="1740" w:type="dxa"/>
            <w:vAlign w:val="bottom"/>
          </w:tcPr>
          <w:p>
            <w:pPr>
              <w:spacing w:after="0"/>
              <w:rPr>
                <w:sz w:val="24"/>
                <w:szCs w:val="24"/>
                <w:color w:val="auto"/>
              </w:rPr>
            </w:pPr>
          </w:p>
        </w:tc>
      </w:tr>
    </w:tbl>
    <w:p>
      <w:pPr>
        <w:spacing w:after="0" w:line="131" w:lineRule="exact"/>
        <w:rPr>
          <w:sz w:val="24"/>
          <w:szCs w:val="24"/>
          <w:color w:val="auto"/>
        </w:rPr>
      </w:pPr>
    </w:p>
    <w:p>
      <w:pPr>
        <w:jc w:val="center"/>
        <w:ind w:right="40"/>
        <w:spacing w:after="0"/>
        <w:rPr>
          <w:sz w:val="20"/>
          <w:szCs w:val="20"/>
          <w:color w:val="auto"/>
        </w:rPr>
      </w:pPr>
      <w:r>
        <w:rPr>
          <w:rFonts w:ascii="Arial" w:cs="Arial" w:eastAsia="Arial" w:hAnsi="Arial"/>
          <w:sz w:val="12"/>
          <w:szCs w:val="12"/>
          <w:b w:val="1"/>
          <w:bCs w:val="1"/>
          <w:color w:val="auto"/>
        </w:rPr>
        <w:t>Not applicable</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460"/>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9" w:lineRule="exact"/>
        <w:rPr>
          <w:sz w:val="24"/>
          <w:szCs w:val="24"/>
          <w:color w:val="auto"/>
        </w:rPr>
      </w:pPr>
    </w:p>
    <w:p>
      <w:pPr>
        <w:ind w:left="600" w:hanging="132"/>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9" w:lineRule="exact"/>
        <w:rPr>
          <w:rFonts w:ascii="MS PGothic" w:cs="MS PGothic" w:eastAsia="MS PGothic" w:hAnsi="MS PGothic"/>
          <w:sz w:val="12"/>
          <w:szCs w:val="12"/>
          <w:color w:val="auto"/>
        </w:rPr>
      </w:pPr>
    </w:p>
    <w:p>
      <w:pPr>
        <w:ind w:left="600" w:hanging="132"/>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600" w:hanging="132"/>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9" w:lineRule="exact"/>
        <w:rPr>
          <w:rFonts w:ascii="MS PGothic" w:cs="MS PGothic" w:eastAsia="MS PGothic" w:hAnsi="MS PGothic"/>
          <w:sz w:val="12"/>
          <w:szCs w:val="12"/>
          <w:color w:val="auto"/>
        </w:rPr>
      </w:pPr>
    </w:p>
    <w:p>
      <w:pPr>
        <w:ind w:left="600" w:hanging="132"/>
        <w:spacing w:after="0"/>
        <w:tabs>
          <w:tab w:leader="none" w:pos="6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77" w:lineRule="exact"/>
        <w:rPr>
          <w:sz w:val="24"/>
          <w:szCs w:val="24"/>
          <w:color w:val="auto"/>
        </w:rPr>
      </w:pPr>
    </w:p>
    <w:p>
      <w:pPr>
        <w:ind w:right="80"/>
        <w:spacing w:after="0" w:line="355" w:lineRule="auto"/>
        <w:rPr>
          <w:sz w:val="20"/>
          <w:szCs w:val="20"/>
          <w:color w:val="auto"/>
        </w:rPr>
      </w:pPr>
      <w:r>
        <w:rPr>
          <w:rFonts w:ascii="Arial" w:cs="Arial" w:eastAsia="Arial" w:hAnsi="Arial"/>
          <w:sz w:val="12"/>
          <w:szCs w:val="12"/>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92" w:lineRule="exact"/>
        <w:rPr>
          <w:sz w:val="24"/>
          <w:szCs w:val="24"/>
          <w:color w:val="auto"/>
        </w:rPr>
      </w:pPr>
    </w:p>
    <w:p>
      <w:pPr>
        <w:spacing w:after="0" w:line="138" w:lineRule="exact"/>
        <w:tabs>
          <w:tab w:leader="none" w:pos="1440"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91" w:lineRule="exact"/>
        <w:rPr>
          <w:sz w:val="24"/>
          <w:szCs w:val="24"/>
          <w:color w:val="auto"/>
        </w:rPr>
      </w:pPr>
    </w:p>
    <w:p>
      <w:pPr>
        <w:ind w:right="140"/>
        <w:spacing w:after="0" w:line="15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55" w:lineRule="exact"/>
        <w:rPr>
          <w:sz w:val="24"/>
          <w:szCs w:val="24"/>
          <w:color w:val="auto"/>
        </w:rPr>
      </w:pPr>
    </w:p>
    <w:p>
      <w:pPr>
        <w:spacing w:after="0"/>
        <w:rPr>
          <w:sz w:val="20"/>
          <w:szCs w:val="20"/>
          <w:color w:val="auto"/>
        </w:rPr>
      </w:pPr>
      <w:r>
        <w:rPr>
          <w:rFonts w:ascii="Arial" w:cs="Arial" w:eastAsia="Arial" w:hAnsi="Arial"/>
          <w:sz w:val="12"/>
          <w:szCs w:val="12"/>
          <w:color w:val="auto"/>
        </w:rPr>
        <w:t>________________________________________________________________________________________________________________________________________________________________</w:t>
      </w: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45" w:lineRule="exact"/>
        <w:rPr>
          <w:sz w:val="24"/>
          <w:szCs w:val="24"/>
          <w:color w:val="auto"/>
        </w:rPr>
      </w:pPr>
    </w:p>
    <w:p>
      <w:pPr>
        <w:ind w:right="260"/>
        <w:spacing w:after="0" w:line="292" w:lineRule="auto"/>
        <w:rPr>
          <w:sz w:val="20"/>
          <w:szCs w:val="20"/>
          <w:color w:val="auto"/>
        </w:rPr>
      </w:pPr>
      <w:r>
        <w:rPr>
          <w:rFonts w:ascii="Arial" w:cs="Arial" w:eastAsia="Arial" w:hAnsi="Arial"/>
          <w:sz w:val="12"/>
          <w:szCs w:val="12"/>
          <w:color w:val="auto"/>
        </w:rPr>
        <w:t>On February 21, 2019, Emergent announced financial and operating results for the period ended December 31, 2018. The full text of the press release issued in connection with the announcement is attached as Exhibit 99 to this Current Report on Form 8-K.</w:t>
      </w:r>
    </w:p>
    <w:p>
      <w:pPr>
        <w:spacing w:after="0" w:line="12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580" w:type="dxa"/>
            <w:vAlign w:val="bottom"/>
          </w:tcPr>
          <w:p>
            <w:pPr>
              <w:ind w:left="20"/>
              <w:spacing w:after="0"/>
              <w:rPr>
                <w:sz w:val="20"/>
                <w:szCs w:val="20"/>
                <w:color w:val="auto"/>
              </w:rPr>
            </w:pPr>
            <w:r>
              <w:rPr>
                <w:rFonts w:ascii="Arial" w:cs="Arial" w:eastAsia="Arial" w:hAnsi="Arial"/>
                <w:sz w:val="12"/>
                <w:szCs w:val="12"/>
                <w:color w:val="auto"/>
              </w:rPr>
              <w:t>(d)</w:t>
            </w:r>
          </w:p>
        </w:tc>
        <w:tc>
          <w:tcPr>
            <w:tcW w:w="680" w:type="dxa"/>
            <w:vAlign w:val="bottom"/>
            <w:gridSpan w:val="3"/>
          </w:tcPr>
          <w:p>
            <w:pPr>
              <w:ind w:left="20"/>
              <w:spacing w:after="0"/>
              <w:rPr>
                <w:sz w:val="20"/>
                <w:szCs w:val="20"/>
                <w:color w:val="auto"/>
              </w:rPr>
            </w:pPr>
            <w:r>
              <w:rPr>
                <w:rFonts w:ascii="Arial" w:cs="Arial" w:eastAsia="Arial" w:hAnsi="Arial"/>
                <w:sz w:val="12"/>
                <w:szCs w:val="12"/>
                <w:color w:val="auto"/>
              </w:rPr>
              <w:t>Exhibits.</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940" w:type="dxa"/>
            <w:vAlign w:val="bottom"/>
          </w:tcPr>
          <w:p>
            <w:pPr>
              <w:spacing w:after="0"/>
              <w:rPr>
                <w:sz w:val="13"/>
                <w:szCs w:val="13"/>
                <w:color w:val="auto"/>
              </w:rPr>
            </w:pPr>
          </w:p>
        </w:tc>
      </w:tr>
      <w:tr>
        <w:trPr>
          <w:trHeight w:val="297"/>
        </w:trPr>
        <w:tc>
          <w:tcPr>
            <w:tcW w:w="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9"/>
              </w:rPr>
              <w:t>Exhibit No.</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Description</w:t>
            </w:r>
          </w:p>
        </w:tc>
      </w:tr>
      <w:tr>
        <w:trPr>
          <w:trHeight w:val="250"/>
        </w:trPr>
        <w:tc>
          <w:tcPr>
            <w:tcW w:w="580" w:type="dxa"/>
            <w:vAlign w:val="bottom"/>
          </w:tcPr>
          <w:p>
            <w:pPr>
              <w:spacing w:after="0"/>
              <w:rPr>
                <w:sz w:val="21"/>
                <w:szCs w:val="21"/>
                <w:color w:val="auto"/>
              </w:rPr>
            </w:pPr>
          </w:p>
        </w:tc>
        <w:tc>
          <w:tcPr>
            <w:tcW w:w="680" w:type="dxa"/>
            <w:vAlign w:val="bottom"/>
            <w:gridSpan w:val="3"/>
          </w:tcPr>
          <w:p>
            <w:pPr>
              <w:jc w:val="right"/>
              <w:ind w:right="320"/>
              <w:spacing w:after="0"/>
              <w:rPr>
                <w:rFonts w:ascii="Arial" w:cs="Arial" w:eastAsia="Arial" w:hAnsi="Arial"/>
                <w:sz w:val="12"/>
                <w:szCs w:val="12"/>
                <w:color w:val="0000EE"/>
              </w:rPr>
            </w:pPr>
            <w:hyperlink w:anchor="page2">
              <w:r>
                <w:rPr>
                  <w:rFonts w:ascii="Arial" w:cs="Arial" w:eastAsia="Arial" w:hAnsi="Arial"/>
                  <w:sz w:val="12"/>
                  <w:szCs w:val="12"/>
                  <w:color w:val="0000EE"/>
                </w:rPr>
                <w:t>99</w:t>
              </w:r>
            </w:hyperlink>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320" w:type="dxa"/>
            <w:vAlign w:val="bottom"/>
          </w:tcPr>
          <w:p>
            <w:pPr>
              <w:spacing w:after="0"/>
              <w:rPr>
                <w:sz w:val="20"/>
                <w:szCs w:val="20"/>
                <w:color w:val="auto"/>
              </w:rPr>
            </w:pPr>
            <w:r>
              <w:rPr>
                <w:rFonts w:ascii="Arial" w:cs="Arial" w:eastAsia="Arial" w:hAnsi="Arial"/>
                <w:sz w:val="12"/>
                <w:szCs w:val="12"/>
                <w:color w:val="auto"/>
              </w:rPr>
              <w:t>Press release issued by the company on February 21, 2019.</w:t>
            </w:r>
          </w:p>
        </w:tc>
        <w:tc>
          <w:tcPr>
            <w:tcW w:w="1060" w:type="dxa"/>
            <w:vAlign w:val="bottom"/>
          </w:tcPr>
          <w:p>
            <w:pPr>
              <w:spacing w:after="0"/>
              <w:rPr>
                <w:sz w:val="21"/>
                <w:szCs w:val="21"/>
                <w:color w:val="auto"/>
              </w:rPr>
            </w:pPr>
          </w:p>
        </w:tc>
        <w:tc>
          <w:tcPr>
            <w:tcW w:w="3940" w:type="dxa"/>
            <w:vAlign w:val="bottom"/>
          </w:tcPr>
          <w:p>
            <w:pPr>
              <w:spacing w:after="0"/>
              <w:rPr>
                <w:sz w:val="21"/>
                <w:szCs w:val="21"/>
                <w:color w:val="auto"/>
              </w:rPr>
            </w:pPr>
          </w:p>
        </w:tc>
      </w:tr>
      <w:tr>
        <w:trPr>
          <w:trHeight w:val="511"/>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jc w:val="center"/>
              <w:ind w:left="2760"/>
              <w:spacing w:after="0"/>
              <w:rPr>
                <w:sz w:val="20"/>
                <w:szCs w:val="20"/>
                <w:color w:val="auto"/>
              </w:rPr>
            </w:pPr>
            <w:r>
              <w:rPr>
                <w:rFonts w:ascii="Arial" w:cs="Arial" w:eastAsia="Arial" w:hAnsi="Arial"/>
                <w:sz w:val="12"/>
                <w:szCs w:val="12"/>
                <w:b w:val="1"/>
                <w:bCs w:val="1"/>
                <w:color w:val="auto"/>
                <w:w w:val="98"/>
              </w:rPr>
              <w:t>SIGNATURE</w:t>
            </w:r>
          </w:p>
        </w:tc>
        <w:tc>
          <w:tcPr>
            <w:tcW w:w="106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97"/>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20" w:type="dxa"/>
            <w:vAlign w:val="bottom"/>
            <w:gridSpan w:val="5"/>
          </w:tcPr>
          <w:p>
            <w:pPr>
              <w:jc w:val="center"/>
              <w:ind w:right="1280"/>
              <w:spacing w:after="0"/>
              <w:rPr>
                <w:sz w:val="20"/>
                <w:szCs w:val="20"/>
                <w:color w:val="auto"/>
              </w:rPr>
            </w:pPr>
            <w:r>
              <w:rPr>
                <w:rFonts w:ascii="Arial" w:cs="Arial" w:eastAsia="Arial" w:hAnsi="Arial"/>
                <w:sz w:val="12"/>
                <w:szCs w:val="12"/>
                <w:color w:val="auto"/>
                <w:w w:val="90"/>
              </w:rPr>
              <w:t>Pursuant to the requirements of the Securities Exchange Act of 1934, the registrant has duly caused this report to be signed on its behalf by the undersigned hereunto duly authorized.</w:t>
            </w:r>
          </w:p>
        </w:tc>
      </w:tr>
      <w:tr>
        <w:trPr>
          <w:trHeight w:val="441"/>
        </w:trPr>
        <w:tc>
          <w:tcPr>
            <w:tcW w:w="1260" w:type="dxa"/>
            <w:vAlign w:val="bottom"/>
            <w:gridSpan w:val="4"/>
          </w:tcPr>
          <w:p>
            <w:pPr>
              <w:spacing w:after="0"/>
              <w:rPr>
                <w:sz w:val="20"/>
                <w:szCs w:val="20"/>
                <w:color w:val="auto"/>
              </w:rPr>
            </w:pPr>
            <w:r>
              <w:rPr>
                <w:rFonts w:ascii="Arial" w:cs="Arial" w:eastAsia="Arial" w:hAnsi="Arial"/>
                <w:sz w:val="12"/>
                <w:szCs w:val="12"/>
                <w:color w:val="auto"/>
                <w:w w:val="95"/>
              </w:rPr>
              <w:t>Date: February 21, 2019</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320" w:type="dxa"/>
            <w:vAlign w:val="bottom"/>
            <w:gridSpan w:val="3"/>
          </w:tcPr>
          <w:p>
            <w:pPr>
              <w:ind w:left="3500"/>
              <w:spacing w:after="0"/>
              <w:rPr>
                <w:sz w:val="20"/>
                <w:szCs w:val="20"/>
                <w:color w:val="auto"/>
              </w:rPr>
            </w:pPr>
            <w:r>
              <w:rPr>
                <w:rFonts w:ascii="Arial" w:cs="Arial" w:eastAsia="Arial" w:hAnsi="Arial"/>
                <w:sz w:val="12"/>
                <w:szCs w:val="12"/>
                <w:color w:val="auto"/>
              </w:rPr>
              <w:t>EMERGENT BIOSOLUTIONS INC.</w:t>
            </w:r>
          </w:p>
        </w:tc>
      </w:tr>
      <w:tr>
        <w:trPr>
          <w:trHeight w:val="126"/>
        </w:trPr>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320" w:type="dxa"/>
            <w:vAlign w:val="bottom"/>
          </w:tcPr>
          <w:p>
            <w:pPr>
              <w:ind w:left="3500"/>
              <w:spacing w:after="0" w:line="126" w:lineRule="exact"/>
              <w:rPr>
                <w:sz w:val="20"/>
                <w:szCs w:val="20"/>
                <w:color w:val="auto"/>
              </w:rPr>
            </w:pPr>
            <w:r>
              <w:rPr>
                <w:rFonts w:ascii="Arial" w:cs="Arial" w:eastAsia="Arial" w:hAnsi="Arial"/>
                <w:sz w:val="12"/>
                <w:szCs w:val="12"/>
                <w:color w:val="auto"/>
              </w:rPr>
              <w:t>By:</w:t>
            </w:r>
          </w:p>
        </w:tc>
        <w:tc>
          <w:tcPr>
            <w:tcW w:w="1060" w:type="dxa"/>
            <w:vAlign w:val="bottom"/>
            <w:tcBorders>
              <w:bottom w:val="single" w:sz="8" w:color="auto"/>
            </w:tcBorders>
          </w:tcPr>
          <w:p>
            <w:pPr>
              <w:spacing w:after="0" w:line="126" w:lineRule="exact"/>
              <w:rPr>
                <w:sz w:val="20"/>
                <w:szCs w:val="20"/>
                <w:color w:val="auto"/>
              </w:rPr>
            </w:pPr>
            <w:r>
              <w:rPr>
                <w:rFonts w:ascii="Arial" w:cs="Arial" w:eastAsia="Arial" w:hAnsi="Arial"/>
                <w:sz w:val="12"/>
                <w:szCs w:val="12"/>
                <w:color w:val="auto"/>
                <w:w w:val="91"/>
              </w:rPr>
              <w:t>/s/ Richard S. Lindahl</w:t>
            </w:r>
          </w:p>
        </w:tc>
        <w:tc>
          <w:tcPr>
            <w:tcW w:w="3940" w:type="dxa"/>
            <w:vAlign w:val="bottom"/>
          </w:tcPr>
          <w:p>
            <w:pPr>
              <w:spacing w:after="0"/>
              <w:rPr>
                <w:sz w:val="10"/>
                <w:szCs w:val="10"/>
                <w:color w:val="auto"/>
              </w:rPr>
            </w:pPr>
          </w:p>
        </w:tc>
      </w:tr>
      <w:tr>
        <w:trPr>
          <w:trHeight w:val="142"/>
        </w:trPr>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000" w:type="dxa"/>
            <w:vAlign w:val="bottom"/>
            <w:gridSpan w:val="2"/>
          </w:tcPr>
          <w:p>
            <w:pPr>
              <w:spacing w:after="0"/>
              <w:rPr>
                <w:sz w:val="20"/>
                <w:szCs w:val="20"/>
                <w:color w:val="auto"/>
              </w:rPr>
            </w:pPr>
            <w:r>
              <w:rPr>
                <w:rFonts w:ascii="Arial" w:cs="Arial" w:eastAsia="Arial" w:hAnsi="Arial"/>
                <w:sz w:val="12"/>
                <w:szCs w:val="12"/>
                <w:color w:val="auto"/>
              </w:rPr>
              <w:t>Richard S. Lindahl</w:t>
            </w:r>
          </w:p>
        </w:tc>
      </w:tr>
      <w:tr>
        <w:trPr>
          <w:trHeight w:val="153"/>
        </w:trPr>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5000" w:type="dxa"/>
            <w:vAlign w:val="bottom"/>
            <w:gridSpan w:val="2"/>
          </w:tcPr>
          <w:p>
            <w:pPr>
              <w:spacing w:after="0"/>
              <w:rPr>
                <w:sz w:val="20"/>
                <w:szCs w:val="20"/>
                <w:color w:val="auto"/>
              </w:rPr>
            </w:pPr>
            <w:r>
              <w:rPr>
                <w:rFonts w:ascii="Arial" w:cs="Arial" w:eastAsia="Arial" w:hAnsi="Arial"/>
                <w:sz w:val="12"/>
                <w:szCs w:val="12"/>
                <w:color w:val="auto"/>
              </w:rPr>
              <w:t>Executive Vice President, Chief Financial Officer and Treasurer</w:t>
            </w:r>
          </w:p>
        </w:tc>
      </w:tr>
    </w:tbl>
    <w:p>
      <w:pPr>
        <w:sectPr>
          <w:pgSz w:w="11900" w:h="16838" w:orient="portrait"/>
          <w:cols w:equalWidth="0" w:num="1">
            <w:col w:w="11520"/>
          </w:cols>
          <w:pgMar w:left="220" w:top="467" w:right="159" w:bottom="1440" w:gutter="0" w:footer="0" w:header="0"/>
        </w:sectPr>
      </w:pPr>
    </w:p>
    <w:bookmarkStart w:id="1" w:name="page2"/>
    <w:bookmarkEnd w:id="1"/>
    <w:p>
      <w:pPr>
        <w:spacing w:after="0" w:line="68" w:lineRule="exact"/>
        <w:rPr>
          <w:sz w:val="20"/>
          <w:szCs w:val="20"/>
          <w:color w:val="auto"/>
        </w:rPr>
      </w:pPr>
    </w:p>
    <w:tbl>
      <w:tblPr>
        <w:tblLayout w:type="fixed"/>
        <w:tblInd w:w="18" w:type="dxa"/>
        <w:tblCellMar>
          <w:top w:w="0" w:type="dxa"/>
          <w:left w:w="0" w:type="dxa"/>
          <w:bottom w:w="0" w:type="dxa"/>
          <w:right w:w="0" w:type="dxa"/>
        </w:tblCellMar>
      </w:tblPr>
      <w:tr>
        <w:trPr>
          <w:trHeight w:val="157"/>
        </w:trPr>
        <w:tc>
          <w:tcPr>
            <w:tcW w:w="8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ind w:left="460"/>
              <w:spacing w:after="0"/>
              <w:rPr>
                <w:sz w:val="20"/>
                <w:szCs w:val="20"/>
                <w:color w:val="auto"/>
              </w:rPr>
            </w:pPr>
            <w:r>
              <w:rPr>
                <w:rFonts w:ascii="Arial" w:cs="Arial" w:eastAsia="Arial" w:hAnsi="Arial"/>
                <w:sz w:val="12"/>
                <w:szCs w:val="12"/>
                <w:b w:val="1"/>
                <w:bCs w:val="1"/>
                <w:color w:val="auto"/>
              </w:rPr>
              <w:t>EXHIBIT 99</w:t>
            </w:r>
          </w:p>
        </w:tc>
        <w:tc>
          <w:tcPr>
            <w:tcW w:w="0" w:type="dxa"/>
            <w:vAlign w:val="bottom"/>
          </w:tcPr>
          <w:p>
            <w:pPr>
              <w:spacing w:after="0"/>
              <w:rPr>
                <w:sz w:val="1"/>
                <w:szCs w:val="1"/>
                <w:color w:val="auto"/>
              </w:rPr>
            </w:pPr>
          </w:p>
        </w:tc>
      </w:tr>
      <w:tr>
        <w:trPr>
          <w:trHeight w:val="198"/>
        </w:trPr>
        <w:tc>
          <w:tcPr>
            <w:tcW w:w="8760" w:type="dxa"/>
            <w:vAlign w:val="bottom"/>
          </w:tcPr>
          <w:p>
            <w:pPr>
              <w:spacing w:after="0"/>
              <w:rPr>
                <w:sz w:val="20"/>
                <w:szCs w:val="20"/>
                <w:color w:val="auto"/>
              </w:rPr>
            </w:pPr>
            <w:r>
              <w:rPr>
                <w:rFonts w:ascii="Arial" w:cs="Arial" w:eastAsia="Arial" w:hAnsi="Arial"/>
                <w:sz w:val="12"/>
                <w:szCs w:val="12"/>
                <w:b w:val="1"/>
                <w:bCs w:val="1"/>
                <w:color w:val="auto"/>
              </w:rPr>
              <w:t>EMERGENT BIOSOLUTIONS REPORTS FOURTH QUARTER AND FULL YEAR 2018 FINANCIAL RESULTS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3"/>
        </w:trPr>
        <w:tc>
          <w:tcPr>
            <w:tcW w:w="8760" w:type="dxa"/>
            <w:vAlign w:val="bottom"/>
          </w:tcPr>
          <w:p>
            <w:pPr>
              <w:spacing w:after="0"/>
              <w:rPr>
                <w:sz w:val="20"/>
                <w:szCs w:val="20"/>
                <w:color w:val="auto"/>
              </w:rPr>
            </w:pPr>
            <w:r>
              <w:rPr>
                <w:rFonts w:ascii="Arial" w:cs="Arial" w:eastAsia="Arial" w:hAnsi="Arial"/>
                <w:sz w:val="12"/>
                <w:szCs w:val="12"/>
                <w:b w:val="1"/>
                <w:bCs w:val="1"/>
                <w:color w:val="auto"/>
                <w:w w:val="99"/>
              </w:rPr>
              <w:t>GAITHERSBURG, Md., February 21, 2019—</w:t>
            </w:r>
            <w:r>
              <w:rPr>
                <w:rFonts w:ascii="Arial" w:cs="Arial" w:eastAsia="Arial" w:hAnsi="Arial"/>
                <w:sz w:val="12"/>
                <w:szCs w:val="12"/>
                <w:color w:val="auto"/>
                <w:w w:val="99"/>
              </w:rPr>
              <w:t>Emergent BioSolutions Inc. (NYSE: EBS) reported financial results for the quarter and year ended December 31, 2018.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760" w:type="dxa"/>
            <w:vAlign w:val="bottom"/>
          </w:tcPr>
          <w:p>
            <w:pPr>
              <w:spacing w:after="0"/>
              <w:rPr>
                <w:sz w:val="20"/>
                <w:szCs w:val="20"/>
                <w:color w:val="auto"/>
              </w:rPr>
            </w:pPr>
            <w:r>
              <w:rPr>
                <w:rFonts w:ascii="Arial" w:cs="Arial" w:eastAsia="Arial" w:hAnsi="Arial"/>
                <w:sz w:val="12"/>
                <w:szCs w:val="12"/>
                <w:b w:val="1"/>
                <w:bCs w:val="1"/>
                <w:color w:val="auto"/>
              </w:rPr>
              <w:t>FINANCIAL HIGHLIGHTS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87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color w:val="auto"/>
              </w:rPr>
              <w:t>(in millions)</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Borders>
              <w:right w:val="single" w:sz="8" w:color="auto"/>
            </w:tcBorders>
            <w:gridSpan w:val="2"/>
          </w:tcPr>
          <w:p>
            <w:pPr>
              <w:jc w:val="center"/>
              <w:ind w:right="280"/>
              <w:spacing w:after="0" w:line="97" w:lineRule="exact"/>
              <w:rPr>
                <w:sz w:val="20"/>
                <w:szCs w:val="20"/>
                <w:color w:val="auto"/>
              </w:rPr>
            </w:pPr>
            <w:r>
              <w:rPr>
                <w:rFonts w:ascii="Arial" w:cs="Arial" w:eastAsia="Arial" w:hAnsi="Arial"/>
                <w:sz w:val="11"/>
                <w:szCs w:val="11"/>
                <w:b w:val="1"/>
                <w:bCs w:val="1"/>
                <w:color w:val="auto"/>
                <w:w w:val="99"/>
              </w:rPr>
              <w:t>Q4 2018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right w:val="single" w:sz="8" w:color="auto"/>
            </w:tcBorders>
            <w:gridSpan w:val="2"/>
          </w:tcPr>
          <w:p>
            <w:pPr>
              <w:jc w:val="center"/>
              <w:ind w:right="240"/>
              <w:spacing w:after="0" w:line="97" w:lineRule="exact"/>
              <w:rPr>
                <w:sz w:val="20"/>
                <w:szCs w:val="20"/>
                <w:color w:val="auto"/>
              </w:rPr>
            </w:pPr>
            <w:r>
              <w:rPr>
                <w:rFonts w:ascii="Arial" w:cs="Arial" w:eastAsia="Arial" w:hAnsi="Arial"/>
                <w:sz w:val="11"/>
                <w:szCs w:val="11"/>
                <w:b w:val="1"/>
                <w:bCs w:val="1"/>
                <w:color w:val="auto"/>
              </w:rPr>
              <w:t>Q4 2017</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760" w:type="dxa"/>
            <w:vAlign w:val="bottom"/>
            <w:tcBorders>
              <w:left w:val="single" w:sz="8" w:color="auto"/>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right w:val="single" w:sz="8" w:color="auto"/>
            </w:tcBorders>
            <w:gridSpan w:val="2"/>
            <w:vMerge w:val="restart"/>
          </w:tcPr>
          <w:p>
            <w:pPr>
              <w:jc w:val="center"/>
              <w:ind w:right="300"/>
              <w:spacing w:after="0" w:line="126" w:lineRule="exact"/>
              <w:rPr>
                <w:sz w:val="20"/>
                <w:szCs w:val="20"/>
                <w:color w:val="auto"/>
              </w:rPr>
            </w:pPr>
            <w:r>
              <w:rPr>
                <w:rFonts w:ascii="Arial" w:cs="Arial" w:eastAsia="Arial" w:hAnsi="Arial"/>
                <w:sz w:val="12"/>
                <w:szCs w:val="12"/>
                <w:color w:val="auto"/>
                <w:w w:val="92"/>
              </w:rPr>
              <w:t>(unaudited)</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right w:val="single" w:sz="8" w:color="auto"/>
            </w:tcBorders>
            <w:gridSpan w:val="2"/>
            <w:vMerge w:val="restart"/>
          </w:tcPr>
          <w:p>
            <w:pPr>
              <w:jc w:val="center"/>
              <w:ind w:right="240"/>
              <w:spacing w:after="0" w:line="126" w:lineRule="exact"/>
              <w:rPr>
                <w:sz w:val="20"/>
                <w:szCs w:val="20"/>
                <w:color w:val="auto"/>
              </w:rPr>
            </w:pPr>
            <w:r>
              <w:rPr>
                <w:rFonts w:ascii="Arial" w:cs="Arial" w:eastAsia="Arial" w:hAnsi="Arial"/>
                <w:sz w:val="12"/>
                <w:szCs w:val="12"/>
                <w:color w:val="auto"/>
                <w:w w:val="92"/>
              </w:rPr>
              <w:t>(unaudited)</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876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gridSpan w:val="2"/>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760" w:type="dxa"/>
            <w:vAlign w:val="bottom"/>
            <w:tcBorders>
              <w:left w:val="single" w:sz="8" w:color="auto"/>
              <w:right w:val="single" w:sz="8" w:color="auto"/>
            </w:tcBorders>
            <w:shd w:val="clear" w:color="auto" w:fill="CCEEFF"/>
          </w:tcPr>
          <w:p>
            <w:pPr>
              <w:ind w:left="20"/>
              <w:spacing w:after="0" w:line="120" w:lineRule="exact"/>
              <w:rPr>
                <w:sz w:val="20"/>
                <w:szCs w:val="20"/>
                <w:color w:val="auto"/>
              </w:rPr>
            </w:pPr>
            <w:r>
              <w:rPr>
                <w:rFonts w:ascii="Arial" w:cs="Arial" w:eastAsia="Arial" w:hAnsi="Arial"/>
                <w:sz w:val="12"/>
                <w:szCs w:val="12"/>
                <w:color w:val="auto"/>
              </w:rPr>
              <w:t>Total Revenues</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270.7</w:t>
            </w:r>
          </w:p>
        </w:tc>
        <w:tc>
          <w:tcPr>
            <w:tcW w:w="160" w:type="dxa"/>
            <w:vAlign w:val="bottom"/>
            <w:tcBorders>
              <w:right w:val="single" w:sz="8" w:color="auto"/>
            </w:tcBorders>
            <w:shd w:val="clear" w:color="auto" w:fill="CCEEFF"/>
          </w:tcPr>
          <w:p>
            <w:pPr>
              <w:spacing w:after="0"/>
              <w:rPr>
                <w:sz w:val="10"/>
                <w:szCs w:val="10"/>
                <w:color w:val="auto"/>
              </w:rPr>
            </w:pPr>
          </w:p>
        </w:tc>
        <w:tc>
          <w:tcPr>
            <w:tcW w:w="20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193.8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7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Pretax Income</w:t>
            </w:r>
          </w:p>
        </w:tc>
        <w:tc>
          <w:tcPr>
            <w:tcW w:w="8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3.6</w:t>
            </w:r>
          </w:p>
        </w:tc>
        <w:tc>
          <w:tcPr>
            <w:tcW w:w="160" w:type="dxa"/>
            <w:vAlign w:val="bottom"/>
            <w:tcBorders>
              <w:right w:val="single" w:sz="8" w:color="auto"/>
            </w:tcBorders>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51.9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(3.4)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2"/>
                <w:szCs w:val="12"/>
                <w:i w:val="1"/>
                <w:iCs w:val="1"/>
                <w:color w:val="auto"/>
              </w:rPr>
              <w:t>(1)</w:t>
            </w:r>
          </w:p>
        </w:tc>
        <w:tc>
          <w:tcPr>
            <w:tcW w:w="8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38.3</w:t>
            </w:r>
          </w:p>
        </w:tc>
        <w:tc>
          <w:tcPr>
            <w:tcW w:w="160" w:type="dxa"/>
            <w:vAlign w:val="bottom"/>
            <w:tcBorders>
              <w:right w:val="single" w:sz="8" w:color="auto"/>
            </w:tcBorders>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37.8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 xml:space="preserve">EBITDA </w:t>
            </w:r>
            <w:r>
              <w:rPr>
                <w:rFonts w:ascii="Arial" w:cs="Arial" w:eastAsia="Arial" w:hAnsi="Arial"/>
                <w:sz w:val="12"/>
                <w:szCs w:val="12"/>
                <w:i w:val="1"/>
                <w:iCs w:val="1"/>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36.1</w:t>
            </w:r>
          </w:p>
        </w:tc>
        <w:tc>
          <w:tcPr>
            <w:tcW w:w="160" w:type="dxa"/>
            <w:vAlign w:val="bottom"/>
            <w:tcBorders>
              <w:right w:val="single" w:sz="8" w:color="auto"/>
            </w:tcBorders>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 xml:space="preserve">Adjusted EBITDA </w:t>
            </w:r>
            <w:r>
              <w:rPr>
                <w:rFonts w:ascii="Arial" w:cs="Arial" w:eastAsia="Arial" w:hAnsi="Arial"/>
                <w:sz w:val="12"/>
                <w:szCs w:val="12"/>
                <w:i w:val="1"/>
                <w:iCs w:val="1"/>
                <w:color w:val="auto"/>
              </w:rPr>
              <w:t>(1)</w:t>
            </w:r>
          </w:p>
        </w:tc>
        <w:tc>
          <w:tcPr>
            <w:tcW w:w="8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75.0</w:t>
            </w:r>
          </w:p>
        </w:tc>
        <w:tc>
          <w:tcPr>
            <w:tcW w:w="160" w:type="dxa"/>
            <w:vAlign w:val="bottom"/>
            <w:tcBorders>
              <w:right w:val="single" w:sz="8" w:color="auto"/>
            </w:tcBorders>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67.1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876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color w:val="auto"/>
              </w:rPr>
              <w:t>(in millions)</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Borders>
              <w:right w:val="single" w:sz="8" w:color="auto"/>
            </w:tcBorders>
            <w:gridSpan w:val="2"/>
          </w:tcPr>
          <w:p>
            <w:pPr>
              <w:jc w:val="center"/>
              <w:ind w:right="300"/>
              <w:spacing w:after="0" w:line="97" w:lineRule="exact"/>
              <w:rPr>
                <w:sz w:val="20"/>
                <w:szCs w:val="20"/>
                <w:color w:val="auto"/>
              </w:rPr>
            </w:pPr>
            <w:r>
              <w:rPr>
                <w:rFonts w:ascii="Arial" w:cs="Arial" w:eastAsia="Arial" w:hAnsi="Arial"/>
                <w:sz w:val="11"/>
                <w:szCs w:val="11"/>
                <w:b w:val="1"/>
                <w:bCs w:val="1"/>
                <w:color w:val="auto"/>
              </w:rPr>
              <w:t>Full Year 2018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4"/>
              </w:rPr>
              <w:t>Full Year 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760" w:type="dxa"/>
            <w:vAlign w:val="bottom"/>
            <w:tcBorders>
              <w:left w:val="single" w:sz="8" w:color="auto"/>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Borders>
              <w:right w:val="single" w:sz="8" w:color="auto"/>
            </w:tcBorders>
            <w:gridSpan w:val="2"/>
            <w:vMerge w:val="restart"/>
          </w:tcPr>
          <w:p>
            <w:pPr>
              <w:jc w:val="center"/>
              <w:ind w:right="300"/>
              <w:spacing w:after="0" w:line="126" w:lineRule="exact"/>
              <w:rPr>
                <w:sz w:val="20"/>
                <w:szCs w:val="20"/>
                <w:color w:val="auto"/>
              </w:rPr>
            </w:pPr>
            <w:r>
              <w:rPr>
                <w:rFonts w:ascii="Arial" w:cs="Arial" w:eastAsia="Arial" w:hAnsi="Arial"/>
                <w:sz w:val="12"/>
                <w:szCs w:val="12"/>
                <w:color w:val="auto"/>
                <w:w w:val="92"/>
              </w:rPr>
              <w:t>(unaudited)</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Borders>
              <w:right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8760" w:type="dxa"/>
            <w:vAlign w:val="bottom"/>
            <w:tcBorders>
              <w:left w:val="single" w:sz="8" w:color="auto"/>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gridSpan w:val="2"/>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7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760" w:type="dxa"/>
            <w:vAlign w:val="bottom"/>
            <w:tcBorders>
              <w:left w:val="single" w:sz="8" w:color="auto"/>
              <w:right w:val="single" w:sz="8" w:color="auto"/>
            </w:tcBorders>
            <w:shd w:val="clear" w:color="auto" w:fill="CCEEFF"/>
          </w:tcPr>
          <w:p>
            <w:pPr>
              <w:ind w:left="20"/>
              <w:spacing w:after="0" w:line="120" w:lineRule="exact"/>
              <w:rPr>
                <w:sz w:val="20"/>
                <w:szCs w:val="20"/>
                <w:color w:val="auto"/>
              </w:rPr>
            </w:pPr>
            <w:r>
              <w:rPr>
                <w:rFonts w:ascii="Arial" w:cs="Arial" w:eastAsia="Arial" w:hAnsi="Arial"/>
                <w:sz w:val="12"/>
                <w:szCs w:val="12"/>
                <w:color w:val="auto"/>
              </w:rPr>
              <w:t>Total Revenues</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782.4</w:t>
            </w:r>
          </w:p>
        </w:tc>
        <w:tc>
          <w:tcPr>
            <w:tcW w:w="160" w:type="dxa"/>
            <w:vAlign w:val="bottom"/>
            <w:tcBorders>
              <w:right w:val="single" w:sz="8" w:color="auto"/>
            </w:tcBorders>
            <w:shd w:val="clear" w:color="auto" w:fill="CCEEFF"/>
          </w:tcPr>
          <w:p>
            <w:pPr>
              <w:spacing w:after="0"/>
              <w:rPr>
                <w:sz w:val="10"/>
                <w:szCs w:val="10"/>
                <w:color w:val="auto"/>
              </w:rPr>
            </w:pPr>
          </w:p>
        </w:tc>
        <w:tc>
          <w:tcPr>
            <w:tcW w:w="20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560.9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7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Pretax Income</w:t>
            </w:r>
          </w:p>
        </w:tc>
        <w:tc>
          <w:tcPr>
            <w:tcW w:w="8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81.5</w:t>
            </w:r>
          </w:p>
        </w:tc>
        <w:tc>
          <w:tcPr>
            <w:tcW w:w="160" w:type="dxa"/>
            <w:vAlign w:val="bottom"/>
            <w:tcBorders>
              <w:right w:val="single" w:sz="8" w:color="auto"/>
            </w:tcBorders>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118.6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Net Income</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62.7</w:t>
            </w:r>
          </w:p>
        </w:tc>
        <w:tc>
          <w:tcPr>
            <w:tcW w:w="160" w:type="dxa"/>
            <w:vAlign w:val="bottom"/>
            <w:tcBorders>
              <w:right w:val="single" w:sz="8" w:color="auto"/>
            </w:tcBorders>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2"/>
                <w:szCs w:val="12"/>
                <w:i w:val="1"/>
                <w:iCs w:val="1"/>
                <w:color w:val="auto"/>
              </w:rPr>
              <w:t>(1)</w:t>
            </w:r>
          </w:p>
        </w:tc>
        <w:tc>
          <w:tcPr>
            <w:tcW w:w="8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119.6</w:t>
            </w:r>
          </w:p>
        </w:tc>
        <w:tc>
          <w:tcPr>
            <w:tcW w:w="160" w:type="dxa"/>
            <w:vAlign w:val="bottom"/>
            <w:tcBorders>
              <w:right w:val="single" w:sz="8" w:color="auto"/>
            </w:tcBorders>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95.7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60" w:type="dxa"/>
            <w:vAlign w:val="bottom"/>
            <w:tcBorders>
              <w:left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 xml:space="preserve">EBITDA </w:t>
            </w:r>
            <w:r>
              <w:rPr>
                <w:rFonts w:ascii="Arial" w:cs="Arial" w:eastAsia="Arial" w:hAnsi="Arial"/>
                <w:sz w:val="12"/>
                <w:szCs w:val="12"/>
                <w:i w:val="1"/>
                <w:iCs w:val="1"/>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152.7</w:t>
            </w:r>
          </w:p>
        </w:tc>
        <w:tc>
          <w:tcPr>
            <w:tcW w:w="160" w:type="dxa"/>
            <w:vAlign w:val="bottom"/>
            <w:tcBorders>
              <w:right w:val="single" w:sz="8" w:color="auto"/>
            </w:tcBorders>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 xml:space="preserve">Adjusted EBITDA </w:t>
            </w:r>
            <w:r>
              <w:rPr>
                <w:rFonts w:ascii="Arial" w:cs="Arial" w:eastAsia="Arial" w:hAnsi="Arial"/>
                <w:sz w:val="12"/>
                <w:szCs w:val="12"/>
                <w:i w:val="1"/>
                <w:iCs w:val="1"/>
                <w:color w:val="auto"/>
              </w:rPr>
              <w:t>(1)</w:t>
            </w:r>
          </w:p>
        </w:tc>
        <w:tc>
          <w:tcPr>
            <w:tcW w:w="8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198.8</w:t>
            </w:r>
          </w:p>
        </w:tc>
        <w:tc>
          <w:tcPr>
            <w:tcW w:w="160" w:type="dxa"/>
            <w:vAlign w:val="bottom"/>
            <w:tcBorders>
              <w:right w:val="single" w:sz="8" w:color="auto"/>
            </w:tcBorders>
          </w:tcPr>
          <w:p>
            <w:pPr>
              <w:spacing w:after="0"/>
              <w:rPr>
                <w:sz w:val="12"/>
                <w:szCs w:val="12"/>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175.7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76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2018 FINANCIAL PERFORMANCE</w:t>
      </w:r>
    </w:p>
    <w:p>
      <w:pPr>
        <w:spacing w:after="0" w:line="132" w:lineRule="exact"/>
        <w:rPr>
          <w:sz w:val="20"/>
          <w:szCs w:val="20"/>
          <w:color w:val="auto"/>
        </w:rPr>
      </w:pPr>
    </w:p>
    <w:p>
      <w:pPr>
        <w:ind w:left="8" w:right="8900" w:hanging="8"/>
        <w:spacing w:after="0" w:line="473" w:lineRule="auto"/>
        <w:tabs>
          <w:tab w:leader="none" w:pos="165"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Quarter Ended December 31, 2018 (Unaudited) </w:t>
      </w:r>
      <w:r>
        <w:rPr>
          <w:rFonts w:ascii="Arial" w:cs="Arial" w:eastAsia="Arial" w:hAnsi="Arial"/>
          <w:sz w:val="12"/>
          <w:szCs w:val="12"/>
          <w:b w:val="1"/>
          <w:bCs w:val="1"/>
          <w:u w:val="single" w:color="auto"/>
          <w:color w:val="auto"/>
        </w:rPr>
        <w:t>Revenues</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Total Revenues</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Q4 2018, total revenues were $270.7 million, an increase of 40% over 2017. Total revenues reflect a significant increase in product sales due to the contribution of recently acquired products.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Product Sales</w:t>
      </w:r>
    </w:p>
    <w:p>
      <w:pPr>
        <w:spacing w:after="0" w:line="62" w:lineRule="exact"/>
        <w:rPr>
          <w:sz w:val="20"/>
          <w:szCs w:val="20"/>
          <w:color w:val="auto"/>
        </w:rPr>
      </w:pPr>
    </w:p>
    <w:p>
      <w:pPr>
        <w:ind w:left="8" w:right="40"/>
        <w:spacing w:after="0" w:line="206" w:lineRule="auto"/>
        <w:rPr>
          <w:sz w:val="20"/>
          <w:szCs w:val="20"/>
          <w:color w:val="auto"/>
        </w:rPr>
      </w:pPr>
      <w:r>
        <w:rPr>
          <w:rFonts w:ascii="Arial" w:cs="Arial" w:eastAsia="Arial" w:hAnsi="Arial"/>
          <w:sz w:val="12"/>
          <w:szCs w:val="12"/>
          <w:color w:val="auto"/>
        </w:rPr>
        <w:t>For Q4 2018, product sales were $217.4 million, an increase of $55.7 million or 34% as compared to 2017. The increase primarily reflects sales of NARCAN</w:t>
      </w:r>
      <w:r>
        <w:rPr>
          <w:rFonts w:ascii="Arial" w:cs="Arial" w:eastAsia="Arial" w:hAnsi="Arial"/>
          <w:sz w:val="20"/>
          <w:szCs w:val="20"/>
          <w:color w:val="auto"/>
          <w:vertAlign w:val="superscript"/>
        </w:rPr>
        <w:t>®</w:t>
      </w:r>
      <w:r>
        <w:rPr>
          <w:rFonts w:ascii="Arial" w:cs="Arial" w:eastAsia="Arial" w:hAnsi="Arial"/>
          <w:sz w:val="12"/>
          <w:szCs w:val="12"/>
          <w:color w:val="auto"/>
        </w:rPr>
        <w:t xml:space="preserve"> (naloxone HCl) Nasal Spray, Vivotif</w:t>
      </w:r>
      <w:r>
        <w:rPr>
          <w:rFonts w:ascii="Arial" w:cs="Arial" w:eastAsia="Arial" w:hAnsi="Arial"/>
          <w:sz w:val="20"/>
          <w:szCs w:val="20"/>
          <w:color w:val="auto"/>
          <w:vertAlign w:val="superscript"/>
        </w:rPr>
        <w:t>®</w:t>
      </w:r>
      <w:r>
        <w:rPr>
          <w:rFonts w:ascii="Arial" w:cs="Arial" w:eastAsia="Arial" w:hAnsi="Arial"/>
          <w:sz w:val="12"/>
          <w:szCs w:val="12"/>
          <w:color w:val="auto"/>
        </w:rPr>
        <w:t xml:space="preserve"> (Typhoid Vaccine Live Oral Ty21a) and Vaxchora</w:t>
      </w:r>
      <w:r>
        <w:rPr>
          <w:rFonts w:ascii="Arial" w:cs="Arial" w:eastAsia="Arial" w:hAnsi="Arial"/>
          <w:sz w:val="20"/>
          <w:szCs w:val="20"/>
          <w:color w:val="auto"/>
          <w:vertAlign w:val="superscript"/>
        </w:rPr>
        <w:t>®</w:t>
      </w:r>
      <w:r>
        <w:rPr>
          <w:rFonts w:ascii="Arial" w:cs="Arial" w:eastAsia="Arial" w:hAnsi="Arial"/>
          <w:sz w:val="12"/>
          <w:szCs w:val="12"/>
          <w:color w:val="auto"/>
        </w:rPr>
        <w:t xml:space="preserve"> (Cholera Vaccine, Live, Oral), all acquired in October 2018.</w:t>
      </w:r>
    </w:p>
    <w:p>
      <w:pPr>
        <w:spacing w:after="0" w:line="7"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40" w:type="dxa"/>
            <w:vAlign w:val="bottom"/>
            <w:tcBorders>
              <w:top w:val="single" w:sz="8" w:color="auto"/>
              <w:right w:val="single" w:sz="8" w:color="auto"/>
            </w:tcBorders>
          </w:tcPr>
          <w:p>
            <w:pPr>
              <w:spacing w:after="0"/>
              <w:rPr>
                <w:sz w:val="10"/>
                <w:szCs w:val="10"/>
                <w:color w:val="auto"/>
              </w:rPr>
            </w:pPr>
          </w:p>
        </w:tc>
        <w:tc>
          <w:tcPr>
            <w:tcW w:w="7340" w:type="dxa"/>
            <w:vAlign w:val="bottom"/>
            <w:tcBorders>
              <w:top w:val="single" w:sz="8" w:color="auto"/>
              <w:righ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jc w:val="center"/>
              <w:ind w:right="120"/>
              <w:spacing w:after="0" w:line="117" w:lineRule="exact"/>
              <w:rPr>
                <w:sz w:val="20"/>
                <w:szCs w:val="20"/>
                <w:color w:val="auto"/>
              </w:rPr>
            </w:pPr>
            <w:r>
              <w:rPr>
                <w:rFonts w:ascii="Arial" w:cs="Arial" w:eastAsia="Arial" w:hAnsi="Arial"/>
                <w:sz w:val="12"/>
                <w:szCs w:val="12"/>
                <w:b w:val="1"/>
                <w:bCs w:val="1"/>
                <w:color w:val="auto"/>
                <w:w w:val="90"/>
              </w:rPr>
              <w:t>Three Months Ended</w:t>
            </w: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Borders>
              <w:bottom w:val="single" w:sz="8" w:color="auto"/>
              <w:right w:val="single" w:sz="8" w:color="auto"/>
            </w:tcBorders>
          </w:tcPr>
          <w:p>
            <w:pPr>
              <w:spacing w:after="0"/>
              <w:rPr>
                <w:sz w:val="11"/>
                <w:szCs w:val="11"/>
                <w:color w:val="auto"/>
              </w:rPr>
            </w:pPr>
          </w:p>
        </w:tc>
        <w:tc>
          <w:tcPr>
            <w:tcW w:w="7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9"/>
              </w:rPr>
              <w:t>December 31,</w:t>
            </w: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734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(in millions)</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rPr>
              <w:t>2018</w:t>
            </w:r>
          </w:p>
        </w:tc>
        <w:tc>
          <w:tcPr>
            <w:tcW w:w="3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restart"/>
          </w:tcPr>
          <w:p>
            <w:pPr>
              <w:jc w:val="center"/>
              <w:ind w:right="60"/>
              <w:spacing w:after="0"/>
              <w:rPr>
                <w:sz w:val="20"/>
                <w:szCs w:val="20"/>
                <w:color w:val="auto"/>
              </w:rPr>
            </w:pPr>
            <w:r>
              <w:rPr>
                <w:rFonts w:ascii="Arial" w:cs="Arial" w:eastAsia="Arial" w:hAnsi="Arial"/>
                <w:sz w:val="12"/>
                <w:szCs w:val="12"/>
                <w:b w:val="1"/>
                <w:bCs w:val="1"/>
                <w:color w:val="auto"/>
                <w:w w:val="89"/>
              </w:rPr>
              <w:t>2017</w:t>
            </w: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Borders>
              <w:right w:val="single" w:sz="8" w:color="auto"/>
            </w:tcBorders>
            <w:gridSpan w:val="2"/>
            <w:vMerge w:val="restart"/>
          </w:tcPr>
          <w:p>
            <w:pPr>
              <w:jc w:val="right"/>
              <w:ind w:right="48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90"/>
        </w:trPr>
        <w:tc>
          <w:tcPr>
            <w:tcW w:w="40" w:type="dxa"/>
            <w:vAlign w:val="bottom"/>
            <w:tcBorders>
              <w:right w:val="single" w:sz="8" w:color="auto"/>
            </w:tcBorders>
          </w:tcPr>
          <w:p>
            <w:pPr>
              <w:spacing w:after="0"/>
              <w:rPr>
                <w:sz w:val="7"/>
                <w:szCs w:val="7"/>
                <w:color w:val="auto"/>
              </w:rPr>
            </w:pPr>
          </w:p>
        </w:tc>
        <w:tc>
          <w:tcPr>
            <w:tcW w:w="7340" w:type="dxa"/>
            <w:vAlign w:val="bottom"/>
            <w:tcBorders>
              <w:right w:val="single" w:sz="8" w:color="auto"/>
            </w:tcBorders>
            <w:vMerge w:val="restart"/>
          </w:tcPr>
          <w:p>
            <w:pPr>
              <w:spacing w:after="0" w:line="126" w:lineRule="exact"/>
              <w:rPr>
                <w:sz w:val="20"/>
                <w:szCs w:val="20"/>
                <w:color w:val="auto"/>
              </w:rPr>
            </w:pPr>
            <w:r>
              <w:rPr>
                <w:rFonts w:ascii="Arial" w:cs="Arial" w:eastAsia="Arial" w:hAnsi="Arial"/>
                <w:sz w:val="12"/>
                <w:szCs w:val="12"/>
                <w:color w:val="auto"/>
              </w:rPr>
              <w:t>(unaudited)</w:t>
            </w:r>
          </w:p>
        </w:tc>
        <w:tc>
          <w:tcPr>
            <w:tcW w:w="8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40" w:type="dxa"/>
            <w:vAlign w:val="bottom"/>
            <w:tcBorders>
              <w:right w:val="single" w:sz="8" w:color="auto"/>
            </w:tcBorders>
          </w:tcPr>
          <w:p>
            <w:pPr>
              <w:spacing w:after="0"/>
              <w:rPr>
                <w:sz w:val="3"/>
                <w:szCs w:val="3"/>
                <w:color w:val="auto"/>
              </w:rPr>
            </w:pPr>
          </w:p>
        </w:tc>
        <w:tc>
          <w:tcPr>
            <w:tcW w:w="7340" w:type="dxa"/>
            <w:vAlign w:val="bottom"/>
            <w:tcBorders>
              <w:bottom w:val="single" w:sz="8" w:color="auto"/>
              <w:right w:val="single" w:sz="8" w:color="auto"/>
            </w:tcBorders>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0" w:type="dxa"/>
            <w:vAlign w:val="bottom"/>
            <w:tcBorders>
              <w:bottom w:val="single" w:sz="8" w:color="auto"/>
            </w:tcBorders>
          </w:tcPr>
          <w:p>
            <w:pPr>
              <w:spacing w:after="0"/>
              <w:rPr>
                <w:sz w:val="12"/>
                <w:szCs w:val="12"/>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Product Sales</w:t>
            </w: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Borders>
              <w:right w:val="single" w:sz="8" w:color="auto"/>
            </w:tcBorders>
            <w:shd w:val="clear" w:color="auto" w:fill="000000"/>
          </w:tcPr>
          <w:p>
            <w:pPr>
              <w:spacing w:after="0"/>
              <w:rPr>
                <w:sz w:val="12"/>
                <w:szCs w:val="12"/>
                <w:color w:val="auto"/>
              </w:rPr>
            </w:pPr>
          </w:p>
        </w:tc>
        <w:tc>
          <w:tcPr>
            <w:tcW w:w="7340" w:type="dxa"/>
            <w:vAlign w:val="bottom"/>
            <w:tcBorders>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0"/>
                <w:szCs w:val="10"/>
                <w:color w:val="auto"/>
              </w:rPr>
              <w:t>BioThrax</w:t>
            </w:r>
            <w:r>
              <w:rPr>
                <w:rFonts w:ascii="Arial" w:cs="Arial" w:eastAsia="Arial" w:hAnsi="Arial"/>
                <w:sz w:val="16"/>
                <w:szCs w:val="16"/>
                <w:color w:val="auto"/>
                <w:vertAlign w:val="superscript"/>
              </w:rPr>
              <w:t>®</w:t>
            </w:r>
          </w:p>
        </w:tc>
        <w:tc>
          <w:tcPr>
            <w:tcW w:w="8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134.3</w:t>
            </w:r>
          </w:p>
        </w:tc>
        <w:tc>
          <w:tcPr>
            <w:tcW w:w="120" w:type="dxa"/>
            <w:vAlign w:val="bottom"/>
            <w:tcBorders>
              <w:right w:val="single" w:sz="8" w:color="auto"/>
            </w:tcBorders>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107.0</w:t>
            </w:r>
          </w:p>
        </w:tc>
        <w:tc>
          <w:tcPr>
            <w:tcW w:w="1400" w:type="dxa"/>
            <w:vAlign w:val="bottom"/>
            <w:tcBorders>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73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Borders>
              <w:right w:val="single" w:sz="8" w:color="auto"/>
            </w:tcBorders>
            <w:shd w:val="clear" w:color="auto" w:fill="000000"/>
          </w:tcPr>
          <w:p>
            <w:pPr>
              <w:spacing w:after="0"/>
              <w:rPr>
                <w:sz w:val="12"/>
                <w:szCs w:val="12"/>
                <w:color w:val="auto"/>
              </w:rPr>
            </w:pPr>
          </w:p>
        </w:tc>
        <w:tc>
          <w:tcPr>
            <w:tcW w:w="7340" w:type="dxa"/>
            <w:vAlign w:val="bottom"/>
            <w:tcBorders>
              <w:right w:val="single" w:sz="8" w:color="auto"/>
            </w:tcBorders>
          </w:tcPr>
          <w:p>
            <w:pPr>
              <w:ind w:left="140"/>
              <w:spacing w:after="0" w:line="142" w:lineRule="exact"/>
              <w:rPr>
                <w:sz w:val="20"/>
                <w:szCs w:val="20"/>
                <w:color w:val="auto"/>
              </w:rPr>
            </w:pPr>
            <w:r>
              <w:rPr>
                <w:rFonts w:ascii="Arial" w:cs="Arial" w:eastAsia="Arial" w:hAnsi="Arial"/>
                <w:sz w:val="10"/>
                <w:szCs w:val="10"/>
                <w:color w:val="auto"/>
              </w:rPr>
              <w:t>NARCAN</w:t>
            </w:r>
            <w:r>
              <w:rPr>
                <w:rFonts w:ascii="Arial" w:cs="Arial" w:eastAsia="Arial" w:hAnsi="Arial"/>
                <w:sz w:val="16"/>
                <w:szCs w:val="16"/>
                <w:color w:val="auto"/>
                <w:vertAlign w:val="superscript"/>
              </w:rPr>
              <w:t>®</w:t>
            </w:r>
            <w:r>
              <w:rPr>
                <w:rFonts w:ascii="Arial" w:cs="Arial" w:eastAsia="Arial" w:hAnsi="Arial"/>
                <w:sz w:val="10"/>
                <w:szCs w:val="10"/>
                <w:color w:val="auto"/>
              </w:rPr>
              <w:t xml:space="preserve"> (naloxone HCl) nasal spray</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41.7</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73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Borders>
              <w:right w:val="single" w:sz="8" w:color="auto"/>
            </w:tcBorders>
            <w:shd w:val="clear" w:color="auto" w:fill="000000"/>
          </w:tcPr>
          <w:p>
            <w:pPr>
              <w:spacing w:after="0"/>
              <w:rPr>
                <w:sz w:val="12"/>
                <w:szCs w:val="12"/>
                <w:color w:val="auto"/>
              </w:rPr>
            </w:pPr>
          </w:p>
        </w:tc>
        <w:tc>
          <w:tcPr>
            <w:tcW w:w="7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41.4</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54.7</w:t>
            </w:r>
          </w:p>
        </w:tc>
        <w:tc>
          <w:tcPr>
            <w:tcW w:w="1400" w:type="dxa"/>
            <w:vAlign w:val="bottom"/>
            <w:tcBorders>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73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Borders>
              <w:right w:val="single" w:sz="8" w:color="auto"/>
            </w:tcBorders>
            <w:shd w:val="clear" w:color="auto" w:fill="000000"/>
          </w:tcPr>
          <w:p>
            <w:pPr>
              <w:spacing w:after="0"/>
              <w:rPr>
                <w:sz w:val="12"/>
                <w:szCs w:val="12"/>
                <w:color w:val="auto"/>
              </w:rPr>
            </w:pPr>
          </w:p>
        </w:tc>
        <w:tc>
          <w:tcPr>
            <w:tcW w:w="7340" w:type="dxa"/>
            <w:vAlign w:val="bottom"/>
            <w:tcBorders>
              <w:right w:val="single" w:sz="8" w:color="auto"/>
            </w:tcBorders>
          </w:tcPr>
          <w:p>
            <w:pPr>
              <w:spacing w:after="0"/>
              <w:rPr>
                <w:sz w:val="20"/>
                <w:szCs w:val="20"/>
                <w:color w:val="auto"/>
              </w:rPr>
            </w:pPr>
            <w:r>
              <w:rPr>
                <w:rFonts w:ascii="Arial" w:cs="Arial" w:eastAsia="Arial" w:hAnsi="Arial"/>
                <w:sz w:val="12"/>
                <w:szCs w:val="12"/>
                <w:b w:val="1"/>
                <w:bCs w:val="1"/>
                <w:color w:val="auto"/>
              </w:rPr>
              <w:t>Total Product Sales</w:t>
            </w:r>
          </w:p>
        </w:tc>
        <w:tc>
          <w:tcPr>
            <w:tcW w:w="860" w:type="dxa"/>
            <w:vAlign w:val="bottom"/>
            <w:gridSpan w:val="2"/>
          </w:tcPr>
          <w:p>
            <w:pPr>
              <w:jc w:val="right"/>
              <w:ind w:right="72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217.4</w:t>
            </w:r>
          </w:p>
        </w:tc>
        <w:tc>
          <w:tcPr>
            <w:tcW w:w="120" w:type="dxa"/>
            <w:vAlign w:val="bottom"/>
            <w:tcBorders>
              <w:right w:val="single" w:sz="8" w:color="auto"/>
            </w:tcBorders>
          </w:tcPr>
          <w:p>
            <w:pPr>
              <w:spacing w:after="0"/>
              <w:rPr>
                <w:sz w:val="12"/>
                <w:szCs w:val="12"/>
                <w:color w:val="auto"/>
              </w:rPr>
            </w:pP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161.7</w:t>
            </w:r>
          </w:p>
        </w:tc>
        <w:tc>
          <w:tcPr>
            <w:tcW w:w="14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73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Contract Manufacturing</w:t>
      </w:r>
    </w:p>
    <w:p>
      <w:pPr>
        <w:spacing w:after="0" w:line="69" w:lineRule="exact"/>
        <w:rPr>
          <w:sz w:val="20"/>
          <w:szCs w:val="20"/>
          <w:color w:val="auto"/>
        </w:rPr>
      </w:pPr>
    </w:p>
    <w:p>
      <w:pPr>
        <w:ind w:left="8" w:right="300"/>
        <w:spacing w:after="0" w:line="261" w:lineRule="auto"/>
        <w:rPr>
          <w:sz w:val="20"/>
          <w:szCs w:val="20"/>
          <w:color w:val="auto"/>
        </w:rPr>
      </w:pPr>
      <w:r>
        <w:rPr>
          <w:rFonts w:ascii="Arial" w:cs="Arial" w:eastAsia="Arial" w:hAnsi="Arial"/>
          <w:sz w:val="12"/>
          <w:szCs w:val="12"/>
          <w:color w:val="auto"/>
        </w:rPr>
        <w:t>For Q4 2018, revenue from the Company’s contract manufacturing operations was $26.9 million, an increase of $10.7 million or 66% as compared to 2017. The increase primarily reflects increased manufacturing services for existing commercial customers at the Company’s Camden site.</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Contracts and Grants</w:t>
      </w:r>
    </w:p>
    <w:p>
      <w:pPr>
        <w:spacing w:after="0" w:line="69" w:lineRule="exact"/>
        <w:rPr>
          <w:sz w:val="20"/>
          <w:szCs w:val="20"/>
          <w:color w:val="auto"/>
        </w:rPr>
      </w:pPr>
    </w:p>
    <w:p>
      <w:pPr>
        <w:ind w:left="8" w:right="160"/>
        <w:spacing w:after="0" w:line="261" w:lineRule="auto"/>
        <w:rPr>
          <w:sz w:val="20"/>
          <w:szCs w:val="20"/>
          <w:color w:val="auto"/>
        </w:rPr>
      </w:pPr>
      <w:r>
        <w:rPr>
          <w:rFonts w:ascii="Arial" w:cs="Arial" w:eastAsia="Arial" w:hAnsi="Arial"/>
          <w:sz w:val="12"/>
          <w:szCs w:val="12"/>
          <w:color w:val="auto"/>
        </w:rPr>
        <w:t>For Q4 2018, revenue from the Company’s development-based contracts and grants was $26.4 million, an increase of $10.5 million or 66% as compared to 2017. The increase primarily reflects increased R&amp;D activities related to certain ongoing funded development programs, most notably NuThrax™ (anthrax vaccine adsorbed with CPG 7909 adjuvant).</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Operating Expenses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Cost of Product Sales and Contract Manufacturing</w:t>
      </w:r>
    </w:p>
    <w:p>
      <w:pPr>
        <w:spacing w:after="0" w:line="62" w:lineRule="exact"/>
        <w:rPr>
          <w:sz w:val="20"/>
          <w:szCs w:val="20"/>
          <w:color w:val="auto"/>
        </w:rPr>
      </w:pPr>
    </w:p>
    <w:p>
      <w:pPr>
        <w:ind w:left="8" w:right="60"/>
        <w:spacing w:after="0" w:line="192" w:lineRule="auto"/>
        <w:rPr>
          <w:sz w:val="20"/>
          <w:szCs w:val="20"/>
          <w:color w:val="auto"/>
        </w:rPr>
      </w:pPr>
      <w:r>
        <w:rPr>
          <w:rFonts w:ascii="Arial" w:cs="Arial" w:eastAsia="Arial" w:hAnsi="Arial"/>
          <w:sz w:val="12"/>
          <w:szCs w:val="12"/>
          <w:color w:val="auto"/>
        </w:rPr>
        <w:t>For Q4 2018, cost of product sales and contract manufacturing was $113.2 million, an increase of $46.7 million or 70% as compared to 2017. The increase primarily reflects the impact of an increase in sales of NARCAN</w:t>
      </w:r>
      <w:r>
        <w:rPr>
          <w:rFonts w:ascii="Arial" w:cs="Arial" w:eastAsia="Arial" w:hAnsi="Arial"/>
          <w:sz w:val="20"/>
          <w:szCs w:val="20"/>
          <w:color w:val="auto"/>
          <w:vertAlign w:val="superscript"/>
        </w:rPr>
        <w:t>®</w:t>
      </w:r>
      <w:r>
        <w:rPr>
          <w:rFonts w:ascii="Arial" w:cs="Arial" w:eastAsia="Arial" w:hAnsi="Arial"/>
          <w:sz w:val="12"/>
          <w:szCs w:val="12"/>
          <w:color w:val="auto"/>
        </w:rPr>
        <w:t xml:space="preserve"> (naloxone HCl) Nasal Spray, which was acquired in the fourth quarter of 2018, and raxibacumab, which was acquired in the fourth quarter of 2017.</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Research and Development (Gross and Net)</w:t>
      </w:r>
    </w:p>
    <w:p>
      <w:pPr>
        <w:spacing w:after="0" w:line="69" w:lineRule="exact"/>
        <w:rPr>
          <w:sz w:val="20"/>
          <w:szCs w:val="20"/>
          <w:color w:val="auto"/>
        </w:rPr>
      </w:pPr>
    </w:p>
    <w:p>
      <w:pPr>
        <w:ind w:left="8" w:right="560"/>
        <w:spacing w:after="0" w:line="261" w:lineRule="auto"/>
        <w:rPr>
          <w:sz w:val="20"/>
          <w:szCs w:val="20"/>
          <w:color w:val="auto"/>
        </w:rPr>
      </w:pPr>
      <w:r>
        <w:rPr>
          <w:rFonts w:ascii="Arial" w:cs="Arial" w:eastAsia="Arial" w:hAnsi="Arial"/>
          <w:sz w:val="12"/>
          <w:szCs w:val="12"/>
          <w:color w:val="auto"/>
        </w:rPr>
        <w:t>For Q4 2018, gross R&amp;D expenses were $52.0 million, an increase of $23.5 million or 82% as compared to 2017. The increase primarily reflects an increase in costs associated with contract development services associated with NuThrax™ (anthrax vaccine adsorbed with CPG 7909 adjuvant).</w:t>
      </w:r>
    </w:p>
    <w:p>
      <w:pPr>
        <w:spacing w:after="0" w:line="105" w:lineRule="exact"/>
        <w:rPr>
          <w:sz w:val="20"/>
          <w:szCs w:val="20"/>
          <w:color w:val="auto"/>
        </w:rPr>
      </w:pPr>
    </w:p>
    <w:p>
      <w:pPr>
        <w:ind w:left="8"/>
        <w:spacing w:after="0" w:line="208" w:lineRule="auto"/>
        <w:rPr>
          <w:sz w:val="20"/>
          <w:szCs w:val="20"/>
          <w:color w:val="auto"/>
        </w:rPr>
      </w:pPr>
      <w:r>
        <w:rPr>
          <w:rFonts w:ascii="Arial" w:cs="Arial" w:eastAsia="Arial" w:hAnsi="Arial"/>
          <w:sz w:val="12"/>
          <w:szCs w:val="12"/>
          <w:color w:val="auto"/>
        </w:rPr>
        <w:t>For Q4 2018, net R&amp;D expense, which reflects investments made in development programs that are not currently funded in whole or in part by third-party partners and is calculated as gross research and development expenses minus contracts and grants revenue, was $25.6 million, an increase of $13.0 million or 103% as compared to 2017. The increase primarily reflects investment in process improvements related to ACAM2000</w:t>
      </w:r>
      <w:r>
        <w:rPr>
          <w:rFonts w:ascii="Arial" w:cs="Arial" w:eastAsia="Arial" w:hAnsi="Arial"/>
          <w:sz w:val="20"/>
          <w:szCs w:val="20"/>
          <w:color w:val="auto"/>
          <w:vertAlign w:val="superscript"/>
        </w:rPr>
        <w:t>®</w:t>
      </w:r>
      <w:r>
        <w:rPr>
          <w:rFonts w:ascii="Arial" w:cs="Arial" w:eastAsia="Arial" w:hAnsi="Arial"/>
          <w:sz w:val="12"/>
          <w:szCs w:val="12"/>
          <w:color w:val="auto"/>
        </w:rPr>
        <w:t>, (Smallpox (Vaccinia) Vaccine, Live) at the Canton site and increased costs associated with the Phase 2 clinical trial for the FLU-IGIV program. The Q4 2018 net R&amp;D expense was 10% of net revenue (total revenue less contracts &amp; grants) compared to 7% of net revenue in Q4 2017.</w:t>
      </w:r>
    </w:p>
    <w:p>
      <w:pPr>
        <w:spacing w:after="0" w:line="106"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7340" w:type="dxa"/>
            <w:vAlign w:val="bottom"/>
            <w:tcBorders>
              <w:top w:val="single" w:sz="8" w:color="auto"/>
              <w:left w:val="single" w:sz="8" w:color="auto"/>
              <w:righ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ind w:left="20"/>
              <w:spacing w:after="0" w:line="117" w:lineRule="exact"/>
              <w:rPr>
                <w:sz w:val="20"/>
                <w:szCs w:val="20"/>
                <w:color w:val="auto"/>
              </w:rPr>
            </w:pPr>
            <w:r>
              <w:rPr>
                <w:rFonts w:ascii="Arial" w:cs="Arial" w:eastAsia="Arial" w:hAnsi="Arial"/>
                <w:sz w:val="12"/>
                <w:szCs w:val="12"/>
                <w:b w:val="1"/>
                <w:bCs w:val="1"/>
                <w:color w:val="auto"/>
              </w:rPr>
              <w:t>Three Months Ended</w:t>
            </w: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340" w:type="dxa"/>
            <w:vAlign w:val="bottom"/>
            <w:tcBorders>
              <w:left w:val="single" w:sz="8" w:color="auto"/>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9"/>
              </w:rPr>
              <w:t>December 31,</w:t>
            </w: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340" w:type="dxa"/>
            <w:vAlign w:val="bottom"/>
            <w:tcBorders>
              <w:left w:val="single" w:sz="8" w:color="auto"/>
              <w:right w:val="single" w:sz="8" w:color="auto"/>
            </w:tcBorders>
          </w:tcPr>
          <w:p>
            <w:pPr>
              <w:spacing w:after="0" w:line="88" w:lineRule="exact"/>
              <w:rPr>
                <w:sz w:val="20"/>
                <w:szCs w:val="20"/>
                <w:color w:val="auto"/>
              </w:rPr>
            </w:pPr>
            <w:r>
              <w:rPr>
                <w:rFonts w:ascii="Arial" w:cs="Arial" w:eastAsia="Arial" w:hAnsi="Arial"/>
                <w:sz w:val="10"/>
                <w:szCs w:val="10"/>
                <w:color w:val="auto"/>
              </w:rPr>
              <w:t>(in millions)</w:t>
            </w:r>
          </w:p>
        </w:tc>
        <w:tc>
          <w:tcPr>
            <w:tcW w:w="860" w:type="dxa"/>
            <w:vAlign w:val="bottom"/>
            <w:gridSpan w:val="2"/>
            <w:vMerge w:val="restart"/>
          </w:tcPr>
          <w:p>
            <w:pPr>
              <w:jc w:val="right"/>
              <w:ind w:right="50"/>
              <w:spacing w:after="0"/>
              <w:rPr>
                <w:sz w:val="20"/>
                <w:szCs w:val="20"/>
                <w:color w:val="auto"/>
              </w:rPr>
            </w:pPr>
            <w:r>
              <w:rPr>
                <w:rFonts w:ascii="Arial" w:cs="Arial" w:eastAsia="Arial" w:hAnsi="Arial"/>
                <w:sz w:val="12"/>
                <w:szCs w:val="12"/>
                <w:b w:val="1"/>
                <w:bCs w:val="1"/>
                <w:color w:val="auto"/>
              </w:rPr>
              <w:t>2018</w:t>
            </w:r>
          </w:p>
        </w:tc>
        <w:tc>
          <w:tcPr>
            <w:tcW w:w="36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restart"/>
          </w:tcPr>
          <w:p>
            <w:pPr>
              <w:jc w:val="right"/>
              <w:ind w:right="380"/>
              <w:spacing w:after="0"/>
              <w:rPr>
                <w:sz w:val="20"/>
                <w:szCs w:val="20"/>
                <w:color w:val="auto"/>
              </w:rPr>
            </w:pPr>
            <w:r>
              <w:rPr>
                <w:rFonts w:ascii="Arial" w:cs="Arial" w:eastAsia="Arial" w:hAnsi="Arial"/>
                <w:sz w:val="12"/>
                <w:szCs w:val="12"/>
                <w:b w:val="1"/>
                <w:bCs w:val="1"/>
                <w:color w:val="auto"/>
              </w:rPr>
              <w:t>2017</w:t>
            </w:r>
          </w:p>
        </w:tc>
        <w:tc>
          <w:tcPr>
            <w:tcW w:w="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Borders>
              <w:right w:val="single" w:sz="8" w:color="auto"/>
            </w:tcBorders>
            <w:gridSpan w:val="2"/>
            <w:vMerge w:val="restart"/>
          </w:tcPr>
          <w:p>
            <w:pPr>
              <w:jc w:val="right"/>
              <w:ind w:right="44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340" w:type="dxa"/>
            <w:vAlign w:val="bottom"/>
            <w:tcBorders>
              <w:left w:val="single" w:sz="8" w:color="auto"/>
              <w:right w:val="single" w:sz="8" w:color="auto"/>
            </w:tcBorders>
            <w:vMerge w:val="restart"/>
          </w:tcPr>
          <w:p>
            <w:pPr>
              <w:spacing w:after="0" w:line="126" w:lineRule="exact"/>
              <w:rPr>
                <w:sz w:val="20"/>
                <w:szCs w:val="20"/>
                <w:color w:val="auto"/>
              </w:rPr>
            </w:pPr>
            <w:r>
              <w:rPr>
                <w:rFonts w:ascii="Arial" w:cs="Arial" w:eastAsia="Arial" w:hAnsi="Arial"/>
                <w:sz w:val="12"/>
                <w:szCs w:val="12"/>
                <w:color w:val="auto"/>
              </w:rPr>
              <w:t>(unaudited)</w:t>
            </w:r>
          </w:p>
        </w:tc>
        <w:tc>
          <w:tcPr>
            <w:tcW w:w="8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340" w:type="dxa"/>
            <w:vAlign w:val="bottom"/>
            <w:tcBorders>
              <w:left w:val="single" w:sz="8" w:color="auto"/>
              <w:bottom w:val="single" w:sz="8" w:color="auto"/>
              <w:right w:val="single" w:sz="8" w:color="auto"/>
            </w:tcBorders>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left w:val="single" w:sz="8" w:color="auto"/>
              <w:right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Research and Development Expenses</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70"/>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52.0</w:t>
            </w:r>
          </w:p>
        </w:tc>
        <w:tc>
          <w:tcPr>
            <w:tcW w:w="1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28.5</w:t>
            </w:r>
          </w:p>
        </w:tc>
        <w:tc>
          <w:tcPr>
            <w:tcW w:w="1380" w:type="dxa"/>
            <w:vAlign w:val="bottom"/>
            <w:tcBorders>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Adjustments:</w:t>
            </w: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 Contracts and grants revenue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70"/>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26.4</w:t>
            </w:r>
          </w:p>
        </w:tc>
        <w:tc>
          <w:tcPr>
            <w:tcW w:w="1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15.9</w:t>
            </w:r>
          </w:p>
        </w:tc>
        <w:tc>
          <w:tcPr>
            <w:tcW w:w="1380" w:type="dxa"/>
            <w:vAlign w:val="bottom"/>
            <w:tcBorders>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Research and Development Expenses</w:t>
            </w:r>
          </w:p>
        </w:tc>
        <w:tc>
          <w:tcPr>
            <w:tcW w:w="80" w:type="dxa"/>
            <w:vAlign w:val="bottom"/>
          </w:tcPr>
          <w:p>
            <w:pPr>
              <w:spacing w:after="0"/>
              <w:rPr>
                <w:sz w:val="12"/>
                <w:szCs w:val="12"/>
                <w:color w:val="auto"/>
              </w:rPr>
            </w:pPr>
          </w:p>
        </w:tc>
        <w:tc>
          <w:tcPr>
            <w:tcW w:w="780" w:type="dxa"/>
            <w:vAlign w:val="bottom"/>
          </w:tcPr>
          <w:p>
            <w:pPr>
              <w:jc w:val="right"/>
              <w:ind w:right="670"/>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25.6</w:t>
            </w: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12.6</w:t>
            </w:r>
          </w:p>
        </w:tc>
        <w:tc>
          <w:tcPr>
            <w:tcW w:w="138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7340" w:type="dxa"/>
            <w:vAlign w:val="bottom"/>
            <w:tcBorders>
              <w:left w:val="single" w:sz="8" w:color="auto"/>
              <w:right w:val="single" w:sz="8" w:color="auto"/>
            </w:tcBorders>
            <w:shd w:val="clear" w:color="auto" w:fill="CCEEFF"/>
          </w:tcPr>
          <w:p>
            <w:pPr>
              <w:spacing w:after="0" w:line="97" w:lineRule="exact"/>
              <w:rPr>
                <w:sz w:val="20"/>
                <w:szCs w:val="20"/>
                <w:color w:val="auto"/>
              </w:rPr>
            </w:pPr>
            <w:r>
              <w:rPr>
                <w:rFonts w:ascii="Arial" w:cs="Arial" w:eastAsia="Arial" w:hAnsi="Arial"/>
                <w:sz w:val="11"/>
                <w:szCs w:val="11"/>
                <w:b w:val="1"/>
                <w:bCs w:val="1"/>
                <w:color w:val="auto"/>
              </w:rPr>
              <w:t>Adjusted Revenue</w:t>
            </w:r>
          </w:p>
        </w:tc>
        <w:tc>
          <w:tcPr>
            <w:tcW w:w="80" w:type="dxa"/>
            <w:vAlign w:val="bottom"/>
            <w:vMerge w:val="restart"/>
            <w:shd w:val="clear" w:color="auto" w:fill="CCEEFF"/>
          </w:tcPr>
          <w:p>
            <w:pPr>
              <w:spacing w:after="0"/>
              <w:rPr>
                <w:sz w:val="8"/>
                <w:szCs w:val="8"/>
                <w:color w:val="auto"/>
              </w:rPr>
            </w:pPr>
          </w:p>
        </w:tc>
        <w:tc>
          <w:tcPr>
            <w:tcW w:w="780" w:type="dxa"/>
            <w:vAlign w:val="bottom"/>
            <w:vMerge w:val="restart"/>
            <w:shd w:val="clear" w:color="auto" w:fill="CCEEFF"/>
          </w:tcPr>
          <w:p>
            <w:pPr>
              <w:jc w:val="right"/>
              <w:ind w:right="670"/>
              <w:spacing w:after="0"/>
              <w:rPr>
                <w:sz w:val="20"/>
                <w:szCs w:val="20"/>
                <w:color w:val="auto"/>
              </w:rPr>
            </w:pPr>
            <w:r>
              <w:rPr>
                <w:rFonts w:ascii="Arial" w:cs="Arial" w:eastAsia="Arial" w:hAnsi="Arial"/>
                <w:sz w:val="10"/>
                <w:szCs w:val="10"/>
                <w:b w:val="1"/>
                <w:bCs w:val="1"/>
                <w:color w:val="auto"/>
                <w:w w:val="71"/>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244.3</w:t>
            </w:r>
          </w:p>
        </w:tc>
        <w:tc>
          <w:tcPr>
            <w:tcW w:w="160" w:type="dxa"/>
            <w:vAlign w:val="bottom"/>
            <w:tcBorders>
              <w:right w:val="single" w:sz="8" w:color="auto"/>
            </w:tcBorders>
            <w:vMerge w:val="restart"/>
            <w:shd w:val="clear" w:color="auto" w:fill="CCEEFF"/>
          </w:tcPr>
          <w:p>
            <w:pPr>
              <w:spacing w:after="0"/>
              <w:rPr>
                <w:sz w:val="8"/>
                <w:szCs w:val="8"/>
                <w:color w:val="auto"/>
              </w:rPr>
            </w:pPr>
          </w:p>
        </w:tc>
        <w:tc>
          <w:tcPr>
            <w:tcW w:w="80" w:type="dxa"/>
            <w:vAlign w:val="bottom"/>
            <w:vMerge w:val="restart"/>
            <w:shd w:val="clear" w:color="auto" w:fill="CCEEFF"/>
          </w:tcPr>
          <w:p>
            <w:pPr>
              <w:spacing w:after="0"/>
              <w:rPr>
                <w:sz w:val="8"/>
                <w:szCs w:val="8"/>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177.9</w:t>
            </w:r>
          </w:p>
        </w:tc>
        <w:tc>
          <w:tcPr>
            <w:tcW w:w="1380" w:type="dxa"/>
            <w:vAlign w:val="bottom"/>
            <w:tcBorders>
              <w:right w:val="single" w:sz="8" w:color="auto"/>
            </w:tcBorders>
            <w:gridSpan w:val="3"/>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340" w:type="dxa"/>
            <w:vAlign w:val="bottom"/>
            <w:tcBorders>
              <w:left w:val="single" w:sz="8" w:color="auto"/>
              <w:right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(Total Revenue less Contracts and Grants Revenue)</w:t>
            </w:r>
          </w:p>
        </w:tc>
        <w:tc>
          <w:tcPr>
            <w:tcW w:w="8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60" w:type="dxa"/>
            <w:vAlign w:val="bottom"/>
            <w:tcBorders>
              <w:right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1140" w:type="dxa"/>
            <w:vAlign w:val="bottom"/>
            <w:tcBorders>
              <w:right w:val="single" w:sz="8" w:color="auto"/>
            </w:tcBorders>
            <w:gridSpan w:val="2"/>
            <w:vMerge w:val="continue"/>
            <w:shd w:val="clear" w:color="auto" w:fill="CCEEFF"/>
          </w:tcPr>
          <w:p>
            <w:pPr>
              <w:spacing w:after="0"/>
              <w:rPr>
                <w:sz w:val="11"/>
                <w:szCs w:val="11"/>
                <w:color w:val="auto"/>
              </w:rPr>
            </w:pPr>
          </w:p>
        </w:tc>
        <w:tc>
          <w:tcPr>
            <w:tcW w:w="1380" w:type="dxa"/>
            <w:vAlign w:val="bottom"/>
            <w:tcBorders>
              <w:right w:val="single" w:sz="8" w:color="auto"/>
            </w:tcBorders>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R&amp;D as % of Adjusted Revenue (Net R&amp;D Margin)</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Selling, General and Administrative</w:t>
      </w:r>
    </w:p>
    <w:p>
      <w:pPr>
        <w:spacing w:after="0" w:line="69" w:lineRule="exact"/>
        <w:rPr>
          <w:sz w:val="20"/>
          <w:szCs w:val="20"/>
          <w:color w:val="auto"/>
        </w:rPr>
      </w:pPr>
    </w:p>
    <w:p>
      <w:pPr>
        <w:ind w:left="8" w:right="200"/>
        <w:spacing w:after="0" w:line="261" w:lineRule="auto"/>
        <w:rPr>
          <w:sz w:val="20"/>
          <w:szCs w:val="20"/>
          <w:color w:val="auto"/>
        </w:rPr>
      </w:pPr>
      <w:r>
        <w:rPr>
          <w:rFonts w:ascii="Arial" w:cs="Arial" w:eastAsia="Arial" w:hAnsi="Arial"/>
          <w:sz w:val="12"/>
          <w:szCs w:val="12"/>
          <w:color w:val="auto"/>
        </w:rPr>
        <w:t>For Q4 2018, selling, general and administrative expenses were $81.0 million, an increase of $39.2 million or 94% as compared to 2017. The increase primarily reflects higher transaction and integration related costs associated with the PaxVax and Adapt Pharma acquisitions.</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Amortization of Intangible Assets</w:t>
      </w:r>
    </w:p>
    <w:p>
      <w:pPr>
        <w:spacing w:after="0" w:line="69" w:lineRule="exact"/>
        <w:rPr>
          <w:sz w:val="20"/>
          <w:szCs w:val="20"/>
          <w:color w:val="auto"/>
        </w:rPr>
      </w:pPr>
    </w:p>
    <w:p>
      <w:pPr>
        <w:ind w:left="8" w:right="20"/>
        <w:spacing w:after="0" w:line="261" w:lineRule="auto"/>
        <w:rPr>
          <w:sz w:val="20"/>
          <w:szCs w:val="20"/>
          <w:color w:val="auto"/>
        </w:rPr>
      </w:pPr>
      <w:r>
        <w:rPr>
          <w:rFonts w:ascii="Arial" w:cs="Arial" w:eastAsia="Arial" w:hAnsi="Arial"/>
          <w:sz w:val="12"/>
          <w:szCs w:val="12"/>
          <w:color w:val="auto"/>
        </w:rPr>
        <w:t>The Company has elected to reclassify amortization of intangible assets for Q4 2018 from cost of product sales and contract manufacturing to amortization of intangible assets, and therefore the Q4 2017 amounts have also been reclassified to conform to the current period presentation on the Company’s consolidated statements of operations.</w:t>
      </w:r>
    </w:p>
    <w:p>
      <w:pPr>
        <w:spacing w:after="0" w:line="105" w:lineRule="exact"/>
        <w:rPr>
          <w:sz w:val="20"/>
          <w:szCs w:val="20"/>
          <w:color w:val="auto"/>
        </w:rPr>
      </w:pPr>
    </w:p>
    <w:p>
      <w:pPr>
        <w:ind w:left="8" w:right="180"/>
        <w:spacing w:after="0" w:line="261" w:lineRule="auto"/>
        <w:rPr>
          <w:sz w:val="20"/>
          <w:szCs w:val="20"/>
          <w:color w:val="auto"/>
        </w:rPr>
      </w:pPr>
      <w:r>
        <w:rPr>
          <w:rFonts w:ascii="Arial" w:cs="Arial" w:eastAsia="Arial" w:hAnsi="Arial"/>
          <w:sz w:val="12"/>
          <w:szCs w:val="12"/>
          <w:color w:val="auto"/>
        </w:rPr>
        <w:t>For Q4 2018, amortization of intangible assets was $13.3 million versus $3.9 million as compared to 2017. The increase entirely reflects higher non-cash intangible asset amortization costs associated with the PaxVax and Adapt Pharma acquisitions, which both closed in the fourth quarter of 2018.</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Income Taxes</w:t>
      </w:r>
    </w:p>
    <w:p>
      <w:pPr>
        <w:spacing w:after="0" w:line="69" w:lineRule="exact"/>
        <w:rPr>
          <w:sz w:val="20"/>
          <w:szCs w:val="20"/>
          <w:color w:val="auto"/>
        </w:rPr>
      </w:pPr>
    </w:p>
    <w:p>
      <w:pPr>
        <w:ind w:left="8" w:right="20"/>
        <w:spacing w:after="0" w:line="261" w:lineRule="auto"/>
        <w:rPr>
          <w:sz w:val="20"/>
          <w:szCs w:val="20"/>
          <w:color w:val="auto"/>
        </w:rPr>
      </w:pPr>
      <w:r>
        <w:rPr>
          <w:rFonts w:ascii="Arial" w:cs="Arial" w:eastAsia="Arial" w:hAnsi="Arial"/>
          <w:sz w:val="12"/>
          <w:szCs w:val="12"/>
          <w:color w:val="auto"/>
        </w:rPr>
        <w:t>For Q4 2018, the provision for income tax expense in the amount of $7.0 million includes the impact of non-deductible acquisition transaction costs and other permanent items. The effective tax rate for Q4 2018 is not meaningful given the low level of pre-tax income for the quarter.</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Net Income (Loss) &amp; Adjusted Net Income</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For Q4 2018, the Company recorded a net loss of $3.4 million, or $0.07 per diluted share, versus net income of $33.9 million, or $0.67 per diluted share, in 2017. </w:t>
      </w:r>
      <w:r>
        <w:rPr>
          <w:rFonts w:ascii="Arial" w:cs="Arial" w:eastAsia="Arial" w:hAnsi="Arial"/>
          <w:sz w:val="12"/>
          <w:szCs w:val="12"/>
          <w:i w:val="1"/>
          <w:iCs w:val="1"/>
          <w:color w:val="auto"/>
        </w:rPr>
        <w:t>(2)</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For Q4 2018, the Company recorded adjusted net income of $38.3 million, or $0.75 per diluted share, versus adjusted net income of $37.8 million, or $0.74 per diluted share, in 2017. </w:t>
      </w:r>
      <w:r>
        <w:rPr>
          <w:rFonts w:ascii="Arial" w:cs="Arial" w:eastAsia="Arial" w:hAnsi="Arial"/>
          <w:sz w:val="12"/>
          <w:szCs w:val="12"/>
          <w:i w:val="1"/>
          <w:iCs w:val="1"/>
          <w:color w:val="auto"/>
        </w:rPr>
        <w:t>(1) (2)</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EBITDA &amp; Adjusted EBITDA</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For Q4 2018, the Company recorded EBITDA of $36.1 million versus $65.2 million in 2017. </w:t>
      </w:r>
      <w:r>
        <w:rPr>
          <w:rFonts w:ascii="Arial" w:cs="Arial" w:eastAsia="Arial" w:hAnsi="Arial"/>
          <w:sz w:val="12"/>
          <w:szCs w:val="12"/>
          <w:i w:val="1"/>
          <w:iCs w:val="1"/>
          <w:color w:val="auto"/>
        </w:rPr>
        <w:t>(1)</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For Q4 2018, the Company recorded adjusted EBITDA of $75.0 million versus $67.1 million in 2017. </w:t>
      </w:r>
      <w:r>
        <w:rPr>
          <w:rFonts w:ascii="Arial" w:cs="Arial" w:eastAsia="Arial" w:hAnsi="Arial"/>
          <w:sz w:val="12"/>
          <w:szCs w:val="12"/>
          <w:i w:val="1"/>
          <w:iCs w:val="1"/>
          <w:color w:val="auto"/>
        </w:rPr>
        <w:t>(1)</w:t>
      </w:r>
    </w:p>
    <w:p>
      <w:pPr>
        <w:sectPr>
          <w:pgSz w:w="11900" w:h="16907" w:orient="portrait"/>
          <w:cols w:equalWidth="0" w:num="1">
            <w:col w:w="11488"/>
          </w:cols>
          <w:pgMar w:left="212" w:top="334" w:right="199" w:bottom="0" w:gutter="0" w:footer="0" w:header="0"/>
        </w:sectPr>
      </w:pPr>
    </w:p>
    <w:bookmarkStart w:id="2" w:name="page3"/>
    <w:bookmarkEnd w:id="2"/>
    <w:p>
      <w:pPr>
        <w:spacing w:after="0" w:line="6" w:lineRule="exact"/>
        <w:rPr>
          <w:sz w:val="20"/>
          <w:szCs w:val="20"/>
          <w:color w:val="auto"/>
        </w:rPr>
      </w:pPr>
    </w:p>
    <w:p>
      <w:pPr>
        <w:ind w:left="8" w:right="9040" w:hanging="8"/>
        <w:spacing w:after="0" w:line="473" w:lineRule="auto"/>
        <w:tabs>
          <w:tab w:leader="none" w:pos="211" w:val="left"/>
        </w:tabs>
        <w:numPr>
          <w:ilvl w:val="0"/>
          <w:numId w:val="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Year Ended December 31, 2018 (Unaudited) </w:t>
      </w:r>
      <w:r>
        <w:rPr>
          <w:rFonts w:ascii="Arial" w:cs="Arial" w:eastAsia="Arial" w:hAnsi="Arial"/>
          <w:sz w:val="12"/>
          <w:szCs w:val="12"/>
          <w:b w:val="1"/>
          <w:bCs w:val="1"/>
          <w:u w:val="single" w:color="auto"/>
          <w:color w:val="auto"/>
        </w:rPr>
        <w:t>Revenues</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Total Revenues</w:t>
      </w:r>
    </w:p>
    <w:p>
      <w:pPr>
        <w:spacing w:after="0" w:line="69" w:lineRule="exact"/>
        <w:rPr>
          <w:sz w:val="20"/>
          <w:szCs w:val="20"/>
          <w:color w:val="auto"/>
        </w:rPr>
      </w:pPr>
    </w:p>
    <w:p>
      <w:pPr>
        <w:ind w:left="8" w:right="220"/>
        <w:spacing w:after="0" w:line="261" w:lineRule="auto"/>
        <w:rPr>
          <w:sz w:val="20"/>
          <w:szCs w:val="20"/>
          <w:color w:val="auto"/>
        </w:rPr>
      </w:pPr>
      <w:r>
        <w:rPr>
          <w:rFonts w:ascii="Arial" w:cs="Arial" w:eastAsia="Arial" w:hAnsi="Arial"/>
          <w:sz w:val="12"/>
          <w:szCs w:val="12"/>
          <w:color w:val="auto"/>
        </w:rPr>
        <w:t>For full year 2018, total revenues were $782.4 million, an increase of $221.5 million or 39% over 2017. Total revenues reflect significant increases in both product sales due to the contribution of recently acquired products and contract development and manufacturing services revenue.</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Product Sales</w:t>
      </w:r>
    </w:p>
    <w:p>
      <w:pPr>
        <w:spacing w:after="0" w:line="62" w:lineRule="exact"/>
        <w:rPr>
          <w:sz w:val="20"/>
          <w:szCs w:val="20"/>
          <w:color w:val="auto"/>
        </w:rPr>
      </w:pPr>
    </w:p>
    <w:p>
      <w:pPr>
        <w:ind w:left="8" w:right="80"/>
        <w:spacing w:after="0" w:line="206" w:lineRule="auto"/>
        <w:rPr>
          <w:sz w:val="20"/>
          <w:szCs w:val="20"/>
          <w:color w:val="auto"/>
        </w:rPr>
      </w:pPr>
      <w:r>
        <w:rPr>
          <w:rFonts w:ascii="Arial" w:cs="Arial" w:eastAsia="Arial" w:hAnsi="Arial"/>
          <w:sz w:val="12"/>
          <w:szCs w:val="12"/>
          <w:color w:val="auto"/>
        </w:rPr>
        <w:t>For full year 2018, product sales were $606.5 million, an increase of $185.0 million or 44% as compared to 2017. The increase primarily reflects a full year of sales of ACAM2000</w:t>
      </w:r>
      <w:r>
        <w:rPr>
          <w:rFonts w:ascii="Arial" w:cs="Arial" w:eastAsia="Arial" w:hAnsi="Arial"/>
          <w:sz w:val="20"/>
          <w:szCs w:val="20"/>
          <w:color w:val="auto"/>
          <w:vertAlign w:val="superscript"/>
        </w:rPr>
        <w:t>®</w:t>
      </w:r>
      <w:r>
        <w:rPr>
          <w:rFonts w:ascii="Arial" w:cs="Arial" w:eastAsia="Arial" w:hAnsi="Arial"/>
          <w:sz w:val="12"/>
          <w:szCs w:val="12"/>
          <w:color w:val="auto"/>
        </w:rPr>
        <w:t>, (Smallpox (Vaccinia) Vaccine, Live) and raxibacumab, both acquired in the fourth quarter of 2017, and NARCAN</w:t>
      </w:r>
      <w:r>
        <w:rPr>
          <w:rFonts w:ascii="Arial" w:cs="Arial" w:eastAsia="Arial" w:hAnsi="Arial"/>
          <w:sz w:val="20"/>
          <w:szCs w:val="20"/>
          <w:color w:val="auto"/>
          <w:vertAlign w:val="superscript"/>
        </w:rPr>
        <w:t>®</w:t>
      </w:r>
      <w:r>
        <w:rPr>
          <w:rFonts w:ascii="Arial" w:cs="Arial" w:eastAsia="Arial" w:hAnsi="Arial"/>
          <w:sz w:val="12"/>
          <w:szCs w:val="12"/>
          <w:color w:val="auto"/>
        </w:rPr>
        <w:t xml:space="preserve"> (naloxone HCl) Nasal Spray, which was acquired in the fourth quarter of 2018.</w:t>
      </w:r>
    </w:p>
    <w:p>
      <w:pPr>
        <w:spacing w:after="0" w:line="7"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40" w:type="dxa"/>
            <w:vAlign w:val="bottom"/>
            <w:tcBorders>
              <w:right w:val="single" w:sz="8" w:color="auto"/>
            </w:tcBorders>
          </w:tcPr>
          <w:p>
            <w:pPr>
              <w:spacing w:after="0"/>
              <w:rPr>
                <w:sz w:val="10"/>
                <w:szCs w:val="10"/>
                <w:color w:val="auto"/>
              </w:rPr>
            </w:pPr>
          </w:p>
        </w:tc>
        <w:tc>
          <w:tcPr>
            <w:tcW w:w="7340" w:type="dxa"/>
            <w:vAlign w:val="bottom"/>
            <w:tcBorders>
              <w:top w:val="single" w:sz="8" w:color="auto"/>
              <w:righ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0"/>
              </w:rPr>
              <w:t>Year Ended</w:t>
            </w: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Borders>
              <w:right w:val="single" w:sz="8" w:color="auto"/>
            </w:tcBorders>
          </w:tcPr>
          <w:p>
            <w:pPr>
              <w:spacing w:after="0"/>
              <w:rPr>
                <w:sz w:val="11"/>
                <w:szCs w:val="11"/>
                <w:color w:val="auto"/>
              </w:rPr>
            </w:pPr>
          </w:p>
        </w:tc>
        <w:tc>
          <w:tcPr>
            <w:tcW w:w="73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9"/>
              </w:rPr>
              <w:t>December 31,</w:t>
            </w: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7340" w:type="dxa"/>
            <w:vAlign w:val="bottom"/>
            <w:tcBorders>
              <w:right w:val="single" w:sz="8" w:color="auto"/>
            </w:tcBorders>
          </w:tcPr>
          <w:p>
            <w:pPr>
              <w:spacing w:after="0" w:line="88" w:lineRule="exact"/>
              <w:rPr>
                <w:sz w:val="20"/>
                <w:szCs w:val="20"/>
                <w:color w:val="auto"/>
              </w:rPr>
            </w:pPr>
            <w:r>
              <w:rPr>
                <w:rFonts w:ascii="Arial" w:cs="Arial" w:eastAsia="Arial" w:hAnsi="Arial"/>
                <w:sz w:val="10"/>
                <w:szCs w:val="10"/>
                <w:color w:val="auto"/>
              </w:rPr>
              <w:t>(in millions)</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2"/>
                <w:szCs w:val="12"/>
                <w:b w:val="1"/>
                <w:bCs w:val="1"/>
                <w:color w:val="auto"/>
              </w:rPr>
              <w:t>2018</w:t>
            </w:r>
          </w:p>
        </w:tc>
        <w:tc>
          <w:tcPr>
            <w:tcW w:w="3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restart"/>
          </w:tcPr>
          <w:p>
            <w:pPr>
              <w:jc w:val="center"/>
              <w:ind w:right="60"/>
              <w:spacing w:after="0"/>
              <w:rPr>
                <w:sz w:val="20"/>
                <w:szCs w:val="20"/>
                <w:color w:val="auto"/>
              </w:rPr>
            </w:pPr>
            <w:r>
              <w:rPr>
                <w:rFonts w:ascii="Arial" w:cs="Arial" w:eastAsia="Arial" w:hAnsi="Arial"/>
                <w:sz w:val="12"/>
                <w:szCs w:val="12"/>
                <w:b w:val="1"/>
                <w:bCs w:val="1"/>
                <w:color w:val="auto"/>
                <w:w w:val="89"/>
              </w:rPr>
              <w:t>2017</w:t>
            </w: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Borders>
              <w:right w:val="single" w:sz="8" w:color="auto"/>
            </w:tcBorders>
            <w:gridSpan w:val="2"/>
            <w:vMerge w:val="restart"/>
          </w:tcPr>
          <w:p>
            <w:pPr>
              <w:jc w:val="right"/>
              <w:ind w:right="48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90"/>
        </w:trPr>
        <w:tc>
          <w:tcPr>
            <w:tcW w:w="40" w:type="dxa"/>
            <w:vAlign w:val="bottom"/>
            <w:tcBorders>
              <w:right w:val="single" w:sz="8" w:color="auto"/>
            </w:tcBorders>
          </w:tcPr>
          <w:p>
            <w:pPr>
              <w:spacing w:after="0"/>
              <w:rPr>
                <w:sz w:val="7"/>
                <w:szCs w:val="7"/>
                <w:color w:val="auto"/>
              </w:rPr>
            </w:pPr>
          </w:p>
        </w:tc>
        <w:tc>
          <w:tcPr>
            <w:tcW w:w="7340" w:type="dxa"/>
            <w:vAlign w:val="bottom"/>
            <w:tcBorders>
              <w:right w:val="single" w:sz="8" w:color="auto"/>
            </w:tcBorders>
            <w:vMerge w:val="restart"/>
          </w:tcPr>
          <w:p>
            <w:pPr>
              <w:spacing w:after="0" w:line="126" w:lineRule="exact"/>
              <w:rPr>
                <w:sz w:val="20"/>
                <w:szCs w:val="20"/>
                <w:color w:val="auto"/>
              </w:rPr>
            </w:pPr>
            <w:r>
              <w:rPr>
                <w:rFonts w:ascii="Arial" w:cs="Arial" w:eastAsia="Arial" w:hAnsi="Arial"/>
                <w:sz w:val="12"/>
                <w:szCs w:val="12"/>
                <w:color w:val="auto"/>
              </w:rPr>
              <w:t>(unaudited)</w:t>
            </w:r>
          </w:p>
        </w:tc>
        <w:tc>
          <w:tcPr>
            <w:tcW w:w="8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40" w:type="dxa"/>
            <w:vAlign w:val="bottom"/>
            <w:tcBorders>
              <w:right w:val="single" w:sz="8" w:color="auto"/>
            </w:tcBorders>
          </w:tcPr>
          <w:p>
            <w:pPr>
              <w:spacing w:after="0"/>
              <w:rPr>
                <w:sz w:val="3"/>
                <w:szCs w:val="3"/>
                <w:color w:val="auto"/>
              </w:rPr>
            </w:pPr>
          </w:p>
        </w:tc>
        <w:tc>
          <w:tcPr>
            <w:tcW w:w="7340" w:type="dxa"/>
            <w:vAlign w:val="bottom"/>
            <w:tcBorders>
              <w:bottom w:val="single" w:sz="8" w:color="auto"/>
              <w:right w:val="single" w:sz="8" w:color="auto"/>
            </w:tcBorders>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0" w:type="dxa"/>
            <w:vAlign w:val="bottom"/>
            <w:tcBorders>
              <w:bottom w:val="single" w:sz="8" w:color="auto"/>
            </w:tcBorders>
          </w:tcPr>
          <w:p>
            <w:pPr>
              <w:spacing w:after="0"/>
              <w:rPr>
                <w:sz w:val="12"/>
                <w:szCs w:val="12"/>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Product Sales</w:t>
            </w: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 w:type="dxa"/>
            <w:vAlign w:val="bottom"/>
            <w:tcBorders>
              <w:right w:val="single" w:sz="8" w:color="auto"/>
            </w:tcBorders>
            <w:shd w:val="clear" w:color="auto" w:fill="000000"/>
          </w:tcPr>
          <w:p>
            <w:pPr>
              <w:spacing w:after="0"/>
              <w:rPr>
                <w:sz w:val="12"/>
                <w:szCs w:val="12"/>
                <w:color w:val="auto"/>
              </w:rPr>
            </w:pPr>
          </w:p>
        </w:tc>
        <w:tc>
          <w:tcPr>
            <w:tcW w:w="7340" w:type="dxa"/>
            <w:vAlign w:val="bottom"/>
            <w:tcBorders>
              <w:right w:val="single" w:sz="8" w:color="auto"/>
            </w:tcBorders>
            <w:shd w:val="clear" w:color="auto" w:fill="CCEEFF"/>
          </w:tcPr>
          <w:p>
            <w:pPr>
              <w:ind w:left="140"/>
              <w:spacing w:after="0" w:line="142" w:lineRule="exact"/>
              <w:rPr>
                <w:sz w:val="20"/>
                <w:szCs w:val="20"/>
                <w:color w:val="auto"/>
              </w:rPr>
            </w:pPr>
            <w:r>
              <w:rPr>
                <w:rFonts w:ascii="Arial" w:cs="Arial" w:eastAsia="Arial" w:hAnsi="Arial"/>
                <w:sz w:val="10"/>
                <w:szCs w:val="10"/>
                <w:color w:val="auto"/>
              </w:rPr>
              <w:t>BioThrax</w:t>
            </w:r>
            <w:r>
              <w:rPr>
                <w:rFonts w:ascii="Arial" w:cs="Arial" w:eastAsia="Arial" w:hAnsi="Arial"/>
                <w:sz w:val="16"/>
                <w:szCs w:val="16"/>
                <w:color w:val="auto"/>
                <w:vertAlign w:val="superscript"/>
              </w:rPr>
              <w:t>®</w:t>
            </w:r>
          </w:p>
        </w:tc>
        <w:tc>
          <w:tcPr>
            <w:tcW w:w="8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278.0</w:t>
            </w:r>
          </w:p>
        </w:tc>
        <w:tc>
          <w:tcPr>
            <w:tcW w:w="120" w:type="dxa"/>
            <w:vAlign w:val="bottom"/>
            <w:tcBorders>
              <w:right w:val="single" w:sz="8" w:color="auto"/>
            </w:tcBorders>
            <w:shd w:val="clear" w:color="auto" w:fill="CCEEFF"/>
          </w:tcPr>
          <w:p>
            <w:pPr>
              <w:spacing w:after="0"/>
              <w:rPr>
                <w:sz w:val="12"/>
                <w:szCs w:val="1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286.6</w:t>
            </w:r>
          </w:p>
        </w:tc>
        <w:tc>
          <w:tcPr>
            <w:tcW w:w="1400" w:type="dxa"/>
            <w:vAlign w:val="bottom"/>
            <w:tcBorders>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73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Borders>
              <w:right w:val="single" w:sz="8" w:color="auto"/>
            </w:tcBorders>
            <w:shd w:val="clear" w:color="auto" w:fill="000000"/>
          </w:tcPr>
          <w:p>
            <w:pPr>
              <w:spacing w:after="0"/>
              <w:rPr>
                <w:sz w:val="12"/>
                <w:szCs w:val="12"/>
                <w:color w:val="auto"/>
              </w:rPr>
            </w:pPr>
          </w:p>
        </w:tc>
        <w:tc>
          <w:tcPr>
            <w:tcW w:w="7340" w:type="dxa"/>
            <w:vAlign w:val="bottom"/>
            <w:tcBorders>
              <w:right w:val="single" w:sz="8" w:color="auto"/>
            </w:tcBorders>
          </w:tcPr>
          <w:p>
            <w:pPr>
              <w:ind w:left="140"/>
              <w:spacing w:after="0" w:line="142" w:lineRule="exact"/>
              <w:rPr>
                <w:sz w:val="20"/>
                <w:szCs w:val="20"/>
                <w:color w:val="auto"/>
              </w:rPr>
            </w:pPr>
            <w:r>
              <w:rPr>
                <w:rFonts w:ascii="Arial" w:cs="Arial" w:eastAsia="Arial" w:hAnsi="Arial"/>
                <w:sz w:val="10"/>
                <w:szCs w:val="10"/>
                <w:color w:val="auto"/>
              </w:rPr>
              <w:t>ACAM2000</w:t>
            </w:r>
            <w:r>
              <w:rPr>
                <w:rFonts w:ascii="Arial" w:cs="Arial" w:eastAsia="Arial" w:hAnsi="Arial"/>
                <w:sz w:val="16"/>
                <w:szCs w:val="16"/>
                <w:color w:val="auto"/>
                <w:vertAlign w:val="superscript"/>
              </w:rPr>
              <w: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116.7</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11.5</w:t>
            </w:r>
          </w:p>
        </w:tc>
        <w:tc>
          <w:tcPr>
            <w:tcW w:w="14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915%</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73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Borders>
              <w:right w:val="single" w:sz="8" w:color="auto"/>
            </w:tcBorders>
            <w:shd w:val="clear" w:color="auto" w:fill="000000"/>
          </w:tcPr>
          <w:p>
            <w:pPr>
              <w:spacing w:after="0"/>
              <w:rPr>
                <w:sz w:val="12"/>
                <w:szCs w:val="12"/>
                <w:color w:val="auto"/>
              </w:rPr>
            </w:pPr>
          </w:p>
        </w:tc>
        <w:tc>
          <w:tcPr>
            <w:tcW w:w="734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211.8</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123.4</w:t>
            </w:r>
          </w:p>
        </w:tc>
        <w:tc>
          <w:tcPr>
            <w:tcW w:w="1400" w:type="dxa"/>
            <w:vAlign w:val="bottom"/>
            <w:tcBorders>
              <w:right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73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0" w:type="dxa"/>
            <w:vAlign w:val="bottom"/>
            <w:tcBorders>
              <w:right w:val="single" w:sz="8" w:color="auto"/>
            </w:tcBorders>
            <w:shd w:val="clear" w:color="auto" w:fill="000000"/>
          </w:tcPr>
          <w:p>
            <w:pPr>
              <w:spacing w:after="0"/>
              <w:rPr>
                <w:sz w:val="12"/>
                <w:szCs w:val="12"/>
                <w:color w:val="auto"/>
              </w:rPr>
            </w:pPr>
          </w:p>
        </w:tc>
        <w:tc>
          <w:tcPr>
            <w:tcW w:w="7340" w:type="dxa"/>
            <w:vAlign w:val="bottom"/>
            <w:tcBorders>
              <w:right w:val="single" w:sz="8" w:color="auto"/>
            </w:tcBorders>
          </w:tcPr>
          <w:p>
            <w:pPr>
              <w:spacing w:after="0"/>
              <w:rPr>
                <w:sz w:val="20"/>
                <w:szCs w:val="20"/>
                <w:color w:val="auto"/>
              </w:rPr>
            </w:pPr>
            <w:r>
              <w:rPr>
                <w:rFonts w:ascii="Arial" w:cs="Arial" w:eastAsia="Arial" w:hAnsi="Arial"/>
                <w:sz w:val="12"/>
                <w:szCs w:val="12"/>
                <w:b w:val="1"/>
                <w:bCs w:val="1"/>
                <w:color w:val="auto"/>
              </w:rPr>
              <w:t>Total Product Sales</w:t>
            </w:r>
          </w:p>
        </w:tc>
        <w:tc>
          <w:tcPr>
            <w:tcW w:w="860" w:type="dxa"/>
            <w:vAlign w:val="bottom"/>
            <w:gridSpan w:val="2"/>
          </w:tcPr>
          <w:p>
            <w:pPr>
              <w:jc w:val="right"/>
              <w:ind w:right="72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606.5</w:t>
            </w:r>
          </w:p>
        </w:tc>
        <w:tc>
          <w:tcPr>
            <w:tcW w:w="120" w:type="dxa"/>
            <w:vAlign w:val="bottom"/>
            <w:tcBorders>
              <w:right w:val="single" w:sz="8" w:color="auto"/>
            </w:tcBorders>
          </w:tcPr>
          <w:p>
            <w:pPr>
              <w:spacing w:after="0"/>
              <w:rPr>
                <w:sz w:val="12"/>
                <w:szCs w:val="12"/>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421.5</w:t>
            </w:r>
          </w:p>
        </w:tc>
        <w:tc>
          <w:tcPr>
            <w:tcW w:w="140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73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Contract Manufacturing</w:t>
      </w:r>
    </w:p>
    <w:p>
      <w:pPr>
        <w:spacing w:after="0" w:line="69" w:lineRule="exact"/>
        <w:rPr>
          <w:sz w:val="20"/>
          <w:szCs w:val="20"/>
          <w:color w:val="auto"/>
        </w:rPr>
      </w:pPr>
    </w:p>
    <w:p>
      <w:pPr>
        <w:ind w:left="8" w:right="140"/>
        <w:spacing w:after="0" w:line="306" w:lineRule="auto"/>
        <w:rPr>
          <w:sz w:val="20"/>
          <w:szCs w:val="20"/>
          <w:color w:val="auto"/>
        </w:rPr>
      </w:pPr>
      <w:r>
        <w:rPr>
          <w:rFonts w:ascii="Arial" w:cs="Arial" w:eastAsia="Arial" w:hAnsi="Arial"/>
          <w:sz w:val="11"/>
          <w:szCs w:val="11"/>
          <w:color w:val="auto"/>
        </w:rPr>
        <w:t>For full year 2018, revenue from the Company’s contract manufacturing operations was $98.9 million, an increase of $30.0 million or 44% as compared to 2017. The increase primarily reflects the completion of a milestone related to the expansion of certain contract manufacturing capabilities at the Company’s Lansing site, fill/finish services provided to third parties, and increased manufacturing services for commercial customers at the Company’s Canton site.</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Contracts and Grants</w:t>
      </w:r>
    </w:p>
    <w:p>
      <w:pPr>
        <w:spacing w:after="0" w:line="69" w:lineRule="exact"/>
        <w:rPr>
          <w:sz w:val="20"/>
          <w:szCs w:val="20"/>
          <w:color w:val="auto"/>
        </w:rPr>
      </w:pPr>
    </w:p>
    <w:p>
      <w:pPr>
        <w:ind w:left="8" w:right="180"/>
        <w:spacing w:after="0" w:line="200" w:lineRule="auto"/>
        <w:rPr>
          <w:sz w:val="20"/>
          <w:szCs w:val="20"/>
          <w:color w:val="auto"/>
        </w:rPr>
      </w:pPr>
      <w:r>
        <w:rPr>
          <w:rFonts w:ascii="Arial" w:cs="Arial" w:eastAsia="Arial" w:hAnsi="Arial"/>
          <w:sz w:val="12"/>
          <w:szCs w:val="12"/>
          <w:color w:val="auto"/>
        </w:rPr>
        <w:t>For full year 2018, revenue from the Company’s development-based contracts and grants was $77.0 million, an increase of $6.5 million or 9% as compared to 2017. The increase primarily reflects an increase in R&amp;D activities related to SIAN, the Company’s drug-device combination product candidate (antidote spray device) for the treatment of known or suspected acute cyanide poisoning as well as work related to ACAM2000</w:t>
      </w:r>
      <w:r>
        <w:rPr>
          <w:rFonts w:ascii="Arial" w:cs="Arial" w:eastAsia="Arial" w:hAnsi="Arial"/>
          <w:sz w:val="20"/>
          <w:szCs w:val="20"/>
          <w:color w:val="auto"/>
          <w:vertAlign w:val="superscript"/>
        </w:rPr>
        <w:t>®</w:t>
      </w:r>
      <w:r>
        <w:rPr>
          <w:rFonts w:ascii="Arial" w:cs="Arial" w:eastAsia="Arial" w:hAnsi="Arial"/>
          <w:sz w:val="12"/>
          <w:szCs w:val="12"/>
          <w:color w:val="auto"/>
        </w:rPr>
        <w:t>, (Smallpox (Vaccinia) Vaccine, Live), which was acquired in the fourth quarter of 2017.</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u w:val="single" w:color="auto"/>
          <w:color w:val="auto"/>
        </w:rPr>
        <w:t>Operating Expenses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Cost of Product Sales and Contract Manufacturing</w:t>
      </w:r>
    </w:p>
    <w:p>
      <w:pPr>
        <w:spacing w:after="0" w:line="69" w:lineRule="exact"/>
        <w:rPr>
          <w:sz w:val="20"/>
          <w:szCs w:val="20"/>
          <w:color w:val="auto"/>
        </w:rPr>
      </w:pPr>
    </w:p>
    <w:p>
      <w:pPr>
        <w:jc w:val="both"/>
        <w:ind w:left="8" w:right="40"/>
        <w:spacing w:after="0" w:line="200" w:lineRule="auto"/>
        <w:rPr>
          <w:sz w:val="20"/>
          <w:szCs w:val="20"/>
          <w:color w:val="auto"/>
        </w:rPr>
      </w:pPr>
      <w:r>
        <w:rPr>
          <w:rFonts w:ascii="Arial" w:cs="Arial" w:eastAsia="Arial" w:hAnsi="Arial"/>
          <w:sz w:val="12"/>
          <w:szCs w:val="12"/>
          <w:color w:val="auto"/>
        </w:rPr>
        <w:t>For full year 2018, cost of product sales and contract manufacturing was $322.3 million, an increase of $134.6 million or 72% as compared to 2017. The increase primarily reflects the impact of an increase in Other product sales associated principally with a full year of sales of both ACAM2000</w:t>
      </w:r>
      <w:r>
        <w:rPr>
          <w:rFonts w:ascii="Arial" w:cs="Arial" w:eastAsia="Arial" w:hAnsi="Arial"/>
          <w:sz w:val="20"/>
          <w:szCs w:val="20"/>
          <w:color w:val="auto"/>
          <w:vertAlign w:val="superscript"/>
        </w:rPr>
        <w:t>®</w:t>
      </w:r>
      <w:r>
        <w:rPr>
          <w:rFonts w:ascii="Arial" w:cs="Arial" w:eastAsia="Arial" w:hAnsi="Arial"/>
          <w:sz w:val="12"/>
          <w:szCs w:val="12"/>
          <w:color w:val="auto"/>
        </w:rPr>
        <w:t>, (Smallpox (Vaccinia) Vaccine, Live) and raxibacumab, which were acquired in the fourth quarter of 2017, and NARCAN</w:t>
      </w:r>
      <w:r>
        <w:rPr>
          <w:rFonts w:ascii="Arial" w:cs="Arial" w:eastAsia="Arial" w:hAnsi="Arial"/>
          <w:sz w:val="20"/>
          <w:szCs w:val="20"/>
          <w:color w:val="auto"/>
          <w:vertAlign w:val="superscript"/>
        </w:rPr>
        <w:t>®</w:t>
      </w:r>
      <w:r>
        <w:rPr>
          <w:rFonts w:ascii="Arial" w:cs="Arial" w:eastAsia="Arial" w:hAnsi="Arial"/>
          <w:sz w:val="12"/>
          <w:szCs w:val="12"/>
          <w:color w:val="auto"/>
        </w:rPr>
        <w:t xml:space="preserve"> (naloxone HCl) Nasal Spray, which was acquired in the fourth quarter of 2018.</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Research and Development (Gross and Net)</w:t>
      </w:r>
    </w:p>
    <w:p>
      <w:pPr>
        <w:spacing w:after="0" w:line="69" w:lineRule="exact"/>
        <w:rPr>
          <w:sz w:val="20"/>
          <w:szCs w:val="20"/>
          <w:color w:val="auto"/>
        </w:rPr>
      </w:pPr>
    </w:p>
    <w:p>
      <w:pPr>
        <w:ind w:left="8" w:right="120"/>
        <w:spacing w:after="0" w:line="261" w:lineRule="auto"/>
        <w:rPr>
          <w:sz w:val="20"/>
          <w:szCs w:val="20"/>
          <w:color w:val="auto"/>
        </w:rPr>
      </w:pPr>
      <w:r>
        <w:rPr>
          <w:rFonts w:ascii="Arial" w:cs="Arial" w:eastAsia="Arial" w:hAnsi="Arial"/>
          <w:sz w:val="12"/>
          <w:szCs w:val="12"/>
          <w:color w:val="auto"/>
        </w:rPr>
        <w:t>For full year 2018, gross R&amp;D expenses were $142.8 million, an increase of $45.4 million or 47% as compared to 2017. The increase primarily reflects an increase in costs associated with development programs related to the Company’s recently acquired product candidates.</w:t>
      </w:r>
    </w:p>
    <w:p>
      <w:pPr>
        <w:spacing w:after="0" w:line="98" w:lineRule="exact"/>
        <w:rPr>
          <w:sz w:val="20"/>
          <w:szCs w:val="20"/>
          <w:color w:val="auto"/>
        </w:rPr>
      </w:pPr>
    </w:p>
    <w:p>
      <w:pPr>
        <w:ind w:left="8" w:right="140"/>
        <w:spacing w:after="0" w:line="212" w:lineRule="auto"/>
        <w:rPr>
          <w:sz w:val="20"/>
          <w:szCs w:val="20"/>
          <w:color w:val="auto"/>
        </w:rPr>
      </w:pPr>
      <w:r>
        <w:rPr>
          <w:rFonts w:ascii="Arial" w:cs="Arial" w:eastAsia="Arial" w:hAnsi="Arial"/>
          <w:sz w:val="11"/>
          <w:szCs w:val="11"/>
          <w:color w:val="auto"/>
        </w:rPr>
        <w:t>For full year 2018, net R&amp;D expense was $65.8 million, an increase of $38.9 million or 145% as compared to 2017. The increase primarily reflects investment in manufacturing development activities related to ACAM2000</w:t>
      </w:r>
      <w:r>
        <w:rPr>
          <w:rFonts w:ascii="Arial" w:cs="Arial" w:eastAsia="Arial" w:hAnsi="Arial"/>
          <w:sz w:val="18"/>
          <w:szCs w:val="18"/>
          <w:color w:val="auto"/>
          <w:vertAlign w:val="superscript"/>
        </w:rPr>
        <w:t>®</w:t>
      </w:r>
      <w:r>
        <w:rPr>
          <w:rFonts w:ascii="Arial" w:cs="Arial" w:eastAsia="Arial" w:hAnsi="Arial"/>
          <w:sz w:val="11"/>
          <w:szCs w:val="11"/>
          <w:color w:val="auto"/>
        </w:rPr>
        <w:t>, (Smallpox (Vaccinia) Vaccine, Live) and the FLU-IGIV program. The full year 2018 net R&amp;D expense was 9% of net revenue (total revenue less contracts &amp; grants) compared to 5% of net revenue in 2017.</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7340" w:type="dxa"/>
            <w:vAlign w:val="bottom"/>
            <w:tcBorders>
              <w:top w:val="single" w:sz="8" w:color="auto"/>
              <w:left w:val="single" w:sz="8" w:color="auto"/>
              <w:righ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300"/>
              <w:spacing w:after="0" w:line="117" w:lineRule="exact"/>
              <w:rPr>
                <w:sz w:val="20"/>
                <w:szCs w:val="20"/>
                <w:color w:val="auto"/>
              </w:rPr>
            </w:pPr>
            <w:r>
              <w:rPr>
                <w:rFonts w:ascii="Arial" w:cs="Arial" w:eastAsia="Arial" w:hAnsi="Arial"/>
                <w:sz w:val="12"/>
                <w:szCs w:val="12"/>
                <w:b w:val="1"/>
                <w:bCs w:val="1"/>
                <w:color w:val="auto"/>
                <w:w w:val="90"/>
              </w:rPr>
              <w:t>Year Ended</w:t>
            </w: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340" w:type="dxa"/>
            <w:vAlign w:val="bottom"/>
            <w:tcBorders>
              <w:left w:val="single" w:sz="8" w:color="auto"/>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9"/>
              </w:rPr>
              <w:t>December 31,</w:t>
            </w: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340" w:type="dxa"/>
            <w:vAlign w:val="bottom"/>
            <w:tcBorders>
              <w:left w:val="single" w:sz="8" w:color="auto"/>
              <w:right w:val="single" w:sz="8" w:color="auto"/>
            </w:tcBorders>
          </w:tcPr>
          <w:p>
            <w:pPr>
              <w:spacing w:after="0" w:line="88" w:lineRule="exact"/>
              <w:rPr>
                <w:sz w:val="20"/>
                <w:szCs w:val="20"/>
                <w:color w:val="auto"/>
              </w:rPr>
            </w:pPr>
            <w:r>
              <w:rPr>
                <w:rFonts w:ascii="Arial" w:cs="Arial" w:eastAsia="Arial" w:hAnsi="Arial"/>
                <w:sz w:val="10"/>
                <w:szCs w:val="10"/>
                <w:color w:val="auto"/>
              </w:rPr>
              <w:t>(in millions)</w:t>
            </w:r>
          </w:p>
        </w:tc>
        <w:tc>
          <w:tcPr>
            <w:tcW w:w="860" w:type="dxa"/>
            <w:vAlign w:val="bottom"/>
            <w:gridSpan w:val="2"/>
            <w:vMerge w:val="restart"/>
          </w:tcPr>
          <w:p>
            <w:pPr>
              <w:jc w:val="right"/>
              <w:ind w:right="50"/>
              <w:spacing w:after="0"/>
              <w:rPr>
                <w:sz w:val="20"/>
                <w:szCs w:val="20"/>
                <w:color w:val="auto"/>
              </w:rPr>
            </w:pPr>
            <w:r>
              <w:rPr>
                <w:rFonts w:ascii="Arial" w:cs="Arial" w:eastAsia="Arial" w:hAnsi="Arial"/>
                <w:sz w:val="12"/>
                <w:szCs w:val="12"/>
                <w:b w:val="1"/>
                <w:bCs w:val="1"/>
                <w:color w:val="auto"/>
              </w:rPr>
              <w:t>2018</w:t>
            </w:r>
          </w:p>
        </w:tc>
        <w:tc>
          <w:tcPr>
            <w:tcW w:w="36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restart"/>
          </w:tcPr>
          <w:p>
            <w:pPr>
              <w:jc w:val="center"/>
              <w:ind w:right="60"/>
              <w:spacing w:after="0"/>
              <w:rPr>
                <w:sz w:val="20"/>
                <w:szCs w:val="20"/>
                <w:color w:val="auto"/>
              </w:rPr>
            </w:pPr>
            <w:r>
              <w:rPr>
                <w:rFonts w:ascii="Arial" w:cs="Arial" w:eastAsia="Arial" w:hAnsi="Arial"/>
                <w:sz w:val="12"/>
                <w:szCs w:val="12"/>
                <w:b w:val="1"/>
                <w:bCs w:val="1"/>
                <w:color w:val="auto"/>
                <w:w w:val="89"/>
              </w:rPr>
              <w:t>2017</w:t>
            </w:r>
          </w:p>
        </w:tc>
        <w:tc>
          <w:tcPr>
            <w:tcW w:w="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Borders>
              <w:right w:val="single" w:sz="8" w:color="auto"/>
            </w:tcBorders>
            <w:gridSpan w:val="2"/>
            <w:vMerge w:val="restart"/>
          </w:tcPr>
          <w:p>
            <w:pPr>
              <w:jc w:val="right"/>
              <w:ind w:right="44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340" w:type="dxa"/>
            <w:vAlign w:val="bottom"/>
            <w:tcBorders>
              <w:left w:val="single" w:sz="8" w:color="auto"/>
              <w:right w:val="single" w:sz="8" w:color="auto"/>
            </w:tcBorders>
            <w:vMerge w:val="restart"/>
          </w:tcPr>
          <w:p>
            <w:pPr>
              <w:spacing w:after="0" w:line="126" w:lineRule="exact"/>
              <w:rPr>
                <w:sz w:val="20"/>
                <w:szCs w:val="20"/>
                <w:color w:val="auto"/>
              </w:rPr>
            </w:pPr>
            <w:r>
              <w:rPr>
                <w:rFonts w:ascii="Arial" w:cs="Arial" w:eastAsia="Arial" w:hAnsi="Arial"/>
                <w:sz w:val="12"/>
                <w:szCs w:val="12"/>
                <w:color w:val="auto"/>
              </w:rPr>
              <w:t>(unaudited)</w:t>
            </w:r>
          </w:p>
        </w:tc>
        <w:tc>
          <w:tcPr>
            <w:tcW w:w="8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tcBorders>
              <w:right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340" w:type="dxa"/>
            <w:vAlign w:val="bottom"/>
            <w:tcBorders>
              <w:left w:val="single" w:sz="8" w:color="auto"/>
              <w:bottom w:val="single" w:sz="8" w:color="auto"/>
              <w:right w:val="single" w:sz="8" w:color="auto"/>
            </w:tcBorders>
            <w:vMerge w:val="continue"/>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left w:val="single" w:sz="8" w:color="auto"/>
              <w:right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Research and Development Expenses</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70"/>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142.8</w:t>
            </w:r>
          </w:p>
        </w:tc>
        <w:tc>
          <w:tcPr>
            <w:tcW w:w="1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97.4</w:t>
            </w:r>
          </w:p>
        </w:tc>
        <w:tc>
          <w:tcPr>
            <w:tcW w:w="1380" w:type="dxa"/>
            <w:vAlign w:val="bottom"/>
            <w:tcBorders>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3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Adjustments:</w:t>
            </w: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 Contracts and grants revenue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70"/>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77.0</w:t>
            </w:r>
          </w:p>
        </w:tc>
        <w:tc>
          <w:tcPr>
            <w:tcW w:w="1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70.5</w:t>
            </w:r>
          </w:p>
        </w:tc>
        <w:tc>
          <w:tcPr>
            <w:tcW w:w="1380" w:type="dxa"/>
            <w:vAlign w:val="bottom"/>
            <w:tcBorders>
              <w:right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Research and Development Expenses</w:t>
            </w:r>
          </w:p>
        </w:tc>
        <w:tc>
          <w:tcPr>
            <w:tcW w:w="80" w:type="dxa"/>
            <w:vAlign w:val="bottom"/>
          </w:tcPr>
          <w:p>
            <w:pPr>
              <w:spacing w:after="0"/>
              <w:rPr>
                <w:sz w:val="12"/>
                <w:szCs w:val="12"/>
                <w:color w:val="auto"/>
              </w:rPr>
            </w:pPr>
          </w:p>
        </w:tc>
        <w:tc>
          <w:tcPr>
            <w:tcW w:w="780" w:type="dxa"/>
            <w:vAlign w:val="bottom"/>
          </w:tcPr>
          <w:p>
            <w:pPr>
              <w:jc w:val="right"/>
              <w:ind w:right="670"/>
              <w:spacing w:after="0"/>
              <w:rPr>
                <w:sz w:val="20"/>
                <w:szCs w:val="20"/>
                <w:color w:val="auto"/>
              </w:rPr>
            </w:pPr>
            <w:r>
              <w:rPr>
                <w:rFonts w:ascii="Arial" w:cs="Arial" w:eastAsia="Arial" w:hAnsi="Arial"/>
                <w:sz w:val="10"/>
                <w:szCs w:val="10"/>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b w:val="1"/>
                <w:bCs w:val="1"/>
                <w:color w:val="auto"/>
              </w:rPr>
              <w:t>65.8</w:t>
            </w:r>
          </w:p>
        </w:tc>
        <w:tc>
          <w:tcPr>
            <w:tcW w:w="1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26.9</w:t>
            </w:r>
          </w:p>
        </w:tc>
        <w:tc>
          <w:tcPr>
            <w:tcW w:w="138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7340" w:type="dxa"/>
            <w:vAlign w:val="bottom"/>
            <w:tcBorders>
              <w:left w:val="single" w:sz="8" w:color="auto"/>
              <w:right w:val="single" w:sz="8" w:color="auto"/>
            </w:tcBorders>
            <w:shd w:val="clear" w:color="auto" w:fill="CCEEFF"/>
          </w:tcPr>
          <w:p>
            <w:pPr>
              <w:spacing w:after="0" w:line="97" w:lineRule="exact"/>
              <w:rPr>
                <w:sz w:val="20"/>
                <w:szCs w:val="20"/>
                <w:color w:val="auto"/>
              </w:rPr>
            </w:pPr>
            <w:r>
              <w:rPr>
                <w:rFonts w:ascii="Arial" w:cs="Arial" w:eastAsia="Arial" w:hAnsi="Arial"/>
                <w:sz w:val="11"/>
                <w:szCs w:val="11"/>
                <w:b w:val="1"/>
                <w:bCs w:val="1"/>
                <w:color w:val="auto"/>
              </w:rPr>
              <w:t>Adjusted Revenue</w:t>
            </w:r>
          </w:p>
        </w:tc>
        <w:tc>
          <w:tcPr>
            <w:tcW w:w="80" w:type="dxa"/>
            <w:vAlign w:val="bottom"/>
            <w:vMerge w:val="restart"/>
            <w:shd w:val="clear" w:color="auto" w:fill="CCEEFF"/>
          </w:tcPr>
          <w:p>
            <w:pPr>
              <w:spacing w:after="0"/>
              <w:rPr>
                <w:sz w:val="8"/>
                <w:szCs w:val="8"/>
                <w:color w:val="auto"/>
              </w:rPr>
            </w:pPr>
          </w:p>
        </w:tc>
        <w:tc>
          <w:tcPr>
            <w:tcW w:w="780" w:type="dxa"/>
            <w:vAlign w:val="bottom"/>
            <w:vMerge w:val="restart"/>
            <w:shd w:val="clear" w:color="auto" w:fill="CCEEFF"/>
          </w:tcPr>
          <w:p>
            <w:pPr>
              <w:jc w:val="right"/>
              <w:ind w:right="670"/>
              <w:spacing w:after="0"/>
              <w:rPr>
                <w:sz w:val="20"/>
                <w:szCs w:val="20"/>
                <w:color w:val="auto"/>
              </w:rPr>
            </w:pPr>
            <w:r>
              <w:rPr>
                <w:rFonts w:ascii="Arial" w:cs="Arial" w:eastAsia="Arial" w:hAnsi="Arial"/>
                <w:sz w:val="10"/>
                <w:szCs w:val="10"/>
                <w:b w:val="1"/>
                <w:bCs w:val="1"/>
                <w:color w:val="auto"/>
                <w:w w:val="71"/>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705.4</w:t>
            </w:r>
          </w:p>
        </w:tc>
        <w:tc>
          <w:tcPr>
            <w:tcW w:w="160" w:type="dxa"/>
            <w:vAlign w:val="bottom"/>
            <w:tcBorders>
              <w:right w:val="single" w:sz="8" w:color="auto"/>
            </w:tcBorders>
            <w:vMerge w:val="restart"/>
            <w:shd w:val="clear" w:color="auto" w:fill="CCEEFF"/>
          </w:tcPr>
          <w:p>
            <w:pPr>
              <w:spacing w:after="0"/>
              <w:rPr>
                <w:sz w:val="8"/>
                <w:szCs w:val="8"/>
                <w:color w:val="auto"/>
              </w:rPr>
            </w:pPr>
          </w:p>
        </w:tc>
        <w:tc>
          <w:tcPr>
            <w:tcW w:w="80" w:type="dxa"/>
            <w:vAlign w:val="bottom"/>
            <w:vMerge w:val="restart"/>
            <w:shd w:val="clear" w:color="auto" w:fill="CCEEFF"/>
          </w:tcPr>
          <w:p>
            <w:pPr>
              <w:spacing w:after="0"/>
              <w:rPr>
                <w:sz w:val="8"/>
                <w:szCs w:val="8"/>
                <w:color w:val="auto"/>
              </w:rPr>
            </w:pPr>
          </w:p>
        </w:tc>
        <w:tc>
          <w:tcPr>
            <w:tcW w:w="140" w:type="dxa"/>
            <w:vAlign w:val="bottom"/>
            <w:vMerge w:val="restart"/>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490.4</w:t>
            </w:r>
          </w:p>
        </w:tc>
        <w:tc>
          <w:tcPr>
            <w:tcW w:w="1380" w:type="dxa"/>
            <w:vAlign w:val="bottom"/>
            <w:tcBorders>
              <w:right w:val="single" w:sz="8" w:color="auto"/>
            </w:tcBorders>
            <w:gridSpan w:val="3"/>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340" w:type="dxa"/>
            <w:vAlign w:val="bottom"/>
            <w:tcBorders>
              <w:left w:val="single" w:sz="8" w:color="auto"/>
              <w:right w:val="single" w:sz="8" w:color="auto"/>
            </w:tcBorders>
            <w:shd w:val="clear" w:color="auto" w:fill="CCEEFF"/>
          </w:tcPr>
          <w:p>
            <w:pPr>
              <w:spacing w:after="0" w:line="135" w:lineRule="exact"/>
              <w:rPr>
                <w:sz w:val="20"/>
                <w:szCs w:val="20"/>
                <w:color w:val="auto"/>
              </w:rPr>
            </w:pPr>
            <w:r>
              <w:rPr>
                <w:rFonts w:ascii="Arial" w:cs="Arial" w:eastAsia="Arial" w:hAnsi="Arial"/>
                <w:sz w:val="12"/>
                <w:szCs w:val="12"/>
                <w:color w:val="auto"/>
              </w:rPr>
              <w:t>(Total Revenue less Contracts and Grants Revenue)</w:t>
            </w:r>
          </w:p>
        </w:tc>
        <w:tc>
          <w:tcPr>
            <w:tcW w:w="80" w:type="dxa"/>
            <w:vAlign w:val="bottom"/>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160" w:type="dxa"/>
            <w:vAlign w:val="bottom"/>
            <w:tcBorders>
              <w:right w:val="single" w:sz="8" w:color="auto"/>
            </w:tcBorders>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1140" w:type="dxa"/>
            <w:vAlign w:val="bottom"/>
            <w:tcBorders>
              <w:right w:val="single" w:sz="8" w:color="auto"/>
            </w:tcBorders>
            <w:gridSpan w:val="2"/>
            <w:vMerge w:val="continue"/>
            <w:shd w:val="clear" w:color="auto" w:fill="CCEEFF"/>
          </w:tcPr>
          <w:p>
            <w:pPr>
              <w:spacing w:after="0"/>
              <w:rPr>
                <w:sz w:val="11"/>
                <w:szCs w:val="11"/>
                <w:color w:val="auto"/>
              </w:rPr>
            </w:pPr>
          </w:p>
        </w:tc>
        <w:tc>
          <w:tcPr>
            <w:tcW w:w="1380" w:type="dxa"/>
            <w:vAlign w:val="bottom"/>
            <w:tcBorders>
              <w:right w:val="single" w:sz="8" w:color="auto"/>
            </w:tcBorders>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Net R&amp;D as % of Adjusted Revenue (Net R&amp;D Margin)</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Selling, General and Administrative</w:t>
      </w:r>
    </w:p>
    <w:p>
      <w:pPr>
        <w:spacing w:after="0" w:line="69" w:lineRule="exact"/>
        <w:rPr>
          <w:sz w:val="20"/>
          <w:szCs w:val="20"/>
          <w:color w:val="auto"/>
        </w:rPr>
      </w:pPr>
    </w:p>
    <w:p>
      <w:pPr>
        <w:ind w:left="8" w:right="300"/>
        <w:spacing w:after="0" w:line="361" w:lineRule="auto"/>
        <w:rPr>
          <w:sz w:val="20"/>
          <w:szCs w:val="20"/>
          <w:color w:val="auto"/>
        </w:rPr>
      </w:pPr>
      <w:r>
        <w:rPr>
          <w:rFonts w:ascii="Arial" w:cs="Arial" w:eastAsia="Arial" w:hAnsi="Arial"/>
          <w:sz w:val="10"/>
          <w:szCs w:val="10"/>
          <w:color w:val="auto"/>
        </w:rPr>
        <w:t>For full year 2018, selling, general and administrative expenses were $202.5 million, an increase of $59.6 million or 42% as compared to 2017. The increase primarily reflects an increase in acquisition-related costs (transaction and integration) associated with the PaxVax and Adapt acquisitions, compensation related costs from increased headcount and share-based compensation expense, and infrastructure improvement initiatives primarily related to IT systems.</w:t>
      </w:r>
    </w:p>
    <w:p>
      <w:pPr>
        <w:spacing w:after="0" w:line="5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Amortization of Intangible Assets</w:t>
      </w:r>
    </w:p>
    <w:p>
      <w:pPr>
        <w:spacing w:after="0" w:line="69" w:lineRule="exact"/>
        <w:rPr>
          <w:sz w:val="20"/>
          <w:szCs w:val="20"/>
          <w:color w:val="auto"/>
        </w:rPr>
      </w:pPr>
    </w:p>
    <w:p>
      <w:pPr>
        <w:ind w:left="8" w:right="40"/>
        <w:spacing w:after="0" w:line="261" w:lineRule="auto"/>
        <w:rPr>
          <w:sz w:val="20"/>
          <w:szCs w:val="20"/>
          <w:color w:val="auto"/>
        </w:rPr>
      </w:pPr>
      <w:r>
        <w:rPr>
          <w:rFonts w:ascii="Arial" w:cs="Arial" w:eastAsia="Arial" w:hAnsi="Arial"/>
          <w:sz w:val="12"/>
          <w:szCs w:val="12"/>
          <w:color w:val="auto"/>
        </w:rPr>
        <w:t>The Company has elected to reclassify amortization of intangible assets for full year 2018 from cost of product sales and contract manufacturing to amortization of intangible assets, and therefore the 2017 amounts have been reclassified to conform to the current period presentation on the Company’s consolidated statements of operations.</w:t>
      </w:r>
    </w:p>
    <w:p>
      <w:pPr>
        <w:spacing w:after="0" w:line="105" w:lineRule="exact"/>
        <w:rPr>
          <w:sz w:val="20"/>
          <w:szCs w:val="20"/>
          <w:color w:val="auto"/>
        </w:rPr>
      </w:pPr>
    </w:p>
    <w:p>
      <w:pPr>
        <w:ind w:left="8" w:right="320"/>
        <w:spacing w:after="0" w:line="261" w:lineRule="auto"/>
        <w:rPr>
          <w:sz w:val="20"/>
          <w:szCs w:val="20"/>
          <w:color w:val="auto"/>
        </w:rPr>
      </w:pPr>
      <w:r>
        <w:rPr>
          <w:rFonts w:ascii="Arial" w:cs="Arial" w:eastAsia="Arial" w:hAnsi="Arial"/>
          <w:sz w:val="12"/>
          <w:szCs w:val="12"/>
          <w:color w:val="auto"/>
        </w:rPr>
        <w:t>For full year 2018, amortization of intangible assets was $25.0 million versus $8.6 million as compared to 2017. The increase entirely reflects higher non-cash intangible asset amortization costs associated with the PaxVax and Adapt Pharma acquisitions, which both closed in the fourth quarter of 2018.</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Income Taxes</w:t>
      </w:r>
    </w:p>
    <w:p>
      <w:pPr>
        <w:spacing w:after="0" w:line="69" w:lineRule="exact"/>
        <w:rPr>
          <w:sz w:val="20"/>
          <w:szCs w:val="20"/>
          <w:color w:val="auto"/>
        </w:rPr>
      </w:pPr>
    </w:p>
    <w:p>
      <w:pPr>
        <w:ind w:left="8" w:right="40"/>
        <w:spacing w:after="0" w:line="261" w:lineRule="auto"/>
        <w:rPr>
          <w:sz w:val="20"/>
          <w:szCs w:val="20"/>
          <w:color w:val="auto"/>
        </w:rPr>
      </w:pPr>
      <w:r>
        <w:rPr>
          <w:rFonts w:ascii="Arial" w:cs="Arial" w:eastAsia="Arial" w:hAnsi="Arial"/>
          <w:sz w:val="12"/>
          <w:szCs w:val="12"/>
          <w:color w:val="auto"/>
        </w:rPr>
        <w:t>For full year 2018, the provision for income tax expense in the amount of $18.8 million includes the impact of state taxes, GILTI (Global Intangible Low Income Tax), acquisition transaction costs and other non-deductible items. These are partially offset by the benefit relating to finalizing the impact of Tax Reform and the stock option deduction, resulting in an effective tax rate of 23%.</w:t>
      </w:r>
    </w:p>
    <w:p>
      <w:pPr>
        <w:spacing w:after="0" w:line="105"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Net Income &amp; Adjusted Net Income</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For full year 2018, the Company recorded net income of $62.7 million, or $1.22 per diluted share, versus net income of $82.6 million, or $1.71 per diluted share, in 2017. </w:t>
      </w:r>
      <w:r>
        <w:rPr>
          <w:rFonts w:ascii="Arial" w:cs="Arial" w:eastAsia="Arial" w:hAnsi="Arial"/>
          <w:sz w:val="12"/>
          <w:szCs w:val="12"/>
          <w:i w:val="1"/>
          <w:iCs w:val="1"/>
          <w:color w:val="auto"/>
        </w:rPr>
        <w:t>(2)</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For full year 2018, the Company recorded adjusted net income of $119.6 million, or $2.33 per diluted share, versus adjusted net income of $95.7 million, or $1.90 per diluted share, in 2017. </w:t>
      </w:r>
      <w:r>
        <w:rPr>
          <w:rFonts w:ascii="Arial" w:cs="Arial" w:eastAsia="Arial" w:hAnsi="Arial"/>
          <w:sz w:val="12"/>
          <w:szCs w:val="12"/>
          <w:i w:val="1"/>
          <w:iCs w:val="1"/>
          <w:color w:val="auto"/>
        </w:rPr>
        <w:t>(1) (2)</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EBITDA &amp; Adjusted EBITDA</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For full year 2018, the Company recorded EBITDA of $152.7 million versus $166.0 million in 2017. </w:t>
      </w:r>
      <w:r>
        <w:rPr>
          <w:rFonts w:ascii="Arial" w:cs="Arial" w:eastAsia="Arial" w:hAnsi="Arial"/>
          <w:sz w:val="12"/>
          <w:szCs w:val="12"/>
          <w:i w:val="1"/>
          <w:iCs w:val="1"/>
          <w:color w:val="auto"/>
        </w:rPr>
        <w:t>(1)</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For full year 2018, the Company recorded adjusted EBITDA of $198.8 million versus $175.7 million in 2017. </w:t>
      </w:r>
      <w:r>
        <w:rPr>
          <w:rFonts w:ascii="Arial" w:cs="Arial" w:eastAsia="Arial" w:hAnsi="Arial"/>
          <w:sz w:val="12"/>
          <w:szCs w:val="12"/>
          <w:i w:val="1"/>
          <w:iCs w:val="1"/>
          <w:color w:val="auto"/>
        </w:rPr>
        <w:t>(1)</w:t>
      </w:r>
    </w:p>
    <w:p>
      <w:pPr>
        <w:spacing w:after="0" w:line="2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2019 FINANCIAL FORECAST (Reaffirmed)</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full year 2019, the company reaffirms its expectation of the following forecasted financial metrics:</w:t>
      </w:r>
    </w:p>
    <w:p>
      <w:pPr>
        <w:spacing w:after="0" w:line="111" w:lineRule="exact"/>
        <w:rPr>
          <w:sz w:val="20"/>
          <w:szCs w:val="20"/>
          <w:color w:val="auto"/>
        </w:rPr>
      </w:pPr>
    </w:p>
    <w:tbl>
      <w:tblPr>
        <w:tblLayout w:type="fixed"/>
        <w:tblInd w:w="18" w:type="dxa"/>
        <w:tblCellMar>
          <w:top w:w="0" w:type="dxa"/>
          <w:left w:w="0" w:type="dxa"/>
          <w:bottom w:w="0" w:type="dxa"/>
          <w:right w:w="0" w:type="dxa"/>
        </w:tblCellMar>
      </w:tblPr>
      <w:tr>
        <w:trPr>
          <w:trHeight w:val="140"/>
        </w:trPr>
        <w:tc>
          <w:tcPr>
            <w:tcW w:w="1014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2"/>
                <w:szCs w:val="12"/>
                <w:color w:val="auto"/>
              </w:rPr>
              <w:t>(in millions)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right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w w:val="98"/>
              </w:rPr>
              <w:t>FULL YEAR 2019</w:t>
            </w:r>
          </w:p>
        </w:tc>
        <w:tc>
          <w:tcPr>
            <w:tcW w:w="0" w:type="dxa"/>
            <w:vAlign w:val="bottom"/>
          </w:tcPr>
          <w:p>
            <w:pPr>
              <w:spacing w:after="0"/>
              <w:rPr>
                <w:sz w:val="1"/>
                <w:szCs w:val="1"/>
                <w:color w:val="auto"/>
              </w:rPr>
            </w:pPr>
          </w:p>
        </w:tc>
      </w:tr>
      <w:tr>
        <w:trPr>
          <w:trHeight w:val="85"/>
        </w:trPr>
        <w:tc>
          <w:tcPr>
            <w:tcW w:w="10140" w:type="dxa"/>
            <w:vAlign w:val="bottom"/>
            <w:tcBorders>
              <w:left w:val="single" w:sz="8" w:color="auto"/>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94"/>
              </w:rPr>
              <w:t>(As of 2/21/2019)</w:t>
            </w:r>
          </w:p>
        </w:tc>
        <w:tc>
          <w:tcPr>
            <w:tcW w:w="0" w:type="dxa"/>
            <w:vAlign w:val="bottom"/>
          </w:tcPr>
          <w:p>
            <w:pPr>
              <w:spacing w:after="0"/>
              <w:rPr>
                <w:sz w:val="1"/>
                <w:szCs w:val="1"/>
                <w:color w:val="auto"/>
              </w:rPr>
            </w:pPr>
          </w:p>
        </w:tc>
      </w:tr>
      <w:tr>
        <w:trPr>
          <w:trHeight w:val="63"/>
        </w:trPr>
        <w:tc>
          <w:tcPr>
            <w:tcW w:w="10140" w:type="dxa"/>
            <w:vAlign w:val="bottom"/>
            <w:tcBorders>
              <w:left w:val="single" w:sz="8" w:color="auto"/>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0140" w:type="dxa"/>
            <w:vAlign w:val="bottom"/>
            <w:tcBorders>
              <w:left w:val="single" w:sz="8" w:color="auto"/>
              <w:right w:val="single" w:sz="8" w:color="auto"/>
            </w:tcBorders>
            <w:shd w:val="clear" w:color="auto" w:fill="CCEEFF"/>
          </w:tcPr>
          <w:p>
            <w:pPr>
              <w:ind w:left="20"/>
              <w:spacing w:after="0" w:line="120" w:lineRule="exact"/>
              <w:rPr>
                <w:sz w:val="20"/>
                <w:szCs w:val="20"/>
                <w:color w:val="auto"/>
              </w:rPr>
            </w:pPr>
            <w:r>
              <w:rPr>
                <w:rFonts w:ascii="Arial" w:cs="Arial" w:eastAsia="Arial" w:hAnsi="Arial"/>
                <w:sz w:val="12"/>
                <w:szCs w:val="12"/>
                <w:b w:val="1"/>
                <w:bCs w:val="1"/>
                <w:color w:val="auto"/>
              </w:rPr>
              <w:t>Total Revenues</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right w:val="single" w:sz="8" w:color="auto"/>
            </w:tcBorders>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b w:val="1"/>
                <w:bCs w:val="1"/>
                <w:color w:val="auto"/>
              </w:rPr>
              <w:t>1,060 -- $1,140</w:t>
            </w:r>
          </w:p>
        </w:tc>
        <w:tc>
          <w:tcPr>
            <w:tcW w:w="0" w:type="dxa"/>
            <w:vAlign w:val="bottom"/>
          </w:tcPr>
          <w:p>
            <w:pPr>
              <w:spacing w:after="0"/>
              <w:rPr>
                <w:sz w:val="1"/>
                <w:szCs w:val="1"/>
                <w:color w:val="auto"/>
              </w:rPr>
            </w:pPr>
          </w:p>
        </w:tc>
      </w:tr>
      <w:tr>
        <w:trPr>
          <w:trHeight w:val="20"/>
        </w:trPr>
        <w:tc>
          <w:tcPr>
            <w:tcW w:w="101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 xml:space="preserve">Net Income </w:t>
            </w:r>
            <w:r>
              <w:rPr>
                <w:rFonts w:ascii="Arial" w:cs="Arial" w:eastAsia="Arial" w:hAnsi="Arial"/>
                <w:sz w:val="12"/>
                <w:szCs w:val="12"/>
                <w:i w:val="1"/>
                <w:iCs w:val="1"/>
                <w:color w:val="auto"/>
              </w:rPr>
              <w:t>(1)</w:t>
            </w: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80 -- $110</w:t>
            </w:r>
          </w:p>
        </w:tc>
        <w:tc>
          <w:tcPr>
            <w:tcW w:w="0" w:type="dxa"/>
            <w:vAlign w:val="bottom"/>
          </w:tcPr>
          <w:p>
            <w:pPr>
              <w:spacing w:after="0"/>
              <w:rPr>
                <w:sz w:val="1"/>
                <w:szCs w:val="1"/>
                <w:color w:val="auto"/>
              </w:rPr>
            </w:pPr>
          </w:p>
        </w:tc>
      </w:tr>
      <w:tr>
        <w:trPr>
          <w:trHeight w:val="142"/>
        </w:trPr>
        <w:tc>
          <w:tcPr>
            <w:tcW w:w="101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 xml:space="preserve">Adjusted Net Income </w:t>
            </w:r>
            <w:r>
              <w:rPr>
                <w:rFonts w:ascii="Arial" w:cs="Arial" w:eastAsia="Arial" w:hAnsi="Arial"/>
                <w:sz w:val="12"/>
                <w:szCs w:val="12"/>
                <w:i w:val="1"/>
                <w:iCs w:val="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150 -- $180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 xml:space="preserve">EBITDA </w:t>
            </w:r>
            <w:r>
              <w:rPr>
                <w:rFonts w:ascii="Arial" w:cs="Arial" w:eastAsia="Arial" w:hAnsi="Arial"/>
                <w:sz w:val="12"/>
                <w:szCs w:val="12"/>
                <w:i w:val="1"/>
                <w:iCs w:val="1"/>
                <w:color w:val="auto"/>
              </w:rPr>
              <w:t>(1)</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255 -- $285</w:t>
            </w:r>
          </w:p>
        </w:tc>
        <w:tc>
          <w:tcPr>
            <w:tcW w:w="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14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 xml:space="preserve">Adjusted EBITDA </w:t>
            </w:r>
            <w:r>
              <w:rPr>
                <w:rFonts w:ascii="Arial" w:cs="Arial" w:eastAsia="Arial" w:hAnsi="Arial"/>
                <w:sz w:val="12"/>
                <w:szCs w:val="12"/>
                <w:i w:val="1"/>
                <w:iCs w:val="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280 -- $310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company’s financial forecast for 2019 includes the impact of the following items:</w:t>
      </w:r>
    </w:p>
    <w:p>
      <w:pPr>
        <w:spacing w:after="0" w:line="7" w:lineRule="exact"/>
        <w:rPr>
          <w:sz w:val="20"/>
          <w:szCs w:val="20"/>
          <w:color w:val="auto"/>
        </w:rPr>
      </w:pPr>
    </w:p>
    <w:p>
      <w:pPr>
        <w:ind w:left="428" w:right="160" w:hanging="212"/>
        <w:spacing w:after="0" w:line="234" w:lineRule="auto"/>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continued deliveries of BioThrax to the Strategic National Stockpile (SNS) under the current procurement contract with the Centers for Disease Control and Prevention (CDC), (the contract and the SNS are now managed by the Office of the Assistant Secretary for Preparedness and Response (ASPR));</w:t>
      </w:r>
    </w:p>
    <w:p>
      <w:pPr>
        <w:spacing w:after="0" w:line="1" w:lineRule="exact"/>
        <w:rPr>
          <w:rFonts w:ascii="Arial" w:cs="Arial" w:eastAsia="Arial" w:hAnsi="Arial"/>
          <w:sz w:val="12"/>
          <w:szCs w:val="12"/>
          <w:color w:val="auto"/>
        </w:rPr>
      </w:pPr>
    </w:p>
    <w:p>
      <w:pPr>
        <w:ind w:left="428" w:right="460" w:hanging="212"/>
        <w:spacing w:after="0" w:line="234" w:lineRule="auto"/>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initial deliveries of NuThrax™ (anthrax vaccine adsorbed with CPG 7909 adjuvant) to the SNS following expected Emergency Use Authorization pre-approval by the U.S. Food and Drug Administration (FDA) under the company’s current development and procurement contract with the Biomedical Advanced Research and Development Authority (BARDA);</w:t>
      </w:r>
    </w:p>
    <w:p>
      <w:pPr>
        <w:spacing w:after="0" w:line="1" w:lineRule="exact"/>
        <w:rPr>
          <w:rFonts w:ascii="Arial" w:cs="Arial" w:eastAsia="Arial" w:hAnsi="Arial"/>
          <w:sz w:val="12"/>
          <w:szCs w:val="12"/>
          <w:color w:val="auto"/>
        </w:rPr>
      </w:pPr>
    </w:p>
    <w:p>
      <w:pPr>
        <w:ind w:left="428" w:hanging="212"/>
        <w:spacing w:after="0" w:line="187" w:lineRule="auto"/>
        <w:tabs>
          <w:tab w:leader="none" w:pos="428" w:val="left"/>
        </w:tabs>
        <w:numPr>
          <w:ilvl w:val="0"/>
          <w:numId w:val="4"/>
        </w:numPr>
        <w:rPr>
          <w:rFonts w:ascii="Arial" w:cs="Arial" w:eastAsia="Arial" w:hAnsi="Arial"/>
          <w:sz w:val="10"/>
          <w:szCs w:val="10"/>
          <w:color w:val="auto"/>
        </w:rPr>
      </w:pPr>
      <w:r>
        <w:rPr>
          <w:rFonts w:ascii="Arial" w:cs="Arial" w:eastAsia="Arial" w:hAnsi="Arial"/>
          <w:sz w:val="10"/>
          <w:szCs w:val="10"/>
          <w:color w:val="auto"/>
        </w:rPr>
        <w:t>full year sales of NARCAN Nasal Spray, Vaxchora</w:t>
      </w:r>
      <w:r>
        <w:rPr>
          <w:rFonts w:ascii="Arial" w:cs="Arial" w:eastAsia="Arial" w:hAnsi="Arial"/>
          <w:sz w:val="15"/>
          <w:szCs w:val="15"/>
          <w:color w:val="auto"/>
          <w:vertAlign w:val="superscript"/>
        </w:rPr>
        <w:t>®</w:t>
      </w:r>
      <w:r>
        <w:rPr>
          <w:rFonts w:ascii="Arial" w:cs="Arial" w:eastAsia="Arial" w:hAnsi="Arial"/>
          <w:sz w:val="10"/>
          <w:szCs w:val="10"/>
          <w:color w:val="auto"/>
        </w:rPr>
        <w:t xml:space="preserve"> (Cholera Vaccine, Live, Oral), and Vivotif</w:t>
      </w:r>
      <w:r>
        <w:rPr>
          <w:rFonts w:ascii="Arial" w:cs="Arial" w:eastAsia="Arial" w:hAnsi="Arial"/>
          <w:sz w:val="15"/>
          <w:szCs w:val="15"/>
          <w:color w:val="auto"/>
          <w:vertAlign w:val="superscript"/>
        </w:rPr>
        <w:t>®</w:t>
      </w:r>
      <w:r>
        <w:rPr>
          <w:rFonts w:ascii="Arial" w:cs="Arial" w:eastAsia="Arial" w:hAnsi="Arial"/>
          <w:sz w:val="10"/>
          <w:szCs w:val="10"/>
          <w:color w:val="auto"/>
        </w:rPr>
        <w:t xml:space="preserve"> (Typhoid Vaccine Live Oral Ty21a), all of which were acquired in the fourth quarter of 2018;</w:t>
      </w:r>
    </w:p>
    <w:p>
      <w:pPr>
        <w:ind w:left="428" w:hanging="212"/>
        <w:spacing w:after="0" w:line="234" w:lineRule="auto"/>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completion of deliveries of ACAM2000 to the SNS under the prior contract as well as initiation of new deliveries to the SNS under the anticipated follow-on procurement contract with the ASPR;</w:t>
      </w:r>
    </w:p>
    <w:p>
      <w:pPr>
        <w:ind w:left="428" w:hanging="212"/>
        <w:spacing w:after="0" w:line="234" w:lineRule="auto"/>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deliveries of raxibacumab to the SNS under the current procurement contract with BARDA;</w:t>
      </w:r>
    </w:p>
    <w:p>
      <w:pPr>
        <w:ind w:left="428" w:hanging="212"/>
        <w:spacing w:after="0" w:line="234" w:lineRule="auto"/>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domestic and international sales of the other medical countermeasures that comprise Other Product sales;</w:t>
      </w:r>
    </w:p>
    <w:p>
      <w:pPr>
        <w:ind w:left="428" w:hanging="212"/>
        <w:spacing w:after="0" w:line="234" w:lineRule="auto"/>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continued CDMO services revenue;</w:t>
      </w:r>
    </w:p>
    <w:p>
      <w:pPr>
        <w:ind w:left="428" w:hanging="212"/>
        <w:spacing w:after="0" w:line="234" w:lineRule="auto"/>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increased Contract &amp; Grant revenue due to anticipated increased work related to development projects funded by third parties; and</w:t>
      </w:r>
    </w:p>
    <w:p>
      <w:pPr>
        <w:ind w:left="428" w:right="380" w:hanging="212"/>
        <w:spacing w:after="0" w:line="243" w:lineRule="auto"/>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continued investment in discretionary development projects funded by the company targeting opportunities in medical countermeasures for existing and emerging infectious diseases, opioid overdose and other public health threats.</w:t>
      </w:r>
    </w:p>
    <w:p>
      <w:pPr>
        <w:spacing w:after="0" w:line="11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outlook for 2019 does not include estimates for potential new corporate development or other M&amp;A transactions.</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Q1 2019 REVENUE FORECAST (Reaffirmed)</w:t>
      </w:r>
    </w:p>
    <w:p>
      <w:pPr>
        <w:spacing w:after="0" w:line="11"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Q1 2019, the company reaffirms its expectation of total revenues of $185 to $205 million.</w:t>
      </w:r>
    </w:p>
    <w:p>
      <w:pPr>
        <w:sectPr>
          <w:pgSz w:w="11900" w:h="16845" w:orient="portrait"/>
          <w:cols w:equalWidth="0" w:num="1">
            <w:col w:w="11488"/>
          </w:cols>
          <w:pgMar w:left="212" w:top="334" w:right="199" w:bottom="0" w:gutter="0" w:footer="0" w:header="0"/>
        </w:sectPr>
      </w:pPr>
    </w:p>
    <w:bookmarkStart w:id="3" w:name="page4"/>
    <w:bookmarkEnd w:id="3"/>
    <w:p>
      <w:pPr>
        <w:spacing w:after="0"/>
        <w:rPr>
          <w:sz w:val="20"/>
          <w:szCs w:val="20"/>
          <w:color w:val="auto"/>
        </w:rPr>
      </w:pPr>
      <w:r>
        <w:rPr>
          <w:rFonts w:ascii="Arial" w:cs="Arial" w:eastAsia="Arial" w:hAnsi="Arial"/>
          <w:sz w:val="12"/>
          <w:szCs w:val="12"/>
          <w:b w:val="1"/>
          <w:bCs w:val="1"/>
          <w:color w:val="auto"/>
        </w:rPr>
        <w:t>FOOTNOTES</w:t>
      </w:r>
    </w:p>
    <w:p>
      <w:pPr>
        <w:spacing w:after="0" w:line="208" w:lineRule="exact"/>
        <w:rPr>
          <w:sz w:val="20"/>
          <w:szCs w:val="20"/>
          <w:color w:val="auto"/>
        </w:rPr>
      </w:pPr>
    </w:p>
    <w:p>
      <w:pPr>
        <w:ind w:left="860" w:hanging="652"/>
        <w:spacing w:after="0"/>
        <w:tabs>
          <w:tab w:leader="none" w:pos="86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See “Reconciliation of Net Income (Loss) to Adjusted Net Income, EBITDA and Adjusted EBITDA” for a definition of terms and a reconciliation table.</w:t>
      </w:r>
    </w:p>
    <w:p>
      <w:pPr>
        <w:spacing w:after="0" w:line="14" w:lineRule="exact"/>
        <w:rPr>
          <w:rFonts w:ascii="Arial" w:cs="Arial" w:eastAsia="Arial" w:hAnsi="Arial"/>
          <w:sz w:val="12"/>
          <w:szCs w:val="12"/>
          <w:i w:val="1"/>
          <w:iCs w:val="1"/>
          <w:color w:val="auto"/>
        </w:rPr>
      </w:pPr>
    </w:p>
    <w:p>
      <w:pPr>
        <w:ind w:left="860" w:hanging="652"/>
        <w:spacing w:after="0"/>
        <w:tabs>
          <w:tab w:leader="none" w:pos="86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See “Calculation of Diluted Earnings Per Share.”</w:t>
      </w: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 AND WEBCAST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1"/>
          <w:szCs w:val="11"/>
          <w:color w:val="auto"/>
        </w:rPr>
        <w:t>Company management will host a conference call at 5:00 pm (Eastern Time) today, February 21, 2019, to discuss these financial results. This conference call can be accessed live by telephone or through Emergent’s website: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Live Teleconference Information</w:t>
      </w:r>
      <w:r>
        <w:rPr>
          <w:rFonts w:ascii="Arial" w:cs="Arial" w:eastAsia="Arial" w:hAnsi="Arial"/>
          <w:sz w:val="12"/>
          <w:szCs w:val="12"/>
          <w:b w:val="1"/>
          <w:bCs w:val="1"/>
          <w:color w:val="auto"/>
        </w:rPr>
        <w: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Dial in: [US] </w:t>
      </w:r>
      <w:r>
        <w:rPr>
          <w:rFonts w:ascii="Arial" w:cs="Arial" w:eastAsia="Arial" w:hAnsi="Arial"/>
          <w:sz w:val="12"/>
          <w:szCs w:val="12"/>
          <w:b w:val="1"/>
          <w:bCs w:val="1"/>
          <w:color w:val="auto"/>
        </w:rPr>
        <w:t>(855) 766-6521</w:t>
      </w:r>
      <w:r>
        <w:rPr>
          <w:rFonts w:ascii="Arial" w:cs="Arial" w:eastAsia="Arial" w:hAnsi="Arial"/>
          <w:sz w:val="12"/>
          <w:szCs w:val="12"/>
          <w:color w:val="auto"/>
        </w:rPr>
        <w:t>; [International] (262) 912-6157</w:t>
      </w:r>
    </w:p>
    <w:p>
      <w:pPr>
        <w:spacing w:after="0" w:line="234" w:lineRule="auto"/>
        <w:rPr>
          <w:sz w:val="20"/>
          <w:szCs w:val="20"/>
          <w:color w:val="auto"/>
        </w:rPr>
      </w:pPr>
      <w:r>
        <w:rPr>
          <w:rFonts w:ascii="Arial" w:cs="Arial" w:eastAsia="Arial" w:hAnsi="Arial"/>
          <w:sz w:val="12"/>
          <w:szCs w:val="12"/>
          <w:color w:val="auto"/>
        </w:rPr>
        <w:t xml:space="preserve">Conference ID: </w:t>
      </w:r>
      <w:r>
        <w:rPr>
          <w:rFonts w:ascii="Arial" w:cs="Arial" w:eastAsia="Arial" w:hAnsi="Arial"/>
          <w:sz w:val="12"/>
          <w:szCs w:val="12"/>
          <w:b w:val="1"/>
          <w:bCs w:val="1"/>
          <w:color w:val="auto"/>
        </w:rPr>
        <w:t>2299983</w:t>
      </w:r>
    </w:p>
    <w:p>
      <w:pPr>
        <w:spacing w:after="0" w:line="235" w:lineRule="auto"/>
        <w:rPr>
          <w:sz w:val="20"/>
          <w:szCs w:val="20"/>
          <w:color w:val="auto"/>
        </w:rPr>
      </w:pPr>
      <w:r>
        <w:rPr>
          <w:rFonts w:ascii="Arial" w:cs="Arial" w:eastAsia="Arial" w:hAnsi="Arial"/>
          <w:sz w:val="12"/>
          <w:szCs w:val="12"/>
          <w:b w:val="1"/>
          <w:bCs w:val="1"/>
          <w:u w:val="single" w:color="auto"/>
          <w:color w:val="auto"/>
        </w:rPr>
        <w:t>Live Webcast Information</w:t>
      </w:r>
      <w:r>
        <w:rPr>
          <w:rFonts w:ascii="Arial" w:cs="Arial" w:eastAsia="Arial" w:hAnsi="Arial"/>
          <w:sz w:val="12"/>
          <w:szCs w:val="12"/>
          <w:b w:val="1"/>
          <w:bCs w:val="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Visit https://edge.media-server.com/m6/p/ow37uwh9 for the live webcast feed.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A replay of the call can be accessed at www.emergentbiosolutions.com under “Investors.”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EMERGENT BIOSOLUTIONS INC.</w:t>
      </w:r>
    </w:p>
    <w:p>
      <w:pPr>
        <w:spacing w:after="0" w:line="73" w:lineRule="exact"/>
        <w:rPr>
          <w:sz w:val="20"/>
          <w:szCs w:val="20"/>
          <w:color w:val="auto"/>
        </w:rPr>
      </w:pPr>
    </w:p>
    <w:p>
      <w:pPr>
        <w:ind w:right="600"/>
        <w:spacing w:after="0" w:line="248" w:lineRule="auto"/>
        <w:rPr>
          <w:sz w:val="20"/>
          <w:szCs w:val="20"/>
          <w:color w:val="auto"/>
        </w:rPr>
      </w:pPr>
      <w:r>
        <w:rPr>
          <w:rFonts w:ascii="Arial" w:cs="Arial" w:eastAsia="Arial" w:hAnsi="Arial"/>
          <w:sz w:val="12"/>
          <w:szCs w:val="12"/>
          <w:color w:val="auto"/>
        </w:rPr>
        <w:t>Emergent BioSolutions Inc. is a global life sciences company seeking to protect and enhance life by focusing on providing specialty products for civilian and military populations that address accidental, deliberate, and naturally occurring public health threats. We aspire to be a Fortune 500 company recognized for protecting and enhancing life, driving innovation, and living our values. Additional information about the company may be found at www.emergentbiosolutions.com. Find us on LinkedIn and follow us on Twitter @emergentbiosolu and Instagram @life_at_emergent.</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SAFE HARBOR STATEMENT</w:t>
      </w:r>
    </w:p>
    <w:p>
      <w:pPr>
        <w:spacing w:after="0" w:line="73" w:lineRule="exact"/>
        <w:rPr>
          <w:sz w:val="20"/>
          <w:szCs w:val="20"/>
          <w:color w:val="auto"/>
        </w:rPr>
      </w:pPr>
    </w:p>
    <w:p>
      <w:pPr>
        <w:ind w:right="140"/>
        <w:spacing w:after="0" w:line="262" w:lineRule="auto"/>
        <w:rPr>
          <w:sz w:val="20"/>
          <w:szCs w:val="20"/>
          <w:color w:val="auto"/>
        </w:rPr>
      </w:pPr>
      <w:r>
        <w:rPr>
          <w:rFonts w:ascii="Arial" w:cs="Arial" w:eastAsia="Arial" w:hAnsi="Arial"/>
          <w:sz w:val="11"/>
          <w:szCs w:val="11"/>
          <w:color w:val="auto"/>
        </w:rPr>
        <w:t>This press release includes forward-looking statements within the meaning of the Private Securities Litigation Reform Act of 1995. Any statements, other than statements of historical fact, including, without limitation, our financial guidance and forecasts, statements regarding the anticipated financial implications of our acquisitions of PaxVax and Adapt Pharma and any other statements containing the words "will," "believes," "expects," "anticipates," "intends," "plans," "targets," "forecasts," "estimates" and similar expressions in conjunction with, among other things, discussions of the Company's outlook, financial performance or financial condition, product sales, government development or procurement contracts or awards, government appropriations, manufacturing capabilities, continued deliveries of BioThrax to the SNS, Emergency Use Authorization (EUA) pre-approval for NuThrax and initial deliveries of NuThrax to the SNS following EUA pre-approval, anticipated sales of NARCAN Nasal Spray, Vivotif and Vaxchora, completion of deliveries under a previous commitment and initiation of new deliveries of ACAM2000 to the SNS under an anticipated follow-on contract, and development projects funded by third parties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1"/>
          <w:szCs w:val="11"/>
          <w:color w:val="auto"/>
        </w:rPr>
        <w:t>There are a number of important factors that could cause the Company's actual results to differ materially from those indicated by such forward-looking statements, including the availability of funding and the exercise of options under our BioThrax and NuThrax contracts; appropriations for the procurement of our products; our ability to secure EUA pre-authorization approval and licensure of NuThrax from the FDA within the anticipated timeframe, if at all; availability of funding for our U.S. government grants and contracts; our ability to successfully integrate and develop the operations, products or product candidates, programs, and personnel of any entities, businesses or products that we acquire, including our recently completed acquisitions of PaxVax and Adapt; our ability to complete expected deliveries of BioThrax, ACAM2000 and raxibacumab; our ability to establish a multi-year follow-on contract for ACAM2000; our ability to advance the technology transfer of raxibacumab to the Company’s Bayview facility; our ability to identify and acquire or in-license products or product candidates that satisfy our selection criteria; our ability and the ability of our collaborators to protect our intellectual property rights; whether anticipated synergies and benefits from an acquisition or in-license will be realized within expected time periods, if at all; our ability to utilize our manufacturing facilities and expand our capabilities; our ability and the ability of our contractors and suppliers to maintain compliance with Current Good Manufacturing Practices and other regulatory obligations; the results of regulatory inspections; possible other future material legal proceedings; the success of our ongoing and planned development programs; the timing and results of clinical trials; the timing of and our ability to obtain and maintain regulatory approvals for our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Securities and Exchange Commission, when evaluating our forward-looking statements.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60" w:type="dxa"/>
            <w:vAlign w:val="bottom"/>
          </w:tcPr>
          <w:p>
            <w:pPr>
              <w:spacing w:after="0"/>
              <w:rPr>
                <w:sz w:val="13"/>
                <w:szCs w:val="13"/>
                <w:color w:val="auto"/>
              </w:rPr>
            </w:pPr>
          </w:p>
        </w:tc>
        <w:tc>
          <w:tcPr>
            <w:tcW w:w="7620" w:type="dxa"/>
            <w:vAlign w:val="bottom"/>
          </w:tcPr>
          <w:p>
            <w:pPr>
              <w:ind w:left="1780"/>
              <w:spacing w:after="0"/>
              <w:rPr>
                <w:sz w:val="20"/>
                <w:szCs w:val="20"/>
                <w:color w:val="auto"/>
              </w:rPr>
            </w:pPr>
            <w:r>
              <w:rPr>
                <w:rFonts w:ascii="Arial" w:cs="Arial" w:eastAsia="Arial" w:hAnsi="Arial"/>
                <w:sz w:val="12"/>
                <w:szCs w:val="12"/>
                <w:b w:val="1"/>
                <w:bCs w:val="1"/>
                <w:color w:val="auto"/>
              </w:rPr>
              <w:t>###</w:t>
            </w:r>
          </w:p>
        </w:tc>
      </w:tr>
      <w:tr>
        <w:trPr>
          <w:trHeight w:val="252"/>
        </w:trPr>
        <w:tc>
          <w:tcPr>
            <w:tcW w:w="3860" w:type="dxa"/>
            <w:vAlign w:val="bottom"/>
          </w:tcPr>
          <w:p>
            <w:pPr>
              <w:spacing w:after="0"/>
              <w:rPr>
                <w:sz w:val="20"/>
                <w:szCs w:val="20"/>
                <w:color w:val="auto"/>
              </w:rPr>
            </w:pPr>
            <w:r>
              <w:rPr>
                <w:rFonts w:ascii="Arial" w:cs="Arial" w:eastAsia="Arial" w:hAnsi="Arial"/>
                <w:sz w:val="12"/>
                <w:szCs w:val="12"/>
                <w:b w:val="1"/>
                <w:bCs w:val="1"/>
                <w:color w:val="auto"/>
              </w:rPr>
              <w:t>Investor Contact</w:t>
            </w:r>
          </w:p>
        </w:tc>
        <w:tc>
          <w:tcPr>
            <w:tcW w:w="7620" w:type="dxa"/>
            <w:vAlign w:val="bottom"/>
          </w:tcPr>
          <w:p>
            <w:pPr>
              <w:ind w:left="1880"/>
              <w:spacing w:after="0"/>
              <w:rPr>
                <w:sz w:val="20"/>
                <w:szCs w:val="20"/>
                <w:color w:val="auto"/>
              </w:rPr>
            </w:pPr>
            <w:r>
              <w:rPr>
                <w:rFonts w:ascii="Arial" w:cs="Arial" w:eastAsia="Arial" w:hAnsi="Arial"/>
                <w:sz w:val="12"/>
                <w:szCs w:val="12"/>
                <w:b w:val="1"/>
                <w:bCs w:val="1"/>
                <w:color w:val="auto"/>
              </w:rPr>
              <w:t>Media Contact</w:t>
            </w: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2"/>
                <w:szCs w:val="12"/>
                <w:color w:val="auto"/>
              </w:rPr>
              <w:t>Robert Burrows</w:t>
            </w:r>
          </w:p>
        </w:tc>
        <w:tc>
          <w:tcPr>
            <w:tcW w:w="7620" w:type="dxa"/>
            <w:vAlign w:val="bottom"/>
          </w:tcPr>
          <w:p>
            <w:pPr>
              <w:ind w:left="1880"/>
              <w:spacing w:after="0" w:line="135" w:lineRule="exact"/>
              <w:rPr>
                <w:sz w:val="20"/>
                <w:szCs w:val="20"/>
                <w:color w:val="auto"/>
              </w:rPr>
            </w:pPr>
            <w:r>
              <w:rPr>
                <w:rFonts w:ascii="Arial" w:cs="Arial" w:eastAsia="Arial" w:hAnsi="Arial"/>
                <w:sz w:val="12"/>
                <w:szCs w:val="12"/>
                <w:color w:val="auto"/>
              </w:rPr>
              <w:t>Lynn Kieffer</w:t>
            </w: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2"/>
                <w:szCs w:val="12"/>
                <w:color w:val="auto"/>
              </w:rPr>
              <w:t>Vice President, Investor Relations</w:t>
            </w:r>
          </w:p>
        </w:tc>
        <w:tc>
          <w:tcPr>
            <w:tcW w:w="7620" w:type="dxa"/>
            <w:vAlign w:val="bottom"/>
          </w:tcPr>
          <w:p>
            <w:pPr>
              <w:ind w:left="1880"/>
              <w:spacing w:after="0" w:line="135" w:lineRule="exact"/>
              <w:rPr>
                <w:sz w:val="20"/>
                <w:szCs w:val="20"/>
                <w:color w:val="auto"/>
              </w:rPr>
            </w:pPr>
            <w:r>
              <w:rPr>
                <w:rFonts w:ascii="Arial" w:cs="Arial" w:eastAsia="Arial" w:hAnsi="Arial"/>
                <w:sz w:val="12"/>
                <w:szCs w:val="12"/>
                <w:color w:val="auto"/>
              </w:rPr>
              <w:t>Vice President, Corporate Communications</w:t>
            </w: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2"/>
                <w:szCs w:val="12"/>
                <w:color w:val="auto"/>
              </w:rPr>
              <w:t>(o) 240/631-3280; (m) 240/413-1917</w:t>
            </w:r>
          </w:p>
        </w:tc>
        <w:tc>
          <w:tcPr>
            <w:tcW w:w="7620" w:type="dxa"/>
            <w:vAlign w:val="bottom"/>
          </w:tcPr>
          <w:p>
            <w:pPr>
              <w:ind w:left="1880"/>
              <w:spacing w:after="0" w:line="135" w:lineRule="exact"/>
              <w:rPr>
                <w:sz w:val="20"/>
                <w:szCs w:val="20"/>
                <w:color w:val="auto"/>
              </w:rPr>
            </w:pPr>
            <w:r>
              <w:rPr>
                <w:rFonts w:ascii="Arial" w:cs="Arial" w:eastAsia="Arial" w:hAnsi="Arial"/>
                <w:sz w:val="12"/>
                <w:szCs w:val="12"/>
                <w:color w:val="auto"/>
              </w:rPr>
              <w:t>(o) 240/631-3391</w:t>
            </w:r>
          </w:p>
        </w:tc>
      </w:tr>
      <w:tr>
        <w:trPr>
          <w:trHeight w:val="153"/>
        </w:trPr>
        <w:tc>
          <w:tcPr>
            <w:tcW w:w="3860" w:type="dxa"/>
            <w:vAlign w:val="bottom"/>
          </w:tcPr>
          <w:p>
            <w:pPr>
              <w:spacing w:after="0"/>
              <w:rPr>
                <w:sz w:val="20"/>
                <w:szCs w:val="20"/>
                <w:color w:val="auto"/>
              </w:rPr>
            </w:pPr>
            <w:r>
              <w:rPr>
                <w:rFonts w:ascii="Arial" w:cs="Arial" w:eastAsia="Arial" w:hAnsi="Arial"/>
                <w:sz w:val="12"/>
                <w:szCs w:val="12"/>
                <w:color w:val="auto"/>
              </w:rPr>
              <w:t>burrowsr@ebsi.com</w:t>
            </w:r>
          </w:p>
        </w:tc>
        <w:tc>
          <w:tcPr>
            <w:tcW w:w="7620" w:type="dxa"/>
            <w:vAlign w:val="bottom"/>
          </w:tcPr>
          <w:p>
            <w:pPr>
              <w:ind w:left="1880"/>
              <w:spacing w:after="0"/>
              <w:rPr>
                <w:sz w:val="20"/>
                <w:szCs w:val="20"/>
                <w:color w:val="auto"/>
              </w:rPr>
            </w:pPr>
            <w:r>
              <w:rPr>
                <w:rFonts w:ascii="Arial" w:cs="Arial" w:eastAsia="Arial" w:hAnsi="Arial"/>
                <w:sz w:val="12"/>
                <w:szCs w:val="12"/>
                <w:color w:val="auto"/>
              </w:rPr>
              <w:t>kiefferl@ebsi.com</w:t>
            </w:r>
          </w:p>
        </w:tc>
      </w:tr>
      <w:tr>
        <w:trPr>
          <w:trHeight w:val="270"/>
        </w:trPr>
        <w:tc>
          <w:tcPr>
            <w:tcW w:w="3860" w:type="dxa"/>
            <w:vAlign w:val="bottom"/>
          </w:tcPr>
          <w:p>
            <w:pPr>
              <w:spacing w:after="0"/>
              <w:rPr>
                <w:sz w:val="20"/>
                <w:szCs w:val="20"/>
                <w:color w:val="auto"/>
              </w:rPr>
            </w:pPr>
            <w:r>
              <w:rPr>
                <w:rFonts w:ascii="Arial" w:cs="Arial" w:eastAsia="Arial" w:hAnsi="Arial"/>
                <w:sz w:val="12"/>
                <w:szCs w:val="12"/>
                <w:b w:val="1"/>
                <w:bCs w:val="1"/>
                <w:color w:val="auto"/>
              </w:rPr>
              <w:t>FINANCIAL STATEMENTS FOLLOW</w:t>
            </w:r>
          </w:p>
        </w:tc>
        <w:tc>
          <w:tcPr>
            <w:tcW w:w="7620" w:type="dxa"/>
            <w:vAlign w:val="bottom"/>
          </w:tcPr>
          <w:p>
            <w:pPr>
              <w:spacing w:after="0"/>
              <w:rPr>
                <w:sz w:val="23"/>
                <w:szCs w:val="23"/>
                <w:color w:val="auto"/>
              </w:rPr>
            </w:pPr>
          </w:p>
        </w:tc>
      </w:tr>
      <w:tr>
        <w:trPr>
          <w:trHeight w:val="243"/>
        </w:trPr>
        <w:tc>
          <w:tcPr>
            <w:tcW w:w="3860" w:type="dxa"/>
            <w:vAlign w:val="bottom"/>
            <w:tcBorders>
              <w:bottom w:val="single" w:sz="8" w:color="auto"/>
            </w:tcBorders>
          </w:tcPr>
          <w:p>
            <w:pPr>
              <w:spacing w:after="0"/>
              <w:rPr>
                <w:sz w:val="21"/>
                <w:szCs w:val="21"/>
                <w:color w:val="auto"/>
              </w:rPr>
            </w:pPr>
          </w:p>
        </w:tc>
        <w:tc>
          <w:tcPr>
            <w:tcW w:w="7620" w:type="dxa"/>
            <w:vAlign w:val="bottom"/>
            <w:tcBorders>
              <w:bottom w:val="single" w:sz="8" w:color="auto"/>
            </w:tcBorders>
          </w:tcPr>
          <w:p>
            <w:pPr>
              <w:spacing w:after="0"/>
              <w:rPr>
                <w:sz w:val="21"/>
                <w:szCs w:val="21"/>
                <w:color w:val="auto"/>
              </w:rPr>
            </w:pPr>
          </w:p>
        </w:tc>
      </w:tr>
    </w:tbl>
    <w:p>
      <w:pPr>
        <w:sectPr>
          <w:pgSz w:w="11900" w:h="16838" w:orient="portrait"/>
          <w:cols w:equalWidth="0" w:num="1">
            <w:col w:w="11480"/>
          </w:cols>
          <w:pgMar w:left="220" w:top="397" w:right="199" w:bottom="1440" w:gutter="0" w:footer="0" w:header="0"/>
        </w:sectPr>
      </w:pPr>
    </w:p>
    <w:bookmarkStart w:id="4" w:name="page5"/>
    <w:bookmarkEnd w:id="4"/>
    <w:p>
      <w:pPr>
        <w:jc w:val="center"/>
        <w:ind w:right="120"/>
        <w:spacing w:after="0"/>
        <w:rPr>
          <w:sz w:val="20"/>
          <w:szCs w:val="20"/>
          <w:color w:val="auto"/>
        </w:rPr>
      </w:pPr>
      <w:r>
        <w:rPr>
          <w:rFonts w:ascii="Arial" w:cs="Arial" w:eastAsia="Arial" w:hAnsi="Arial"/>
          <w:sz w:val="12"/>
          <w:szCs w:val="12"/>
          <w:b w:val="1"/>
          <w:bCs w:val="1"/>
          <w:color w:val="auto"/>
        </w:rPr>
        <w:t>Emergent BioSolutions Inc. and Subsidiaries</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(in millions, except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2018</w:t>
            </w:r>
          </w:p>
        </w:tc>
        <w:tc>
          <w:tcPr>
            <w:tcW w:w="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8"/>
              </w:rPr>
              <w:t>December 31, 2017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20" w:type="dxa"/>
            <w:vAlign w:val="bottom"/>
          </w:tcPr>
          <w:p>
            <w:pPr>
              <w:ind w:left="4120"/>
              <w:spacing w:after="0"/>
              <w:rPr>
                <w:sz w:val="20"/>
                <w:szCs w:val="20"/>
                <w:color w:val="auto"/>
              </w:rPr>
            </w:pPr>
            <w:r>
              <w:rPr>
                <w:rFonts w:ascii="Arial" w:cs="Arial" w:eastAsia="Arial" w:hAnsi="Arial"/>
                <w:sz w:val="12"/>
                <w:szCs w:val="12"/>
                <w:b w:val="1"/>
                <w:bCs w:val="1"/>
                <w:color w:val="auto"/>
              </w:rPr>
              <w:t>ASSETS</w:t>
            </w: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(Unaudited)</w:t>
            </w: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840" w:type="dxa"/>
            <w:vAlign w:val="bottom"/>
            <w:gridSpan w:val="2"/>
          </w:tcPr>
          <w:p>
            <w:pPr>
              <w:spacing w:after="0" w:line="135" w:lineRule="exact"/>
              <w:rPr>
                <w:sz w:val="20"/>
                <w:szCs w:val="20"/>
                <w:color w:val="auto"/>
              </w:rPr>
            </w:pPr>
            <w:r>
              <w:rPr>
                <w:rFonts w:ascii="Arial" w:cs="Arial" w:eastAsia="Arial" w:hAnsi="Arial"/>
                <w:sz w:val="12"/>
                <w:szCs w:val="12"/>
                <w:color w:val="auto"/>
              </w:rPr>
              <w:t>Current assets:</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Restricted cash</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0.2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Accounts receivable, net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Inventories</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205.8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142.8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Income tax receivable, net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Prepaid expenses and other current assets</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31.5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current assets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620.8</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Property, plant and equipment, net</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510.2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407.2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Intangible assets, net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761.6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In-process research and development</w:t>
            </w: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50.0</w:t>
            </w: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Goodwill</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Deferred tax assets, net</w:t>
            </w: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13.4</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13.7</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2,229.4</w:t>
            </w: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1,070.2</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820" w:type="dxa"/>
            <w:vAlign w:val="bottom"/>
            <w:shd w:val="clear" w:color="auto" w:fill="CCEEFF"/>
          </w:tcPr>
          <w:p>
            <w:pPr>
              <w:ind w:left="3040"/>
              <w:spacing w:after="0" w:line="120" w:lineRule="exact"/>
              <w:rPr>
                <w:sz w:val="20"/>
                <w:szCs w:val="20"/>
                <w:color w:val="auto"/>
              </w:rPr>
            </w:pPr>
            <w:r>
              <w:rPr>
                <w:rFonts w:ascii="Arial" w:cs="Arial" w:eastAsia="Arial" w:hAnsi="Arial"/>
                <w:sz w:val="12"/>
                <w:szCs w:val="12"/>
                <w:b w:val="1"/>
                <w:bCs w:val="1"/>
                <w:color w:val="auto"/>
              </w:rPr>
              <w:t>LIABILITIES AND STOCKHOLDERS' EQUITY</w:t>
            </w: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spacing w:after="0"/>
              <w:rPr>
                <w:sz w:val="20"/>
                <w:szCs w:val="20"/>
                <w:color w:val="auto"/>
              </w:rPr>
            </w:pPr>
            <w:r>
              <w:rPr>
                <w:rFonts w:ascii="Arial" w:cs="Arial" w:eastAsia="Arial" w:hAnsi="Arial"/>
                <w:sz w:val="12"/>
                <w:szCs w:val="12"/>
                <w:color w:val="auto"/>
              </w:rPr>
              <w:t>Current liabilities:</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Accrued expenses and other current liabilities</w:t>
            </w: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30.7</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Accrued compensation</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58.2</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Long-term indebtedness, current portion</w:t>
            </w: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10.1</w:t>
            </w: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Contingent consideration, current portion</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Income taxes payable, net</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Deferred revenue, current portion</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160"/>
              <w:spacing w:after="0"/>
              <w:rPr>
                <w:sz w:val="20"/>
                <w:szCs w:val="20"/>
                <w:color w:val="auto"/>
              </w:rPr>
            </w:pPr>
            <w:r>
              <w:rPr>
                <w:rFonts w:ascii="Arial" w:cs="Arial" w:eastAsia="Arial" w:hAnsi="Arial"/>
                <w:sz w:val="12"/>
                <w:szCs w:val="12"/>
                <w:color w:val="auto"/>
              </w:rPr>
              <w:t>Total current liabilities</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200.4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100.1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Contingent consideration, net of current portion</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54.4</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Long-term indebtedness, net of current portion</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784.5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Deferred tax liability, net</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67.5</w:t>
            </w: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Income taxes payable</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Deferred revenue, net of current portion</w:t>
            </w: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62.5</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Other liabilities</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38.0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Total liabilities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1,218.5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157.9</w:t>
            </w:r>
          </w:p>
        </w:tc>
        <w:tc>
          <w:tcPr>
            <w:tcW w:w="0" w:type="dxa"/>
            <w:vAlign w:val="bottom"/>
          </w:tcPr>
          <w:p>
            <w:pPr>
              <w:spacing w:after="0"/>
              <w:rPr>
                <w:sz w:val="1"/>
                <w:szCs w:val="1"/>
                <w:color w:val="auto"/>
              </w:rPr>
            </w:pPr>
          </w:p>
        </w:tc>
      </w:tr>
      <w:tr>
        <w:trPr>
          <w:trHeight w:val="144"/>
        </w:trPr>
        <w:tc>
          <w:tcPr>
            <w:tcW w:w="88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Preferred stock, $0.001 par value; 15.0 shares authorized, 0 shares issued and outstanding at both December 31, 2018 and 2017</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820" w:type="dxa"/>
            <w:vAlign w:val="bottom"/>
            <w:shd w:val="clear" w:color="auto" w:fill="CCEEFF"/>
          </w:tcPr>
          <w:p>
            <w:pPr>
              <w:ind w:left="60"/>
              <w:spacing w:after="0" w:line="90" w:lineRule="exact"/>
              <w:rPr>
                <w:sz w:val="20"/>
                <w:szCs w:val="20"/>
                <w:color w:val="auto"/>
              </w:rPr>
            </w:pPr>
            <w:r>
              <w:rPr>
                <w:rFonts w:ascii="Arial" w:cs="Arial" w:eastAsia="Arial" w:hAnsi="Arial"/>
                <w:sz w:val="10"/>
                <w:szCs w:val="10"/>
                <w:color w:val="auto"/>
              </w:rPr>
              <w:t>Common stock, $0.001 par value; 200.0 shares authorized, 52.4 shares issued and 51.2 shares outstanding at December 31, 2018; 50.6 shares issued and 49.4 shares outstanding at</w:t>
            </w:r>
          </w:p>
        </w:tc>
        <w:tc>
          <w:tcPr>
            <w:tcW w:w="8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2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December 31, 2017</w:t>
            </w:r>
          </w:p>
        </w:tc>
        <w:tc>
          <w:tcPr>
            <w:tcW w:w="80" w:type="dxa"/>
            <w:vAlign w:val="bottom"/>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Treasury stock, at cost, 1.2 common shares at both December 31, 2018 and 2017</w:t>
            </w: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(39.6)</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(39.5)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Additional paid-in capital</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60"/>
              <w:spacing w:after="0"/>
              <w:rPr>
                <w:sz w:val="20"/>
                <w:szCs w:val="20"/>
                <w:color w:val="auto"/>
              </w:rPr>
            </w:pPr>
            <w:r>
              <w:rPr>
                <w:rFonts w:ascii="Arial" w:cs="Arial" w:eastAsia="Arial" w:hAnsi="Arial"/>
                <w:sz w:val="12"/>
                <w:szCs w:val="12"/>
                <w:color w:val="auto"/>
              </w:rPr>
              <w:t>Accumulated other comprehensive loss</w:t>
            </w: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(5.5)</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60"/>
              <w:spacing w:after="0"/>
              <w:rPr>
                <w:sz w:val="20"/>
                <w:szCs w:val="20"/>
                <w:color w:val="auto"/>
              </w:rPr>
            </w:pPr>
            <w:r>
              <w:rPr>
                <w:rFonts w:ascii="Arial" w:cs="Arial" w:eastAsia="Arial" w:hAnsi="Arial"/>
                <w:sz w:val="12"/>
                <w:szCs w:val="12"/>
                <w:color w:val="auto"/>
              </w:rPr>
              <w:t>Retained earnings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367.3</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ind w:left="160"/>
              <w:spacing w:after="0"/>
              <w:rPr>
                <w:sz w:val="20"/>
                <w:szCs w:val="20"/>
                <w:color w:val="auto"/>
              </w:rPr>
            </w:pPr>
            <w:r>
              <w:rPr>
                <w:rFonts w:ascii="Arial" w:cs="Arial" w:eastAsia="Arial" w:hAnsi="Arial"/>
                <w:sz w:val="12"/>
                <w:szCs w:val="12"/>
                <w:color w:val="auto"/>
              </w:rPr>
              <w:t>Total stockholders’ equity</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1,010.9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912.3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Total liabilities and stockholders’ equity</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2,229.4</w:t>
            </w:r>
          </w:p>
        </w:tc>
        <w:tc>
          <w:tcPr>
            <w:tcW w:w="2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1,070.2</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235" w:right="199" w:bottom="1440" w:gutter="0" w:footer="0" w:header="0"/>
        </w:sectPr>
      </w:pPr>
    </w:p>
    <w:bookmarkStart w:id="5" w:name="page6"/>
    <w:bookmarkEnd w:id="5"/>
    <w:p>
      <w:pPr>
        <w:jc w:val="center"/>
        <w:ind w:right="120"/>
        <w:spacing w:after="0"/>
        <w:rPr>
          <w:sz w:val="20"/>
          <w:szCs w:val="20"/>
          <w:color w:val="auto"/>
        </w:rPr>
      </w:pPr>
      <w:r>
        <w:rPr>
          <w:rFonts w:ascii="Arial" w:cs="Arial" w:eastAsia="Arial" w:hAnsi="Arial"/>
          <w:sz w:val="12"/>
          <w:szCs w:val="12"/>
          <w:b w:val="1"/>
          <w:bCs w:val="1"/>
          <w:color w:val="auto"/>
        </w:rPr>
        <w:t>Emergent BioSolutions Inc. and Subsidiaries</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(in millions,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840" w:type="dxa"/>
            <w:vAlign w:val="bottom"/>
          </w:tcPr>
          <w:p>
            <w:pPr>
              <w:spacing w:after="0"/>
              <w:rPr>
                <w:sz w:val="12"/>
                <w:szCs w:val="12"/>
                <w:color w:val="auto"/>
              </w:rPr>
            </w:pPr>
          </w:p>
        </w:tc>
        <w:tc>
          <w:tcPr>
            <w:tcW w:w="2220" w:type="dxa"/>
            <w:vAlign w:val="bottom"/>
            <w:gridSpan w:val="4"/>
          </w:tcPr>
          <w:p>
            <w:pPr>
              <w:jc w:val="right"/>
              <w:spacing w:after="0"/>
              <w:rPr>
                <w:sz w:val="20"/>
                <w:szCs w:val="20"/>
                <w:color w:val="auto"/>
              </w:rPr>
            </w:pPr>
            <w:r>
              <w:rPr>
                <w:rFonts w:ascii="Arial" w:cs="Arial" w:eastAsia="Arial" w:hAnsi="Arial"/>
                <w:sz w:val="12"/>
                <w:szCs w:val="12"/>
                <w:b w:val="1"/>
                <w:bCs w:val="1"/>
                <w:color w:val="auto"/>
              </w:rPr>
              <w:t>Three Months Ended December 31,</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840" w:type="dxa"/>
            <w:vAlign w:val="bottom"/>
          </w:tcPr>
          <w:p>
            <w:pPr>
              <w:spacing w:after="0"/>
              <w:rPr>
                <w:sz w:val="13"/>
                <w:szCs w:val="13"/>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rPr>
              <w:t>2018</w:t>
            </w: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rPr>
              <w:t>2017</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840" w:type="dxa"/>
            <w:vAlign w:val="bottom"/>
            <w:vMerge w:val="restart"/>
          </w:tcPr>
          <w:p>
            <w:pPr>
              <w:spacing w:after="0"/>
              <w:rPr>
                <w:sz w:val="20"/>
                <w:szCs w:val="20"/>
                <w:color w:val="auto"/>
              </w:rPr>
            </w:pPr>
            <w:r>
              <w:rPr>
                <w:rFonts w:ascii="Arial" w:cs="Arial" w:eastAsia="Arial" w:hAnsi="Arial"/>
                <w:sz w:val="12"/>
                <w:szCs w:val="12"/>
                <w:b w:val="1"/>
                <w:bCs w:val="1"/>
                <w:color w:val="auto"/>
              </w:rPr>
              <w:t>Revenues:</w:t>
            </w:r>
          </w:p>
        </w:tc>
        <w:tc>
          <w:tcPr>
            <w:tcW w:w="800" w:type="dxa"/>
            <w:vAlign w:val="bottom"/>
          </w:tcPr>
          <w:p>
            <w:pPr>
              <w:spacing w:after="0"/>
              <w:rPr>
                <w:sz w:val="13"/>
                <w:szCs w:val="13"/>
                <w:color w:val="auto"/>
              </w:rPr>
            </w:pPr>
          </w:p>
        </w:tc>
        <w:tc>
          <w:tcPr>
            <w:tcW w:w="1420" w:type="dxa"/>
            <w:vAlign w:val="bottom"/>
            <w:gridSpan w:val="3"/>
          </w:tcPr>
          <w:p>
            <w:pPr>
              <w:jc w:val="right"/>
              <w:ind w:right="588"/>
              <w:spacing w:after="0"/>
              <w:rPr>
                <w:sz w:val="20"/>
                <w:szCs w:val="20"/>
                <w:color w:val="auto"/>
              </w:rPr>
            </w:pPr>
            <w:r>
              <w:rPr>
                <w:rFonts w:ascii="Arial" w:cs="Arial" w:eastAsia="Arial" w:hAnsi="Arial"/>
                <w:sz w:val="12"/>
                <w:szCs w:val="12"/>
                <w:b w:val="1"/>
                <w:bCs w:val="1"/>
                <w:color w:val="auto"/>
              </w:rPr>
              <w:t>(Unaudited)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88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Product sales</w:t>
            </w:r>
          </w:p>
        </w:tc>
        <w:tc>
          <w:tcPr>
            <w:tcW w:w="800" w:type="dxa"/>
            <w:vAlign w:val="bottom"/>
            <w:shd w:val="clear" w:color="auto" w:fill="CCEEFF"/>
          </w:tcPr>
          <w:p>
            <w:pPr>
              <w:jc w:val="right"/>
              <w:ind w:right="68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217.4</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08"/>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3"/>
              </w:rPr>
              <w:t>161.7</w:t>
            </w:r>
          </w:p>
        </w:tc>
        <w:tc>
          <w:tcPr>
            <w:tcW w:w="0" w:type="dxa"/>
            <w:vAlign w:val="bottom"/>
          </w:tcPr>
          <w:p>
            <w:pPr>
              <w:spacing w:after="0"/>
              <w:rPr>
                <w:sz w:val="1"/>
                <w:szCs w:val="1"/>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Contract manufacturing</w:t>
            </w:r>
          </w:p>
        </w:tc>
        <w:tc>
          <w:tcPr>
            <w:tcW w:w="80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26.9</w:t>
            </w:r>
          </w:p>
        </w:tc>
        <w:tc>
          <w:tcPr>
            <w:tcW w:w="82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16.2</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Contracts and grants</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15.9</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tcPr>
          <w:p>
            <w:pPr>
              <w:spacing w:after="0"/>
              <w:rPr>
                <w:sz w:val="20"/>
                <w:szCs w:val="20"/>
                <w:color w:val="auto"/>
              </w:rPr>
            </w:pPr>
            <w:r>
              <w:rPr>
                <w:rFonts w:ascii="Arial" w:cs="Arial" w:eastAsia="Arial" w:hAnsi="Arial"/>
                <w:sz w:val="12"/>
                <w:szCs w:val="12"/>
                <w:b w:val="1"/>
                <w:bCs w:val="1"/>
                <w:color w:val="auto"/>
              </w:rPr>
              <w:t>Total revenues</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270.7</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w w:val="93"/>
              </w:rPr>
              <w:t>193.8</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Cost of product sales and contract manufacturing</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113.2</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66.5</w:t>
            </w:r>
          </w:p>
        </w:tc>
        <w:tc>
          <w:tcPr>
            <w:tcW w:w="0" w:type="dxa"/>
            <w:vAlign w:val="bottom"/>
          </w:tcPr>
          <w:p>
            <w:pPr>
              <w:spacing w:after="0"/>
              <w:rPr>
                <w:sz w:val="1"/>
                <w:szCs w:val="1"/>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Research and development</w:t>
            </w:r>
          </w:p>
        </w:tc>
        <w:tc>
          <w:tcPr>
            <w:tcW w:w="80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52.0</w:t>
            </w:r>
          </w:p>
        </w:tc>
        <w:tc>
          <w:tcPr>
            <w:tcW w:w="82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Selling, general and administrative</w:t>
            </w:r>
          </w:p>
        </w:tc>
        <w:tc>
          <w:tcPr>
            <w:tcW w:w="8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81.0</w:t>
            </w:r>
          </w:p>
        </w:tc>
        <w:tc>
          <w:tcPr>
            <w:tcW w:w="8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41.8</w:t>
            </w:r>
          </w:p>
        </w:tc>
        <w:tc>
          <w:tcPr>
            <w:tcW w:w="0" w:type="dxa"/>
            <w:vAlign w:val="bottom"/>
          </w:tcPr>
          <w:p>
            <w:pPr>
              <w:spacing w:after="0"/>
              <w:rPr>
                <w:sz w:val="1"/>
                <w:szCs w:val="1"/>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Amortization of intangible assets</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13.3</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3.9</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operating expenses</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259.5</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3"/>
              </w:rPr>
              <w:t>140.7</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from operations</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53.1</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income (expense):</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80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(8.0)</w:t>
            </w:r>
          </w:p>
        </w:tc>
        <w:tc>
          <w:tcPr>
            <w:tcW w:w="8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income (expense), net</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tcPr>
          <w:p>
            <w:pPr>
              <w:spacing w:after="0"/>
              <w:rPr>
                <w:sz w:val="20"/>
                <w:szCs w:val="20"/>
                <w:color w:val="auto"/>
              </w:rPr>
            </w:pPr>
            <w:r>
              <w:rPr>
                <w:rFonts w:ascii="Arial" w:cs="Arial" w:eastAsia="Arial" w:hAnsi="Arial"/>
                <w:sz w:val="12"/>
                <w:szCs w:val="12"/>
                <w:b w:val="1"/>
                <w:bCs w:val="1"/>
                <w:color w:val="auto"/>
              </w:rPr>
              <w:t>Total other expense, net</w:t>
            </w:r>
          </w:p>
        </w:tc>
        <w:tc>
          <w:tcPr>
            <w:tcW w:w="80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(7.6)</w:t>
            </w:r>
          </w:p>
        </w:tc>
        <w:tc>
          <w:tcPr>
            <w:tcW w:w="82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b w:val="1"/>
                <w:bCs w:val="1"/>
                <w:color w:val="auto"/>
              </w:rPr>
              <w:t>Income before provision for income taxes</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3.6</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51.9</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tcPr>
          <w:p>
            <w:pPr>
              <w:spacing w:after="0"/>
              <w:rPr>
                <w:sz w:val="20"/>
                <w:szCs w:val="20"/>
                <w:color w:val="auto"/>
              </w:rPr>
            </w:pPr>
            <w:r>
              <w:rPr>
                <w:rFonts w:ascii="Arial" w:cs="Arial" w:eastAsia="Arial" w:hAnsi="Arial"/>
                <w:sz w:val="12"/>
                <w:szCs w:val="12"/>
                <w:b w:val="1"/>
                <w:bCs w:val="1"/>
                <w:color w:val="auto"/>
              </w:rPr>
              <w:t>Net income (loss)</w:t>
            </w:r>
          </w:p>
        </w:tc>
        <w:tc>
          <w:tcPr>
            <w:tcW w:w="800" w:type="dxa"/>
            <w:vAlign w:val="bottom"/>
          </w:tcPr>
          <w:p>
            <w:pPr>
              <w:jc w:val="right"/>
              <w:ind w:right="687"/>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(3.4)</w:t>
            </w:r>
          </w:p>
        </w:tc>
        <w:tc>
          <w:tcPr>
            <w:tcW w:w="820" w:type="dxa"/>
            <w:vAlign w:val="bottom"/>
          </w:tcPr>
          <w:p>
            <w:pPr>
              <w:jc w:val="right"/>
              <w:ind w:right="708"/>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33.9</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8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2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b w:val="1"/>
                <w:bCs w:val="1"/>
                <w:color w:val="auto"/>
              </w:rPr>
              <w:t>Net income (loss) per share - basic</w:t>
            </w:r>
          </w:p>
        </w:tc>
        <w:tc>
          <w:tcPr>
            <w:tcW w:w="800" w:type="dxa"/>
            <w:vAlign w:val="bottom"/>
          </w:tcPr>
          <w:p>
            <w:pPr>
              <w:jc w:val="right"/>
              <w:ind w:right="687"/>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(0.07)</w:t>
            </w:r>
          </w:p>
        </w:tc>
        <w:tc>
          <w:tcPr>
            <w:tcW w:w="820" w:type="dxa"/>
            <w:vAlign w:val="bottom"/>
          </w:tcPr>
          <w:p>
            <w:pPr>
              <w:jc w:val="right"/>
              <w:ind w:right="708"/>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0.77</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 (loss) per share - diluted (1)</w:t>
            </w:r>
          </w:p>
        </w:tc>
        <w:tc>
          <w:tcPr>
            <w:tcW w:w="800" w:type="dxa"/>
            <w:vAlign w:val="bottom"/>
            <w:shd w:val="clear" w:color="auto" w:fill="CCEEFF"/>
          </w:tcPr>
          <w:p>
            <w:pPr>
              <w:jc w:val="right"/>
              <w:ind w:right="687"/>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(0.07)</w:t>
            </w:r>
          </w:p>
        </w:tc>
        <w:tc>
          <w:tcPr>
            <w:tcW w:w="820" w:type="dxa"/>
            <w:vAlign w:val="bottom"/>
            <w:shd w:val="clear" w:color="auto" w:fill="CCEEFF"/>
          </w:tcPr>
          <w:p>
            <w:pPr>
              <w:jc w:val="right"/>
              <w:ind w:right="708"/>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0.67</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Weighted-average number of shares - basic</w:t>
            </w:r>
          </w:p>
        </w:tc>
        <w:tc>
          <w:tcPr>
            <w:tcW w:w="8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50.9</w:t>
            </w:r>
          </w:p>
        </w:tc>
        <w:tc>
          <w:tcPr>
            <w:tcW w:w="8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44.3</w:t>
            </w:r>
          </w:p>
        </w:tc>
        <w:tc>
          <w:tcPr>
            <w:tcW w:w="0" w:type="dxa"/>
            <w:vAlign w:val="bottom"/>
          </w:tcPr>
          <w:p>
            <w:pPr>
              <w:spacing w:after="0"/>
              <w:rPr>
                <w:sz w:val="1"/>
                <w:szCs w:val="1"/>
                <w:color w:val="auto"/>
              </w:rPr>
            </w:pPr>
          </w:p>
        </w:tc>
      </w:tr>
      <w:tr>
        <w:trPr>
          <w:trHeight w:val="162"/>
        </w:trPr>
        <w:tc>
          <w:tcPr>
            <w:tcW w:w="8840" w:type="dxa"/>
            <w:vAlign w:val="bottom"/>
          </w:tcPr>
          <w:p>
            <w:pPr>
              <w:spacing w:after="0"/>
              <w:rPr>
                <w:sz w:val="20"/>
                <w:szCs w:val="20"/>
                <w:color w:val="auto"/>
              </w:rPr>
            </w:pPr>
            <w:r>
              <w:rPr>
                <w:rFonts w:ascii="Arial" w:cs="Arial" w:eastAsia="Arial" w:hAnsi="Arial"/>
                <w:sz w:val="12"/>
                <w:szCs w:val="12"/>
                <w:b w:val="1"/>
                <w:bCs w:val="1"/>
                <w:color w:val="auto"/>
              </w:rPr>
              <w:t>Weighted-average number of shares - diluted</w:t>
            </w:r>
          </w:p>
        </w:tc>
        <w:tc>
          <w:tcPr>
            <w:tcW w:w="8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2"/>
                <w:szCs w:val="12"/>
                <w:color w:val="auto"/>
              </w:rPr>
              <w:t>50.9</w:t>
            </w:r>
          </w:p>
        </w:tc>
        <w:tc>
          <w:tcPr>
            <w:tcW w:w="82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423"/>
        </w:trPr>
        <w:tc>
          <w:tcPr>
            <w:tcW w:w="8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127" w:right="199" w:bottom="1440" w:gutter="0" w:footer="0" w:header="0"/>
        </w:sectPr>
      </w:pPr>
    </w:p>
    <w:bookmarkStart w:id="6" w:name="page7"/>
    <w:bookmarkEnd w:id="6"/>
    <w:p>
      <w:pPr>
        <w:jc w:val="center"/>
        <w:ind w:right="120"/>
        <w:spacing w:after="0"/>
        <w:rPr>
          <w:sz w:val="20"/>
          <w:szCs w:val="20"/>
          <w:color w:val="auto"/>
        </w:rPr>
      </w:pPr>
      <w:r>
        <w:rPr>
          <w:rFonts w:ascii="Arial" w:cs="Arial" w:eastAsia="Arial" w:hAnsi="Arial"/>
          <w:sz w:val="12"/>
          <w:szCs w:val="12"/>
          <w:b w:val="1"/>
          <w:bCs w:val="1"/>
          <w:color w:val="auto"/>
        </w:rPr>
        <w:t>Emergent BioSolutions Inc. and Subsidiaries</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(in millions,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840" w:type="dxa"/>
            <w:vAlign w:val="bottom"/>
          </w:tcPr>
          <w:p>
            <w:pPr>
              <w:spacing w:after="0"/>
              <w:rPr>
                <w:sz w:val="12"/>
                <w:szCs w:val="12"/>
                <w:color w:val="auto"/>
              </w:rPr>
            </w:pPr>
          </w:p>
        </w:tc>
        <w:tc>
          <w:tcPr>
            <w:tcW w:w="2160" w:type="dxa"/>
            <w:vAlign w:val="bottom"/>
            <w:gridSpan w:val="4"/>
          </w:tcPr>
          <w:p>
            <w:pPr>
              <w:jc w:val="right"/>
              <w:ind w:right="168"/>
              <w:spacing w:after="0"/>
              <w:rPr>
                <w:sz w:val="20"/>
                <w:szCs w:val="20"/>
                <w:color w:val="auto"/>
              </w:rPr>
            </w:pPr>
            <w:r>
              <w:rPr>
                <w:rFonts w:ascii="Arial" w:cs="Arial" w:eastAsia="Arial" w:hAnsi="Arial"/>
                <w:sz w:val="12"/>
                <w:szCs w:val="12"/>
                <w:b w:val="1"/>
                <w:bCs w:val="1"/>
                <w:color w:val="auto"/>
              </w:rPr>
              <w:t>Year Ended December 31,</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840" w:type="dxa"/>
            <w:vAlign w:val="bottom"/>
          </w:tcPr>
          <w:p>
            <w:pPr>
              <w:spacing w:after="0"/>
              <w:rPr>
                <w:sz w:val="13"/>
                <w:szCs w:val="13"/>
                <w:color w:val="auto"/>
              </w:rPr>
            </w:pPr>
          </w:p>
        </w:tc>
        <w:tc>
          <w:tcPr>
            <w:tcW w:w="800" w:type="dxa"/>
            <w:vAlign w:val="bottom"/>
            <w:tcBorders>
              <w:bottom w:val="single" w:sz="8" w:color="auto"/>
            </w:tcBorders>
          </w:tcPr>
          <w:p>
            <w:pPr>
              <w:jc w:val="right"/>
              <w:ind w:right="47"/>
              <w:spacing w:after="0"/>
              <w:rPr>
                <w:sz w:val="20"/>
                <w:szCs w:val="20"/>
                <w:color w:val="auto"/>
              </w:rPr>
            </w:pPr>
            <w:r>
              <w:rPr>
                <w:rFonts w:ascii="Arial" w:cs="Arial" w:eastAsia="Arial" w:hAnsi="Arial"/>
                <w:sz w:val="12"/>
                <w:szCs w:val="12"/>
                <w:b w:val="1"/>
                <w:bCs w:val="1"/>
                <w:color w:val="auto"/>
              </w:rPr>
              <w:t>2018</w:t>
            </w: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2"/>
                <w:szCs w:val="12"/>
                <w:b w:val="1"/>
                <w:bCs w:val="1"/>
                <w:color w:val="auto"/>
              </w:rPr>
              <w:t>2017</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840" w:type="dxa"/>
            <w:vAlign w:val="bottom"/>
            <w:vMerge w:val="restart"/>
          </w:tcPr>
          <w:p>
            <w:pPr>
              <w:spacing w:after="0"/>
              <w:rPr>
                <w:sz w:val="20"/>
                <w:szCs w:val="20"/>
                <w:color w:val="auto"/>
              </w:rPr>
            </w:pPr>
            <w:r>
              <w:rPr>
                <w:rFonts w:ascii="Arial" w:cs="Arial" w:eastAsia="Arial" w:hAnsi="Arial"/>
                <w:sz w:val="12"/>
                <w:szCs w:val="12"/>
                <w:b w:val="1"/>
                <w:bCs w:val="1"/>
                <w:color w:val="auto"/>
              </w:rPr>
              <w:t>Revenues:</w:t>
            </w:r>
          </w:p>
        </w:tc>
        <w:tc>
          <w:tcPr>
            <w:tcW w:w="800" w:type="dxa"/>
            <w:vAlign w:val="bottom"/>
          </w:tcPr>
          <w:p>
            <w:pPr>
              <w:spacing w:after="0"/>
              <w:rPr>
                <w:sz w:val="13"/>
                <w:szCs w:val="13"/>
                <w:color w:val="auto"/>
              </w:rPr>
            </w:pPr>
          </w:p>
        </w:tc>
        <w:tc>
          <w:tcPr>
            <w:tcW w:w="1360" w:type="dxa"/>
            <w:vAlign w:val="bottom"/>
            <w:gridSpan w:val="3"/>
          </w:tcPr>
          <w:p>
            <w:pPr>
              <w:jc w:val="right"/>
              <w:ind w:right="528"/>
              <w:spacing w:after="0"/>
              <w:rPr>
                <w:sz w:val="20"/>
                <w:szCs w:val="20"/>
                <w:color w:val="auto"/>
              </w:rPr>
            </w:pPr>
            <w:r>
              <w:rPr>
                <w:rFonts w:ascii="Arial" w:cs="Arial" w:eastAsia="Arial" w:hAnsi="Arial"/>
                <w:sz w:val="12"/>
                <w:szCs w:val="12"/>
                <w:b w:val="1"/>
                <w:bCs w:val="1"/>
                <w:color w:val="auto"/>
              </w:rPr>
              <w:t>(Unaudited)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88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Product sales</w:t>
            </w:r>
          </w:p>
        </w:tc>
        <w:tc>
          <w:tcPr>
            <w:tcW w:w="800" w:type="dxa"/>
            <w:vAlign w:val="bottom"/>
            <w:shd w:val="clear" w:color="auto" w:fill="CCEEFF"/>
          </w:tcPr>
          <w:p>
            <w:pPr>
              <w:jc w:val="right"/>
              <w:ind w:right="68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606.5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421.5</w:t>
            </w:r>
          </w:p>
        </w:tc>
        <w:tc>
          <w:tcPr>
            <w:tcW w:w="0" w:type="dxa"/>
            <w:vAlign w:val="bottom"/>
          </w:tcPr>
          <w:p>
            <w:pPr>
              <w:spacing w:after="0"/>
              <w:rPr>
                <w:sz w:val="1"/>
                <w:szCs w:val="1"/>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Contract manufacturing</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98.9</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68.9</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Contracts and grants</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70.5</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tcPr>
          <w:p>
            <w:pPr>
              <w:spacing w:after="0"/>
              <w:rPr>
                <w:sz w:val="20"/>
                <w:szCs w:val="20"/>
                <w:color w:val="auto"/>
              </w:rPr>
            </w:pPr>
            <w:r>
              <w:rPr>
                <w:rFonts w:ascii="Arial" w:cs="Arial" w:eastAsia="Arial" w:hAnsi="Arial"/>
                <w:sz w:val="12"/>
                <w:szCs w:val="12"/>
                <w:b w:val="1"/>
                <w:bCs w:val="1"/>
                <w:color w:val="auto"/>
              </w:rPr>
              <w:t>Total revenues</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782.4</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560.9</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b w:val="1"/>
                <w:bCs w:val="1"/>
                <w:color w:val="auto"/>
              </w:rPr>
              <w:t>Operating expenses:</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Cost of product sales and contract manufacturing</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322.3</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187.7</w:t>
            </w:r>
          </w:p>
        </w:tc>
        <w:tc>
          <w:tcPr>
            <w:tcW w:w="0" w:type="dxa"/>
            <w:vAlign w:val="bottom"/>
          </w:tcPr>
          <w:p>
            <w:pPr>
              <w:spacing w:after="0"/>
              <w:rPr>
                <w:sz w:val="1"/>
                <w:szCs w:val="1"/>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Research and development</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142.8</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97.4</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Selling, general and administrative</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142.9</w:t>
            </w:r>
          </w:p>
        </w:tc>
        <w:tc>
          <w:tcPr>
            <w:tcW w:w="0" w:type="dxa"/>
            <w:vAlign w:val="bottom"/>
          </w:tcPr>
          <w:p>
            <w:pPr>
              <w:spacing w:after="0"/>
              <w:rPr>
                <w:sz w:val="1"/>
                <w:szCs w:val="1"/>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Amortization of intangible assets</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25.0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8.6</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operating expenses</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692.6</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436.6</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from operations</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124.3</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income (expense):</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80"/>
              <w:spacing w:after="0"/>
              <w:rPr>
                <w:sz w:val="20"/>
                <w:szCs w:val="20"/>
                <w:color w:val="auto"/>
              </w:rPr>
            </w:pPr>
            <w:r>
              <w:rPr>
                <w:rFonts w:ascii="Arial" w:cs="Arial" w:eastAsia="Arial" w:hAnsi="Arial"/>
                <w:sz w:val="12"/>
                <w:szCs w:val="12"/>
                <w:color w:val="auto"/>
              </w:rPr>
              <w:t>Interest expense</w:t>
            </w:r>
          </w:p>
        </w:tc>
        <w:tc>
          <w:tcPr>
            <w:tcW w:w="80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(9.9)</w:t>
            </w:r>
          </w:p>
        </w:tc>
        <w:tc>
          <w:tcPr>
            <w:tcW w:w="7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(6.6)</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income (expense), net</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tcPr>
          <w:p>
            <w:pPr>
              <w:spacing w:after="0"/>
              <w:rPr>
                <w:sz w:val="20"/>
                <w:szCs w:val="20"/>
                <w:color w:val="auto"/>
              </w:rPr>
            </w:pPr>
            <w:r>
              <w:rPr>
                <w:rFonts w:ascii="Arial" w:cs="Arial" w:eastAsia="Arial" w:hAnsi="Arial"/>
                <w:sz w:val="12"/>
                <w:szCs w:val="12"/>
                <w:b w:val="1"/>
                <w:bCs w:val="1"/>
                <w:color w:val="auto"/>
              </w:rPr>
              <w:t>Total other expense, net</w:t>
            </w:r>
          </w:p>
        </w:tc>
        <w:tc>
          <w:tcPr>
            <w:tcW w:w="800" w:type="dxa"/>
            <w:vAlign w:val="bottom"/>
          </w:tcPr>
          <w:p>
            <w:pPr>
              <w:spacing w:after="0"/>
              <w:rPr>
                <w:sz w:val="12"/>
                <w:szCs w:val="1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2"/>
                <w:szCs w:val="12"/>
                <w:color w:val="auto"/>
              </w:rPr>
              <w:t>(8.3)</w:t>
            </w:r>
          </w:p>
        </w:tc>
        <w:tc>
          <w:tcPr>
            <w:tcW w:w="760" w:type="dxa"/>
            <w:vAlign w:val="bottom"/>
          </w:tcPr>
          <w:p>
            <w:pPr>
              <w:spacing w:after="0"/>
              <w:rPr>
                <w:sz w:val="12"/>
                <w:szCs w:val="1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rPr>
              <w:t>(5.7)</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b w:val="1"/>
                <w:bCs w:val="1"/>
                <w:color w:val="auto"/>
              </w:rPr>
              <w:t>Income before provision for income taxes</w:t>
            </w: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81.5</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118.6</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Provision for income taxes</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36.0</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tcPr>
          <w:p>
            <w:pPr>
              <w:spacing w:after="0"/>
              <w:rPr>
                <w:sz w:val="20"/>
                <w:szCs w:val="20"/>
                <w:color w:val="auto"/>
              </w:rPr>
            </w:pPr>
            <w:r>
              <w:rPr>
                <w:rFonts w:ascii="Arial" w:cs="Arial" w:eastAsia="Arial" w:hAnsi="Arial"/>
                <w:sz w:val="12"/>
                <w:szCs w:val="12"/>
                <w:b w:val="1"/>
                <w:bCs w:val="1"/>
                <w:color w:val="auto"/>
              </w:rPr>
              <w:t>Net income</w:t>
            </w:r>
          </w:p>
        </w:tc>
        <w:tc>
          <w:tcPr>
            <w:tcW w:w="800" w:type="dxa"/>
            <w:vAlign w:val="bottom"/>
          </w:tcPr>
          <w:p>
            <w:pPr>
              <w:jc w:val="right"/>
              <w:ind w:right="687"/>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62.7</w:t>
            </w:r>
          </w:p>
        </w:tc>
        <w:tc>
          <w:tcPr>
            <w:tcW w:w="240" w:type="dxa"/>
            <w:vAlign w:val="bottom"/>
          </w:tcPr>
          <w:p>
            <w:pPr>
              <w:spacing w:after="0"/>
              <w:rPr>
                <w:sz w:val="12"/>
                <w:szCs w:val="12"/>
                <w:color w:val="auto"/>
              </w:rPr>
            </w:pPr>
          </w:p>
        </w:tc>
        <w:tc>
          <w:tcPr>
            <w:tcW w:w="760" w:type="dxa"/>
            <w:vAlign w:val="bottom"/>
          </w:tcPr>
          <w:p>
            <w:pPr>
              <w:jc w:val="right"/>
              <w:ind w:right="648"/>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82.6</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8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b w:val="1"/>
                <w:bCs w:val="1"/>
                <w:color w:val="auto"/>
              </w:rPr>
              <w:t>Net income per share - basic</w:t>
            </w:r>
          </w:p>
        </w:tc>
        <w:tc>
          <w:tcPr>
            <w:tcW w:w="800" w:type="dxa"/>
            <w:vAlign w:val="bottom"/>
          </w:tcPr>
          <w:p>
            <w:pPr>
              <w:jc w:val="right"/>
              <w:ind w:right="687"/>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1.25</w:t>
            </w:r>
          </w:p>
        </w:tc>
        <w:tc>
          <w:tcPr>
            <w:tcW w:w="240" w:type="dxa"/>
            <w:vAlign w:val="bottom"/>
          </w:tcPr>
          <w:p>
            <w:pPr>
              <w:spacing w:after="0"/>
              <w:rPr>
                <w:sz w:val="12"/>
                <w:szCs w:val="12"/>
                <w:color w:val="auto"/>
              </w:rPr>
            </w:pPr>
          </w:p>
        </w:tc>
        <w:tc>
          <w:tcPr>
            <w:tcW w:w="760" w:type="dxa"/>
            <w:vAlign w:val="bottom"/>
          </w:tcPr>
          <w:p>
            <w:pPr>
              <w:jc w:val="right"/>
              <w:ind w:right="648"/>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1.98</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 per share - diluted (1)</w:t>
            </w:r>
          </w:p>
        </w:tc>
        <w:tc>
          <w:tcPr>
            <w:tcW w:w="800" w:type="dxa"/>
            <w:vAlign w:val="bottom"/>
            <w:shd w:val="clear" w:color="auto" w:fill="CCEEFF"/>
          </w:tcPr>
          <w:p>
            <w:pPr>
              <w:jc w:val="right"/>
              <w:ind w:right="687"/>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8"/>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Weighted-average number of shares - basic</w:t>
            </w: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41.8</w:t>
            </w:r>
          </w:p>
        </w:tc>
        <w:tc>
          <w:tcPr>
            <w:tcW w:w="0" w:type="dxa"/>
            <w:vAlign w:val="bottom"/>
          </w:tcPr>
          <w:p>
            <w:pPr>
              <w:spacing w:after="0"/>
              <w:rPr>
                <w:sz w:val="1"/>
                <w:szCs w:val="1"/>
                <w:color w:val="auto"/>
              </w:rPr>
            </w:pPr>
          </w:p>
        </w:tc>
      </w:tr>
      <w:tr>
        <w:trPr>
          <w:trHeight w:val="162"/>
        </w:trPr>
        <w:tc>
          <w:tcPr>
            <w:tcW w:w="8840" w:type="dxa"/>
            <w:vAlign w:val="bottom"/>
          </w:tcPr>
          <w:p>
            <w:pPr>
              <w:spacing w:after="0"/>
              <w:rPr>
                <w:sz w:val="20"/>
                <w:szCs w:val="20"/>
                <w:color w:val="auto"/>
              </w:rPr>
            </w:pPr>
            <w:r>
              <w:rPr>
                <w:rFonts w:ascii="Arial" w:cs="Arial" w:eastAsia="Arial" w:hAnsi="Arial"/>
                <w:sz w:val="12"/>
                <w:szCs w:val="12"/>
                <w:b w:val="1"/>
                <w:bCs w:val="1"/>
                <w:color w:val="auto"/>
              </w:rPr>
              <w:t>Weighted-average number of shares - diluted</w:t>
            </w:r>
          </w:p>
        </w:tc>
        <w:tc>
          <w:tcPr>
            <w:tcW w:w="8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51.4</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50.3</w:t>
            </w:r>
          </w:p>
        </w:tc>
        <w:tc>
          <w:tcPr>
            <w:tcW w:w="0" w:type="dxa"/>
            <w:vAlign w:val="bottom"/>
          </w:tcPr>
          <w:p>
            <w:pPr>
              <w:spacing w:after="0"/>
              <w:rPr>
                <w:sz w:val="1"/>
                <w:szCs w:val="1"/>
                <w:color w:val="auto"/>
              </w:rPr>
            </w:pPr>
          </w:p>
        </w:tc>
      </w:tr>
      <w:tr>
        <w:trPr>
          <w:trHeight w:val="207"/>
        </w:trPr>
        <w:tc>
          <w:tcPr>
            <w:tcW w:w="88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235" w:right="199" w:bottom="1440" w:gutter="0" w:footer="0" w:header="0"/>
        </w:sectPr>
      </w:pPr>
    </w:p>
    <w:bookmarkStart w:id="7" w:name="page8"/>
    <w:bookmarkEnd w:id="7"/>
    <w:p>
      <w:pPr>
        <w:spacing w:after="0" w:line="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CALCULATION OF DILUTED EARNINGS PER SHARE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color w:val="auto"/>
        </w:rPr>
        <w:t>For both the three months and year ended December 31, 2018, net income per diluted share was calculated using the “treasury method.”</w:t>
      </w:r>
    </w:p>
    <w:p>
      <w:pPr>
        <w:spacing w:after="0" w:line="132" w:lineRule="exact"/>
        <w:rPr>
          <w:sz w:val="20"/>
          <w:szCs w:val="20"/>
          <w:color w:val="auto"/>
        </w:rPr>
      </w:pPr>
    </w:p>
    <w:p>
      <w:pPr>
        <w:ind w:right="20"/>
        <w:spacing w:after="0" w:line="248" w:lineRule="auto"/>
        <w:rPr>
          <w:sz w:val="20"/>
          <w:szCs w:val="20"/>
          <w:color w:val="auto"/>
        </w:rPr>
      </w:pPr>
      <w:r>
        <w:rPr>
          <w:rFonts w:ascii="Arial" w:cs="Arial" w:eastAsia="Arial" w:hAnsi="Arial"/>
          <w:sz w:val="12"/>
          <w:szCs w:val="12"/>
          <w:color w:val="auto"/>
        </w:rPr>
        <w:t>For both the three months and year ended December 31, 2017, net income per diluted share is computed using the “if-converted” method. Such a method only applies to results prior to November 14, 2017, the date the Company terminated conversion rights associated with the 2.875% Convertible Senior Notes due 2021 (the Notes). This method requires net income to be adjusted to add back interest expense and amortization of debt issuance cost, both net of tax, associated with the Notes. The following table details the adjustments made in this calculation.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260" w:type="dxa"/>
            <w:vAlign w:val="bottom"/>
            <w:tcBorders>
              <w:top w:val="single" w:sz="8" w:color="auto"/>
              <w:left w:val="single" w:sz="8" w:color="auto"/>
            </w:tcBorders>
          </w:tcPr>
          <w:p>
            <w:pPr>
              <w:spacing w:after="0"/>
              <w:rPr>
                <w:sz w:val="10"/>
                <w:szCs w:val="10"/>
                <w:color w:val="auto"/>
              </w:rPr>
            </w:pPr>
          </w:p>
        </w:tc>
        <w:tc>
          <w:tcPr>
            <w:tcW w:w="8480" w:type="dxa"/>
            <w:vAlign w:val="bottom"/>
            <w:tcBorders>
              <w:top w:val="single" w:sz="8" w:color="auto"/>
              <w:righ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4"/>
          </w:tcPr>
          <w:p>
            <w:pPr>
              <w:jc w:val="center"/>
              <w:ind w:left="401"/>
              <w:spacing w:after="0" w:line="117" w:lineRule="exact"/>
              <w:rPr>
                <w:sz w:val="20"/>
                <w:szCs w:val="20"/>
                <w:color w:val="auto"/>
              </w:rPr>
            </w:pPr>
            <w:r>
              <w:rPr>
                <w:rFonts w:ascii="Arial" w:cs="Arial" w:eastAsia="Arial" w:hAnsi="Arial"/>
                <w:sz w:val="12"/>
                <w:szCs w:val="12"/>
                <w:b w:val="1"/>
                <w:bCs w:val="1"/>
                <w:color w:val="auto"/>
                <w:w w:val="92"/>
              </w:rPr>
              <w:t>Three Months Ended</w:t>
            </w: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 w:type="dxa"/>
            <w:vAlign w:val="bottom"/>
            <w:tcBorders>
              <w:left w:val="single" w:sz="8" w:color="auto"/>
              <w:bottom w:val="single" w:sz="8" w:color="auto"/>
            </w:tcBorders>
          </w:tcPr>
          <w:p>
            <w:pPr>
              <w:spacing w:after="0"/>
              <w:rPr>
                <w:sz w:val="11"/>
                <w:szCs w:val="11"/>
                <w:color w:val="auto"/>
              </w:rPr>
            </w:pPr>
          </w:p>
        </w:tc>
        <w:tc>
          <w:tcPr>
            <w:tcW w:w="84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center"/>
              <w:ind w:left="401"/>
              <w:spacing w:after="0" w:line="135" w:lineRule="exact"/>
              <w:rPr>
                <w:sz w:val="20"/>
                <w:szCs w:val="20"/>
                <w:color w:val="auto"/>
              </w:rPr>
            </w:pPr>
            <w:r>
              <w:rPr>
                <w:rFonts w:ascii="Arial" w:cs="Arial" w:eastAsia="Arial" w:hAnsi="Arial"/>
                <w:sz w:val="12"/>
                <w:szCs w:val="12"/>
                <w:b w:val="1"/>
                <w:bCs w:val="1"/>
                <w:color w:val="auto"/>
                <w:w w:val="89"/>
              </w:rPr>
              <w:t>December 31,</w:t>
            </w: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2"/>
                <w:szCs w:val="12"/>
                <w:i w:val="1"/>
                <w:iCs w:val="1"/>
                <w:color w:val="auto"/>
              </w:rPr>
              <w:t>(in millions, except per share value)</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w w:val="89"/>
              </w:rPr>
              <w:t>2017</w:t>
            </w: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Net Income (Loss)</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(3.4)</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84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Adjustments:</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84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Interest expense, net of tax</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84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0" w:type="dxa"/>
            <w:vAlign w:val="bottom"/>
            <w:tcBorders>
              <w:left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Amortization of debt issuance costs, net of tax</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Borders>
              <w:left w:val="single" w:sz="8" w:color="auto"/>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8740" w:type="dxa"/>
            <w:vAlign w:val="bottom"/>
            <w:tcBorders>
              <w:left w:val="single" w:sz="8" w:color="auto"/>
              <w:right w:val="single" w:sz="8" w:color="auto"/>
            </w:tcBorders>
            <w:gridSpan w:val="2"/>
            <w:shd w:val="clear" w:color="auto" w:fill="CCEEFF"/>
          </w:tcPr>
          <w:p>
            <w:pPr>
              <w:spacing w:after="0" w:line="97" w:lineRule="exact"/>
              <w:rPr>
                <w:sz w:val="20"/>
                <w:szCs w:val="20"/>
                <w:color w:val="auto"/>
              </w:rPr>
            </w:pPr>
            <w:r>
              <w:rPr>
                <w:rFonts w:ascii="Arial" w:cs="Arial" w:eastAsia="Arial" w:hAnsi="Arial"/>
                <w:sz w:val="11"/>
                <w:szCs w:val="11"/>
                <w:b w:val="1"/>
                <w:bCs w:val="1"/>
                <w:color w:val="auto"/>
              </w:rPr>
              <w:t>Net Income (Loss), adjusted (“if converted”)</w:t>
            </w:r>
          </w:p>
        </w:tc>
        <w:tc>
          <w:tcPr>
            <w:tcW w:w="80" w:type="dxa"/>
            <w:vAlign w:val="bottom"/>
            <w:vMerge w:val="restart"/>
            <w:shd w:val="clear" w:color="auto" w:fill="CCEEFF"/>
          </w:tcPr>
          <w:p>
            <w:pPr>
              <w:spacing w:after="0"/>
              <w:rPr>
                <w:sz w:val="8"/>
                <w:szCs w:val="8"/>
                <w:color w:val="auto"/>
              </w:rPr>
            </w:pPr>
          </w:p>
        </w:tc>
        <w:tc>
          <w:tcPr>
            <w:tcW w:w="260" w:type="dxa"/>
            <w:vAlign w:val="bottom"/>
            <w:vMerge w:val="restart"/>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b w:val="1"/>
                <w:bCs w:val="1"/>
                <w:color w:val="auto"/>
              </w:rPr>
              <w:t>(3.4)</w:t>
            </w:r>
          </w:p>
        </w:tc>
        <w:tc>
          <w:tcPr>
            <w:tcW w:w="140" w:type="dxa"/>
            <w:vAlign w:val="bottom"/>
            <w:tcBorders>
              <w:right w:val="single" w:sz="8" w:color="auto"/>
            </w:tcBorders>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34.2</w:t>
            </w:r>
          </w:p>
        </w:tc>
        <w:tc>
          <w:tcPr>
            <w:tcW w:w="12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40" w:type="dxa"/>
            <w:vAlign w:val="bottom"/>
            <w:tcBorders>
              <w:left w:val="single" w:sz="8" w:color="auto"/>
              <w:right w:val="single" w:sz="8" w:color="auto"/>
            </w:tcBorders>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Income (Loss) Per Diluted Share, adjusted (“if converted”)</w:t>
            </w:r>
          </w:p>
        </w:tc>
        <w:tc>
          <w:tcPr>
            <w:tcW w:w="80" w:type="dxa"/>
            <w:vAlign w:val="bottom"/>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1040" w:type="dxa"/>
            <w:vAlign w:val="bottom"/>
            <w:tcBorders>
              <w:right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2"/>
                <w:szCs w:val="12"/>
                <w:b w:val="1"/>
                <w:bCs w:val="1"/>
                <w:color w:val="auto"/>
              </w:rPr>
              <w:t>($0.07)</w:t>
            </w:r>
          </w:p>
        </w:tc>
        <w:tc>
          <w:tcPr>
            <w:tcW w:w="520" w:type="dxa"/>
            <w:vAlign w:val="bottom"/>
            <w:gridSpan w:val="2"/>
            <w:vMerge w:val="continue"/>
            <w:shd w:val="clear" w:color="auto" w:fill="CCEEFF"/>
          </w:tcPr>
          <w:p>
            <w:pPr>
              <w:spacing w:after="0"/>
              <w:rPr>
                <w:sz w:val="11"/>
                <w:szCs w:val="11"/>
                <w:color w:val="auto"/>
              </w:rPr>
            </w:pPr>
          </w:p>
        </w:tc>
        <w:tc>
          <w:tcPr>
            <w:tcW w:w="82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84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2"/>
                <w:szCs w:val="12"/>
                <w:b w:val="1"/>
                <w:bCs w:val="1"/>
                <w:color w:val="auto"/>
              </w:rPr>
              <w:t>Weighted Average Diluted Shares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50.9</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60" w:type="dxa"/>
            <w:vAlign w:val="bottom"/>
            <w:tcBorders>
              <w:left w:val="single" w:sz="8" w:color="auto"/>
            </w:tcBorders>
          </w:tcPr>
          <w:p>
            <w:pPr>
              <w:spacing w:after="0"/>
              <w:rPr>
                <w:sz w:val="8"/>
                <w:szCs w:val="8"/>
                <w:color w:val="auto"/>
              </w:rPr>
            </w:pPr>
          </w:p>
        </w:tc>
        <w:tc>
          <w:tcPr>
            <w:tcW w:w="848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gridSpan w:val="4"/>
          </w:tcPr>
          <w:p>
            <w:pPr>
              <w:jc w:val="center"/>
              <w:ind w:left="381"/>
              <w:spacing w:after="0" w:line="97" w:lineRule="exact"/>
              <w:rPr>
                <w:sz w:val="20"/>
                <w:szCs w:val="20"/>
                <w:color w:val="auto"/>
              </w:rPr>
            </w:pPr>
            <w:r>
              <w:rPr>
                <w:rFonts w:ascii="Arial" w:cs="Arial" w:eastAsia="Arial" w:hAnsi="Arial"/>
                <w:sz w:val="11"/>
                <w:szCs w:val="11"/>
                <w:b w:val="1"/>
                <w:bCs w:val="1"/>
                <w:color w:val="auto"/>
                <w:w w:val="99"/>
              </w:rPr>
              <w:t>Year Ended</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 w:type="dxa"/>
            <w:vAlign w:val="bottom"/>
            <w:tcBorders>
              <w:left w:val="single" w:sz="8" w:color="auto"/>
              <w:bottom w:val="single" w:sz="8" w:color="auto"/>
            </w:tcBorders>
          </w:tcPr>
          <w:p>
            <w:pPr>
              <w:spacing w:after="0"/>
              <w:rPr>
                <w:sz w:val="11"/>
                <w:szCs w:val="11"/>
                <w:color w:val="auto"/>
              </w:rPr>
            </w:pPr>
          </w:p>
        </w:tc>
        <w:tc>
          <w:tcPr>
            <w:tcW w:w="848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center"/>
              <w:ind w:left="401"/>
              <w:spacing w:after="0" w:line="135" w:lineRule="exact"/>
              <w:rPr>
                <w:sz w:val="20"/>
                <w:szCs w:val="20"/>
                <w:color w:val="auto"/>
              </w:rPr>
            </w:pPr>
            <w:r>
              <w:rPr>
                <w:rFonts w:ascii="Arial" w:cs="Arial" w:eastAsia="Arial" w:hAnsi="Arial"/>
                <w:sz w:val="12"/>
                <w:szCs w:val="12"/>
                <w:b w:val="1"/>
                <w:bCs w:val="1"/>
                <w:color w:val="auto"/>
                <w:w w:val="89"/>
              </w:rPr>
              <w:t>December 31,</w:t>
            </w: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left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2"/>
                <w:szCs w:val="12"/>
                <w:i w:val="1"/>
                <w:iCs w:val="1"/>
                <w:color w:val="auto"/>
              </w:rPr>
              <w:t>(in millions, except per share value)</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1"/>
              <w:spacing w:after="0"/>
              <w:rPr>
                <w:sz w:val="20"/>
                <w:szCs w:val="20"/>
                <w:color w:val="auto"/>
              </w:rPr>
            </w:pPr>
            <w:r>
              <w:rPr>
                <w:rFonts w:ascii="Arial" w:cs="Arial" w:eastAsia="Arial" w:hAnsi="Arial"/>
                <w:sz w:val="12"/>
                <w:szCs w:val="12"/>
                <w:b w:val="1"/>
                <w:bCs w:val="1"/>
                <w:color w:val="auto"/>
                <w:w w:val="89"/>
              </w:rPr>
              <w:t>2017</w:t>
            </w: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left w:val="single" w:sz="8" w:color="auto"/>
              <w:right w:val="single" w:sz="8" w:color="auto"/>
            </w:tcBorders>
            <w:gridSpan w:val="2"/>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62.7</w:t>
            </w:r>
          </w:p>
        </w:tc>
        <w:tc>
          <w:tcPr>
            <w:tcW w:w="140" w:type="dxa"/>
            <w:vAlign w:val="bottom"/>
            <w:tcBorders>
              <w:right w:val="single" w:sz="8" w:color="auto"/>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84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Adjustments:</w:t>
            </w: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 w:type="dxa"/>
            <w:vAlign w:val="bottom"/>
            <w:tcBorders>
              <w:left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w:t>
            </w:r>
          </w:p>
        </w:tc>
        <w:tc>
          <w:tcPr>
            <w:tcW w:w="84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Interest expense, net of tax</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84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0" w:type="dxa"/>
            <w:vAlign w:val="bottom"/>
            <w:tcBorders>
              <w:left w:val="single" w:sz="8" w:color="auto"/>
            </w:tcBorders>
          </w:tcPr>
          <w:p>
            <w:pPr>
              <w:ind w:left="160"/>
              <w:spacing w:after="0"/>
              <w:rPr>
                <w:sz w:val="20"/>
                <w:szCs w:val="20"/>
                <w:color w:val="auto"/>
              </w:rPr>
            </w:pPr>
            <w:r>
              <w:rPr>
                <w:rFonts w:ascii="Arial" w:cs="Arial" w:eastAsia="Arial" w:hAnsi="Arial"/>
                <w:sz w:val="12"/>
                <w:szCs w:val="12"/>
                <w:color w:val="auto"/>
              </w:rPr>
              <w:t>+</w:t>
            </w:r>
          </w:p>
        </w:tc>
        <w:tc>
          <w:tcPr>
            <w:tcW w:w="848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Amortization of debt issuance costs, net of tax</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Borders>
              <w:left w:val="single" w:sz="8" w:color="auto"/>
              <w:righ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8740" w:type="dxa"/>
            <w:vAlign w:val="bottom"/>
            <w:tcBorders>
              <w:left w:val="single" w:sz="8" w:color="auto"/>
              <w:right w:val="single" w:sz="8" w:color="auto"/>
            </w:tcBorders>
            <w:gridSpan w:val="2"/>
            <w:shd w:val="clear" w:color="auto" w:fill="CCEEFF"/>
          </w:tcPr>
          <w:p>
            <w:pPr>
              <w:spacing w:after="0" w:line="97" w:lineRule="exact"/>
              <w:rPr>
                <w:sz w:val="20"/>
                <w:szCs w:val="20"/>
                <w:color w:val="auto"/>
              </w:rPr>
            </w:pPr>
            <w:r>
              <w:rPr>
                <w:rFonts w:ascii="Arial" w:cs="Arial" w:eastAsia="Arial" w:hAnsi="Arial"/>
                <w:sz w:val="11"/>
                <w:szCs w:val="11"/>
                <w:b w:val="1"/>
                <w:bCs w:val="1"/>
                <w:color w:val="auto"/>
              </w:rPr>
              <w:t>Net Income, adjusted (“if converted”)</w:t>
            </w:r>
          </w:p>
        </w:tc>
        <w:tc>
          <w:tcPr>
            <w:tcW w:w="80" w:type="dxa"/>
            <w:vAlign w:val="bottom"/>
            <w:vMerge w:val="restart"/>
            <w:shd w:val="clear" w:color="auto" w:fill="CCEEFF"/>
          </w:tcPr>
          <w:p>
            <w:pPr>
              <w:spacing w:after="0"/>
              <w:rPr>
                <w:sz w:val="8"/>
                <w:szCs w:val="8"/>
                <w:color w:val="auto"/>
              </w:rPr>
            </w:pPr>
          </w:p>
        </w:tc>
        <w:tc>
          <w:tcPr>
            <w:tcW w:w="260" w:type="dxa"/>
            <w:vAlign w:val="bottom"/>
            <w:vMerge w:val="restart"/>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b w:val="1"/>
                <w:bCs w:val="1"/>
                <w:color w:val="auto"/>
              </w:rPr>
              <w:t>62.7</w:t>
            </w:r>
          </w:p>
        </w:tc>
        <w:tc>
          <w:tcPr>
            <w:tcW w:w="140" w:type="dxa"/>
            <w:vAlign w:val="bottom"/>
            <w:tcBorders>
              <w:right w:val="single" w:sz="8" w:color="auto"/>
            </w:tcBorders>
            <w:shd w:val="clear" w:color="auto" w:fill="CCEEFF"/>
          </w:tcPr>
          <w:p>
            <w:pPr>
              <w:spacing w:after="0"/>
              <w:rPr>
                <w:sz w:val="8"/>
                <w:szCs w:val="8"/>
                <w:color w:val="auto"/>
              </w:rPr>
            </w:pPr>
          </w:p>
        </w:tc>
        <w:tc>
          <w:tcPr>
            <w:tcW w:w="5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85.9</w:t>
            </w:r>
          </w:p>
        </w:tc>
        <w:tc>
          <w:tcPr>
            <w:tcW w:w="12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740" w:type="dxa"/>
            <w:vAlign w:val="bottom"/>
            <w:tcBorders>
              <w:left w:val="single" w:sz="8" w:color="auto"/>
              <w:right w:val="single" w:sz="8" w:color="auto"/>
            </w:tcBorders>
            <w:gridSpan w:val="2"/>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Income Per Diluted Share, adjusted (“if converted”)</w:t>
            </w:r>
          </w:p>
        </w:tc>
        <w:tc>
          <w:tcPr>
            <w:tcW w:w="80" w:type="dxa"/>
            <w:vAlign w:val="bottom"/>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$1.22</w:t>
            </w:r>
          </w:p>
        </w:tc>
        <w:tc>
          <w:tcPr>
            <w:tcW w:w="140" w:type="dxa"/>
            <w:vAlign w:val="bottom"/>
            <w:tcBorders>
              <w:right w:val="single" w:sz="8" w:color="auto"/>
            </w:tcBorders>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82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84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Borders>
              <w:left w:val="single" w:sz="8" w:color="auto"/>
              <w:right w:val="single" w:sz="8" w:color="auto"/>
            </w:tcBorders>
            <w:gridSpan w:val="2"/>
          </w:tcPr>
          <w:p>
            <w:pPr>
              <w:spacing w:after="0"/>
              <w:rPr>
                <w:sz w:val="20"/>
                <w:szCs w:val="20"/>
                <w:color w:val="auto"/>
              </w:rPr>
            </w:pPr>
            <w:r>
              <w:rPr>
                <w:rFonts w:ascii="Arial" w:cs="Arial" w:eastAsia="Arial" w:hAnsi="Arial"/>
                <w:sz w:val="12"/>
                <w:szCs w:val="12"/>
                <w:b w:val="1"/>
                <w:bCs w:val="1"/>
                <w:color w:val="auto"/>
              </w:rPr>
              <w:t>Weighted Average Diluted Shares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51.4</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4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RECONCILIATION OF NET INCOME (LOSS) TO ADJUSTED NET INCOME, EBITDA AND ADJUSTED EBITDA</w:t>
      </w:r>
    </w:p>
    <w:p>
      <w:pPr>
        <w:spacing w:after="0" w:line="69" w:lineRule="exact"/>
        <w:rPr>
          <w:sz w:val="20"/>
          <w:szCs w:val="20"/>
          <w:color w:val="auto"/>
        </w:rPr>
      </w:pPr>
    </w:p>
    <w:p>
      <w:pPr>
        <w:ind w:right="80"/>
        <w:spacing w:after="0" w:line="264" w:lineRule="auto"/>
        <w:rPr>
          <w:sz w:val="20"/>
          <w:szCs w:val="20"/>
          <w:color w:val="auto"/>
        </w:rPr>
      </w:pPr>
      <w:r>
        <w:rPr>
          <w:rFonts w:ascii="Arial" w:cs="Arial" w:eastAsia="Arial" w:hAnsi="Arial"/>
          <w:sz w:val="11"/>
          <w:szCs w:val="11"/>
          <w:color w:val="auto"/>
        </w:rPr>
        <w:t xml:space="preserve">This press release contains two financial measures </w:t>
      </w:r>
      <w:r>
        <w:rPr>
          <w:rFonts w:ascii="Arial" w:cs="Arial" w:eastAsia="Arial" w:hAnsi="Arial"/>
          <w:sz w:val="11"/>
          <w:szCs w:val="11"/>
          <w:b w:val="1"/>
          <w:bCs w:val="1"/>
          <w:color w:val="auto"/>
        </w:rPr>
        <w:t>(Adjusted Net Income and EBITDA (Earnings Before Interest, Taxes, Depreciation and Amortization), and Adjusted EBITDA)</w:t>
      </w:r>
      <w:r>
        <w:rPr>
          <w:rFonts w:ascii="Arial" w:cs="Arial" w:eastAsia="Arial" w:hAnsi="Arial"/>
          <w:sz w:val="11"/>
          <w:szCs w:val="11"/>
          <w:color w:val="auto"/>
        </w:rPr>
        <w:t xml:space="preserve"> that are considered “non-GAAP” financial measures under applicable Securities and Exchange Commission rules and regulations. These non-GAAP financial measures should be considered supplemental to and not a substitute for financial information prepared in accordance with generally accepted accounting principles. The Company’s definition of these non-GAAP measures may differ from similarly titled measures used by others. Adjusted Net Income adjusts for specified items that can be highly variable or difficult to predict, or reflect the non-cash impact of charges resulting from purchase accounting (which are all tax effected utilizing the statutory tax rate for the US). EBITDA reflects net income excluding the impact of depreciation, amortization, interest expense and provision for income taxes. Adjusted EBITDA also excludes specified items that can be highly variable and the non-cash impact of certain purchase accounting adjustments (which are all tax effected utilizing the statutory tax rate for the US).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107" w:lineRule="exact"/>
        <w:rPr>
          <w:sz w:val="20"/>
          <w:szCs w:val="20"/>
          <w:color w:val="auto"/>
        </w:rPr>
      </w:pPr>
    </w:p>
    <w:p>
      <w:pPr>
        <w:ind w:right="20"/>
        <w:spacing w:after="0" w:line="248" w:lineRule="auto"/>
        <w:rPr>
          <w:sz w:val="20"/>
          <w:szCs w:val="20"/>
          <w:color w:val="auto"/>
        </w:rPr>
      </w:pPr>
      <w:r>
        <w:rPr>
          <w:rFonts w:ascii="Arial" w:cs="Arial" w:eastAsia="Arial" w:hAnsi="Arial"/>
          <w:sz w:val="12"/>
          <w:szCs w:val="12"/>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Reconciliation of Net Income (Loss) to Adjusted Net Income (Unaudited)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4380" w:type="dxa"/>
            <w:vAlign w:val="bottom"/>
            <w:tcBorders>
              <w:top w:val="single" w:sz="8" w:color="auto"/>
              <w:left w:val="single" w:sz="8" w:color="auto"/>
              <w:righ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340" w:type="dxa"/>
            <w:vAlign w:val="bottom"/>
            <w:tcBorders>
              <w:top w:val="single" w:sz="8" w:color="auto"/>
            </w:tcBorders>
          </w:tcPr>
          <w:p>
            <w:pPr>
              <w:jc w:val="center"/>
              <w:ind w:right="2600"/>
              <w:spacing w:after="0" w:line="117" w:lineRule="exact"/>
              <w:rPr>
                <w:sz w:val="20"/>
                <w:szCs w:val="20"/>
                <w:color w:val="auto"/>
              </w:rPr>
            </w:pPr>
            <w:r>
              <w:rPr>
                <w:rFonts w:ascii="Arial" w:cs="Arial" w:eastAsia="Arial" w:hAnsi="Arial"/>
                <w:sz w:val="12"/>
                <w:szCs w:val="12"/>
                <w:b w:val="1"/>
                <w:bCs w:val="1"/>
                <w:color w:val="auto"/>
                <w:w w:val="90"/>
              </w:rPr>
              <w:t>Three Months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Borders>
              <w:left w:val="single" w:sz="8" w:color="auto"/>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340" w:type="dxa"/>
            <w:vAlign w:val="bottom"/>
            <w:tcBorders>
              <w:bottom w:val="single" w:sz="8" w:color="auto"/>
            </w:tcBorders>
          </w:tcPr>
          <w:p>
            <w:pPr>
              <w:jc w:val="center"/>
              <w:ind w:right="2620"/>
              <w:spacing w:after="0" w:line="135" w:lineRule="exact"/>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i w:val="1"/>
                <w:iCs w:val="1"/>
                <w:color w:val="auto"/>
              </w:rPr>
              <w:t>(in millions, except per share value)</w:t>
            </w:r>
          </w:p>
        </w:tc>
        <w:tc>
          <w:tcPr>
            <w:tcW w:w="9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rPr>
              <w:t>2018</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2017</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340" w:type="dxa"/>
            <w:vAlign w:val="bottom"/>
            <w:tcBorders>
              <w:bottom w:val="single" w:sz="8" w:color="auto"/>
              <w:right w:val="single" w:sz="8" w:color="auto"/>
            </w:tcBorders>
          </w:tcPr>
          <w:p>
            <w:pPr>
              <w:jc w:val="right"/>
              <w:ind w:right="1960"/>
              <w:spacing w:after="0"/>
              <w:rPr>
                <w:sz w:val="20"/>
                <w:szCs w:val="20"/>
                <w:color w:val="auto"/>
              </w:rPr>
            </w:pPr>
            <w:r>
              <w:rPr>
                <w:rFonts w:ascii="Arial" w:cs="Arial" w:eastAsia="Arial" w:hAnsi="Arial"/>
                <w:sz w:val="12"/>
                <w:szCs w:val="12"/>
                <w:b w:val="1"/>
                <w:bCs w:val="1"/>
                <w:color w:val="auto"/>
              </w:rPr>
              <w:t>Source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Net Income (Loss)</w:t>
            </w:r>
          </w:p>
        </w:tc>
        <w:tc>
          <w:tcPr>
            <w:tcW w:w="70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(3.4)</w:t>
            </w:r>
          </w:p>
        </w:tc>
        <w:tc>
          <w:tcPr>
            <w:tcW w:w="6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33.9</w:t>
            </w:r>
          </w:p>
        </w:tc>
        <w:tc>
          <w:tcPr>
            <w:tcW w:w="43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3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380" w:type="dxa"/>
            <w:vAlign w:val="bottom"/>
            <w:tcBorders>
              <w:bottom w:val="single" w:sz="8" w:color="auto"/>
            </w:tcBorders>
          </w:tcPr>
          <w:p>
            <w:pPr>
              <w:jc w:val="center"/>
              <w:ind w:right="3700"/>
              <w:spacing w:after="0" w:line="115" w:lineRule="exact"/>
              <w:rPr>
                <w:sz w:val="20"/>
                <w:szCs w:val="20"/>
                <w:color w:val="auto"/>
              </w:rPr>
            </w:pPr>
            <w:r>
              <w:rPr>
                <w:rFonts w:ascii="Arial" w:cs="Arial" w:eastAsia="Arial" w:hAnsi="Arial"/>
                <w:sz w:val="12"/>
                <w:szCs w:val="12"/>
                <w:color w:val="auto"/>
                <w:w w:val="89"/>
              </w:rPr>
              <w:t>Adjustments:</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 Acquisition-related costs (transaction &amp; integration)</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20.5</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w:t>
            </w:r>
          </w:p>
        </w:tc>
        <w:tc>
          <w:tcPr>
            <w:tcW w:w="4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SG&amp;A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3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 Non-cash amortization charges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13.9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4.1</w:t>
            </w:r>
          </w:p>
        </w:tc>
        <w:tc>
          <w:tcPr>
            <w:tcW w:w="43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IA Amort., Other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 Exit and disposal costs</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SG&amp;A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3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 Impact of purchase accounting on inventory step-up</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18.4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0.4</w:t>
            </w:r>
          </w:p>
        </w:tc>
        <w:tc>
          <w:tcPr>
            <w:tcW w:w="43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COGS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shd w:val="clear" w:color="auto" w:fill="CCEEFF"/>
          </w:tcPr>
          <w:p>
            <w:pPr>
              <w:jc w:val="center"/>
              <w:ind w:right="3760"/>
              <w:spacing w:after="0"/>
              <w:rPr>
                <w:sz w:val="20"/>
                <w:szCs w:val="20"/>
                <w:color w:val="auto"/>
              </w:rPr>
            </w:pPr>
            <w:r>
              <w:rPr>
                <w:rFonts w:ascii="Arial" w:cs="Arial" w:eastAsia="Arial" w:hAnsi="Arial"/>
                <w:sz w:val="12"/>
                <w:szCs w:val="12"/>
                <w:color w:val="auto"/>
                <w:w w:val="91"/>
              </w:rPr>
              <w:t>Tax effect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(11.1)</w:t>
            </w:r>
          </w:p>
        </w:tc>
        <w:tc>
          <w:tcPr>
            <w:tcW w:w="10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w:t>
            </w:r>
          </w:p>
        </w:tc>
        <w:tc>
          <w:tcPr>
            <w:tcW w:w="43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3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Total Adjustments: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41.7</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3.9</w:t>
            </w: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4380" w:type="dxa"/>
            <w:vAlign w:val="bottom"/>
            <w:tcBorders>
              <w:left w:val="single" w:sz="8" w:color="auto"/>
              <w:right w:val="single" w:sz="8" w:color="auto"/>
            </w:tcBorders>
            <w:shd w:val="clear" w:color="auto" w:fill="CCEEFF"/>
          </w:tcPr>
          <w:p>
            <w:pPr>
              <w:spacing w:after="0" w:line="97" w:lineRule="exact"/>
              <w:rPr>
                <w:sz w:val="20"/>
                <w:szCs w:val="20"/>
                <w:color w:val="auto"/>
              </w:rPr>
            </w:pPr>
            <w:r>
              <w:rPr>
                <w:rFonts w:ascii="Arial" w:cs="Arial" w:eastAsia="Arial" w:hAnsi="Arial"/>
                <w:sz w:val="11"/>
                <w:szCs w:val="11"/>
                <w:b w:val="1"/>
                <w:bCs w:val="1"/>
                <w:color w:val="auto"/>
              </w:rPr>
              <w:t>Adjusted Net Income</w:t>
            </w:r>
          </w:p>
        </w:tc>
        <w:tc>
          <w:tcPr>
            <w:tcW w:w="700" w:type="dxa"/>
            <w:vAlign w:val="bottom"/>
            <w:tcBorders>
              <w:right w:val="single" w:sz="8" w:color="CCEEFF"/>
            </w:tcBorders>
            <w:gridSpan w:val="2"/>
            <w:vMerge w:val="restart"/>
            <w:shd w:val="clear" w:color="auto" w:fill="CCEEFF"/>
          </w:tcPr>
          <w:p>
            <w:pPr>
              <w:jc w:val="right"/>
              <w:ind w:right="560"/>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b w:val="1"/>
                <w:bCs w:val="1"/>
                <w:color w:val="auto"/>
              </w:rPr>
              <w:t>38.3</w:t>
            </w:r>
          </w:p>
        </w:tc>
        <w:tc>
          <w:tcPr>
            <w:tcW w:w="120" w:type="dxa"/>
            <w:vAlign w:val="bottom"/>
            <w:tcBorders>
              <w:right w:val="single" w:sz="8" w:color="auto"/>
            </w:tcBorders>
            <w:shd w:val="clear" w:color="auto" w:fill="CCEEFF"/>
          </w:tcPr>
          <w:p>
            <w:pPr>
              <w:spacing w:after="0"/>
              <w:rPr>
                <w:sz w:val="8"/>
                <w:szCs w:val="8"/>
                <w:color w:val="auto"/>
              </w:rPr>
            </w:pPr>
          </w:p>
        </w:tc>
        <w:tc>
          <w:tcPr>
            <w:tcW w:w="680" w:type="dxa"/>
            <w:vAlign w:val="bottom"/>
            <w:tcBorders>
              <w:right w:val="single" w:sz="8" w:color="CCEEFF"/>
            </w:tcBorders>
            <w:gridSpan w:val="2"/>
            <w:vMerge w:val="restart"/>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37.8</w:t>
            </w:r>
          </w:p>
        </w:tc>
        <w:tc>
          <w:tcPr>
            <w:tcW w:w="140" w:type="dxa"/>
            <w:vAlign w:val="bottom"/>
            <w:tcBorders>
              <w:right w:val="single" w:sz="8" w:color="auto"/>
            </w:tcBorders>
            <w:shd w:val="clear" w:color="auto" w:fill="CCEEFF"/>
          </w:tcPr>
          <w:p>
            <w:pPr>
              <w:spacing w:after="0"/>
              <w:rPr>
                <w:sz w:val="8"/>
                <w:szCs w:val="8"/>
                <w:color w:val="auto"/>
              </w:rPr>
            </w:pPr>
          </w:p>
        </w:tc>
        <w:tc>
          <w:tcPr>
            <w:tcW w:w="434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Borders>
              <w:left w:val="single" w:sz="8" w:color="auto"/>
              <w:right w:val="single" w:sz="8" w:color="auto"/>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Adjusted Net Income Per Diluted Share</w:t>
            </w:r>
          </w:p>
        </w:tc>
        <w:tc>
          <w:tcPr>
            <w:tcW w:w="70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$0.75</w:t>
            </w:r>
          </w:p>
        </w:tc>
        <w:tc>
          <w:tcPr>
            <w:tcW w:w="120" w:type="dxa"/>
            <w:vAlign w:val="bottom"/>
            <w:tcBorders>
              <w:right w:val="single" w:sz="8" w:color="auto"/>
            </w:tcBorders>
            <w:shd w:val="clear" w:color="auto" w:fill="CCEEFF"/>
          </w:tcPr>
          <w:p>
            <w:pPr>
              <w:spacing w:after="0"/>
              <w:rPr>
                <w:sz w:val="11"/>
                <w:szCs w:val="11"/>
                <w:color w:val="auto"/>
              </w:rPr>
            </w:pPr>
          </w:p>
        </w:tc>
        <w:tc>
          <w:tcPr>
            <w:tcW w:w="680" w:type="dxa"/>
            <w:vAlign w:val="bottom"/>
            <w:tcBorders>
              <w:right w:val="single" w:sz="8" w:color="CCEEFF"/>
            </w:tcBorders>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$0.74</w:t>
            </w:r>
          </w:p>
        </w:tc>
        <w:tc>
          <w:tcPr>
            <w:tcW w:w="434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80" w:type="dxa"/>
            <w:vAlign w:val="bottom"/>
            <w:tcBorders>
              <w:top w:val="single" w:sz="8" w:color="CCEEFF"/>
              <w:bottom w:val="single" w:sz="8" w:color="auto"/>
            </w:tcBorders>
          </w:tcPr>
          <w:p>
            <w:pPr>
              <w:spacing w:after="0"/>
              <w:rPr>
                <w:sz w:val="11"/>
                <w:szCs w:val="11"/>
                <w:color w:val="auto"/>
              </w:rPr>
            </w:pPr>
          </w:p>
        </w:tc>
        <w:tc>
          <w:tcPr>
            <w:tcW w:w="80" w:type="dxa"/>
            <w:vAlign w:val="bottom"/>
            <w:tcBorders>
              <w:top w:val="single" w:sz="8" w:color="CCEEFF"/>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CCEEFF"/>
              <w:bottom w:val="single" w:sz="8" w:color="auto"/>
            </w:tcBorders>
          </w:tcPr>
          <w:p>
            <w:pPr>
              <w:spacing w:after="0"/>
              <w:rPr>
                <w:sz w:val="11"/>
                <w:szCs w:val="11"/>
                <w:color w:val="auto"/>
              </w:rPr>
            </w:pPr>
          </w:p>
        </w:tc>
        <w:tc>
          <w:tcPr>
            <w:tcW w:w="100" w:type="dxa"/>
            <w:vAlign w:val="bottom"/>
            <w:tcBorders>
              <w:top w:val="single" w:sz="8" w:color="CCEEFF"/>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CCEEFF"/>
              <w:bottom w:val="single" w:sz="8" w:color="auto"/>
            </w:tcBorders>
          </w:tcPr>
          <w:p>
            <w:pPr>
              <w:spacing w:after="0"/>
              <w:rPr>
                <w:sz w:val="11"/>
                <w:szCs w:val="11"/>
                <w:color w:val="auto"/>
              </w:rPr>
            </w:pPr>
          </w:p>
        </w:tc>
        <w:tc>
          <w:tcPr>
            <w:tcW w:w="4340" w:type="dxa"/>
            <w:vAlign w:val="bottom"/>
            <w:tcBorders>
              <w:top w:val="single" w:sz="8" w:color="CCEEFF"/>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380" w:type="dxa"/>
            <w:vAlign w:val="bottom"/>
            <w:tcBorders>
              <w:left w:val="single" w:sz="8" w:color="auto"/>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340" w:type="dxa"/>
            <w:vAlign w:val="bottom"/>
          </w:tcPr>
          <w:p>
            <w:pPr>
              <w:jc w:val="center"/>
              <w:ind w:right="2600"/>
              <w:spacing w:after="0" w:line="97" w:lineRule="exact"/>
              <w:rPr>
                <w:sz w:val="20"/>
                <w:szCs w:val="20"/>
                <w:color w:val="auto"/>
              </w:rPr>
            </w:pPr>
            <w:r>
              <w:rPr>
                <w:rFonts w:ascii="Arial" w:cs="Arial" w:eastAsia="Arial" w:hAnsi="Arial"/>
                <w:sz w:val="11"/>
                <w:szCs w:val="11"/>
                <w:b w:val="1"/>
                <w:bCs w:val="1"/>
                <w:color w:val="auto"/>
                <w:w w:val="99"/>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Borders>
              <w:left w:val="single" w:sz="8" w:color="auto"/>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340" w:type="dxa"/>
            <w:vAlign w:val="bottom"/>
            <w:tcBorders>
              <w:bottom w:val="single" w:sz="8" w:color="auto"/>
            </w:tcBorders>
          </w:tcPr>
          <w:p>
            <w:pPr>
              <w:jc w:val="center"/>
              <w:ind w:right="2620"/>
              <w:spacing w:after="0" w:line="135" w:lineRule="exact"/>
              <w:rPr>
                <w:sz w:val="20"/>
                <w:szCs w:val="20"/>
                <w:color w:val="auto"/>
              </w:rPr>
            </w:pPr>
            <w:r>
              <w:rPr>
                <w:rFonts w:ascii="Arial" w:cs="Arial" w:eastAsia="Arial" w:hAnsi="Arial"/>
                <w:sz w:val="12"/>
                <w:szCs w:val="12"/>
                <w:b w:val="1"/>
                <w:bCs w:val="1"/>
                <w:color w:val="auto"/>
                <w:w w:val="89"/>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i w:val="1"/>
                <w:iCs w:val="1"/>
                <w:color w:val="auto"/>
              </w:rPr>
              <w:t>(in millions, except per share value)</w:t>
            </w:r>
          </w:p>
        </w:tc>
        <w:tc>
          <w:tcPr>
            <w:tcW w:w="9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rPr>
              <w:t>2018</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2017</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right w:val="single" w:sz="8" w:color="auto"/>
            </w:tcBorders>
          </w:tcPr>
          <w:p>
            <w:pPr>
              <w:spacing w:after="0"/>
              <w:rPr>
                <w:sz w:val="12"/>
                <w:szCs w:val="12"/>
                <w:color w:val="auto"/>
              </w:rPr>
            </w:pPr>
          </w:p>
        </w:tc>
        <w:tc>
          <w:tcPr>
            <w:tcW w:w="4340" w:type="dxa"/>
            <w:vAlign w:val="bottom"/>
            <w:tcBorders>
              <w:bottom w:val="single" w:sz="8" w:color="auto"/>
              <w:right w:val="single" w:sz="8" w:color="auto"/>
            </w:tcBorders>
          </w:tcPr>
          <w:p>
            <w:pPr>
              <w:jc w:val="right"/>
              <w:ind w:right="1960"/>
              <w:spacing w:after="0"/>
              <w:rPr>
                <w:sz w:val="20"/>
                <w:szCs w:val="20"/>
                <w:color w:val="auto"/>
              </w:rPr>
            </w:pPr>
            <w:r>
              <w:rPr>
                <w:rFonts w:ascii="Arial" w:cs="Arial" w:eastAsia="Arial" w:hAnsi="Arial"/>
                <w:sz w:val="12"/>
                <w:szCs w:val="12"/>
                <w:b w:val="1"/>
                <w:bCs w:val="1"/>
                <w:color w:val="auto"/>
              </w:rPr>
              <w:t>Source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70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62.7</w:t>
            </w:r>
          </w:p>
        </w:tc>
        <w:tc>
          <w:tcPr>
            <w:tcW w:w="120" w:type="dxa"/>
            <w:vAlign w:val="bottom"/>
            <w:tcBorders>
              <w:right w:val="single" w:sz="8" w:color="auto"/>
            </w:tcBorders>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82.6</w:t>
            </w:r>
          </w:p>
        </w:tc>
        <w:tc>
          <w:tcPr>
            <w:tcW w:w="43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3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380" w:type="dxa"/>
            <w:vAlign w:val="bottom"/>
            <w:tcBorders>
              <w:bottom w:val="single" w:sz="8" w:color="auto"/>
            </w:tcBorders>
          </w:tcPr>
          <w:p>
            <w:pPr>
              <w:jc w:val="center"/>
              <w:ind w:right="3700"/>
              <w:spacing w:after="0" w:line="115" w:lineRule="exact"/>
              <w:rPr>
                <w:sz w:val="20"/>
                <w:szCs w:val="20"/>
                <w:color w:val="auto"/>
              </w:rPr>
            </w:pPr>
            <w:r>
              <w:rPr>
                <w:rFonts w:ascii="Arial" w:cs="Arial" w:eastAsia="Arial" w:hAnsi="Arial"/>
                <w:sz w:val="12"/>
                <w:szCs w:val="12"/>
                <w:color w:val="auto"/>
                <w:w w:val="89"/>
              </w:rPr>
              <w:t>Adjustments:</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 Acquisition-related costs (transaction &amp; integration)</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27.3</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5.6</w:t>
            </w:r>
          </w:p>
        </w:tc>
        <w:tc>
          <w:tcPr>
            <w:tcW w:w="4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SG&amp;A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3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 Non-cash amortization charges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25.9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10.3</w:t>
            </w:r>
          </w:p>
        </w:tc>
        <w:tc>
          <w:tcPr>
            <w:tcW w:w="43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IA Amort., Other 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rPr>
              <w:t>+ Exit and disposal costs</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0.4</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w:t>
            </w:r>
          </w:p>
        </w:tc>
        <w:tc>
          <w:tcPr>
            <w:tcW w:w="43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SG&amp;A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3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 Impact of purchase accounting on inventory step-up</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18.4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2.6</w:t>
            </w:r>
          </w:p>
        </w:tc>
        <w:tc>
          <w:tcPr>
            <w:tcW w:w="43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COGS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shd w:val="clear" w:color="auto" w:fill="CCEEFF"/>
          </w:tcPr>
          <w:p>
            <w:pPr>
              <w:jc w:val="center"/>
              <w:ind w:right="3760"/>
              <w:spacing w:after="0"/>
              <w:rPr>
                <w:sz w:val="20"/>
                <w:szCs w:val="20"/>
                <w:color w:val="auto"/>
              </w:rPr>
            </w:pPr>
            <w:r>
              <w:rPr>
                <w:rFonts w:ascii="Arial" w:cs="Arial" w:eastAsia="Arial" w:hAnsi="Arial"/>
                <w:sz w:val="12"/>
                <w:szCs w:val="12"/>
                <w:color w:val="auto"/>
                <w:w w:val="91"/>
              </w:rPr>
              <w:t>Tax effect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tcBorders>
              <w:right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(15.1)</w:t>
            </w:r>
          </w:p>
        </w:tc>
        <w:tc>
          <w:tcPr>
            <w:tcW w:w="10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w:t>
            </w:r>
          </w:p>
        </w:tc>
        <w:tc>
          <w:tcPr>
            <w:tcW w:w="43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3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Total Adjustments: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56.9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13.1</w:t>
            </w:r>
          </w:p>
        </w:tc>
        <w:tc>
          <w:tcPr>
            <w:tcW w:w="4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3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 w:type="dxa"/>
            <w:vAlign w:val="bottom"/>
          </w:tcPr>
          <w:p>
            <w:pPr>
              <w:spacing w:after="0"/>
              <w:rPr>
                <w:sz w:val="8"/>
                <w:szCs w:val="8"/>
                <w:color w:val="auto"/>
              </w:rPr>
            </w:pPr>
          </w:p>
        </w:tc>
        <w:tc>
          <w:tcPr>
            <w:tcW w:w="4380" w:type="dxa"/>
            <w:vAlign w:val="bottom"/>
            <w:tcBorders>
              <w:left w:val="single" w:sz="8" w:color="auto"/>
              <w:right w:val="single" w:sz="8" w:color="auto"/>
            </w:tcBorders>
            <w:shd w:val="clear" w:color="auto" w:fill="CCEEFF"/>
          </w:tcPr>
          <w:p>
            <w:pPr>
              <w:spacing w:after="0" w:line="97" w:lineRule="exact"/>
              <w:rPr>
                <w:sz w:val="20"/>
                <w:szCs w:val="20"/>
                <w:color w:val="auto"/>
              </w:rPr>
            </w:pPr>
            <w:r>
              <w:rPr>
                <w:rFonts w:ascii="Arial" w:cs="Arial" w:eastAsia="Arial" w:hAnsi="Arial"/>
                <w:sz w:val="11"/>
                <w:szCs w:val="11"/>
                <w:b w:val="1"/>
                <w:bCs w:val="1"/>
                <w:color w:val="auto"/>
              </w:rPr>
              <w:t>Adjusted Net Income</w:t>
            </w:r>
          </w:p>
        </w:tc>
        <w:tc>
          <w:tcPr>
            <w:tcW w:w="700" w:type="dxa"/>
            <w:vAlign w:val="bottom"/>
            <w:tcBorders>
              <w:right w:val="single" w:sz="8" w:color="CCEEFF"/>
            </w:tcBorders>
            <w:gridSpan w:val="2"/>
            <w:vMerge w:val="restart"/>
            <w:shd w:val="clear" w:color="auto" w:fill="CCEEFF"/>
          </w:tcPr>
          <w:p>
            <w:pPr>
              <w:jc w:val="right"/>
              <w:ind w:right="560"/>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b w:val="1"/>
                <w:bCs w:val="1"/>
                <w:color w:val="auto"/>
              </w:rPr>
              <w:t>119.6</w:t>
            </w:r>
          </w:p>
        </w:tc>
        <w:tc>
          <w:tcPr>
            <w:tcW w:w="120" w:type="dxa"/>
            <w:vAlign w:val="bottom"/>
            <w:tcBorders>
              <w:right w:val="single" w:sz="8" w:color="auto"/>
            </w:tcBorders>
            <w:shd w:val="clear" w:color="auto" w:fill="CCEEFF"/>
          </w:tcPr>
          <w:p>
            <w:pPr>
              <w:spacing w:after="0"/>
              <w:rPr>
                <w:sz w:val="8"/>
                <w:szCs w:val="8"/>
                <w:color w:val="auto"/>
              </w:rPr>
            </w:pPr>
          </w:p>
        </w:tc>
        <w:tc>
          <w:tcPr>
            <w:tcW w:w="680" w:type="dxa"/>
            <w:vAlign w:val="bottom"/>
            <w:tcBorders>
              <w:right w:val="single" w:sz="8" w:color="CCEEFF"/>
            </w:tcBorders>
            <w:gridSpan w:val="2"/>
            <w:vMerge w:val="restart"/>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11"/>
                <w:szCs w:val="11"/>
                <w:color w:val="auto"/>
              </w:rPr>
              <w:t>95.7</w:t>
            </w:r>
          </w:p>
        </w:tc>
        <w:tc>
          <w:tcPr>
            <w:tcW w:w="140" w:type="dxa"/>
            <w:vAlign w:val="bottom"/>
            <w:tcBorders>
              <w:right w:val="single" w:sz="8" w:color="auto"/>
            </w:tcBorders>
            <w:shd w:val="clear" w:color="auto" w:fill="CCEEFF"/>
          </w:tcPr>
          <w:p>
            <w:pPr>
              <w:spacing w:after="0"/>
              <w:rPr>
                <w:sz w:val="8"/>
                <w:szCs w:val="8"/>
                <w:color w:val="auto"/>
              </w:rPr>
            </w:pPr>
          </w:p>
        </w:tc>
        <w:tc>
          <w:tcPr>
            <w:tcW w:w="4340" w:type="dxa"/>
            <w:vAlign w:val="bottom"/>
            <w:tcBorders>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Borders>
              <w:left w:val="single" w:sz="8" w:color="auto"/>
              <w:right w:val="single" w:sz="8" w:color="auto"/>
            </w:tcBorders>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Adjusted Net Income Per Diluted Share</w:t>
            </w:r>
          </w:p>
        </w:tc>
        <w:tc>
          <w:tcPr>
            <w:tcW w:w="700" w:type="dxa"/>
            <w:vAlign w:val="bottom"/>
            <w:tcBorders>
              <w:right w:val="single" w:sz="8" w:color="CCEEFF"/>
            </w:tcBorders>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b w:val="1"/>
                <w:bCs w:val="1"/>
                <w:color w:val="auto"/>
              </w:rPr>
              <w:t>$2.33</w:t>
            </w:r>
          </w:p>
        </w:tc>
        <w:tc>
          <w:tcPr>
            <w:tcW w:w="120" w:type="dxa"/>
            <w:vAlign w:val="bottom"/>
            <w:tcBorders>
              <w:right w:val="single" w:sz="8" w:color="auto"/>
            </w:tcBorders>
            <w:shd w:val="clear" w:color="auto" w:fill="CCEEFF"/>
          </w:tcPr>
          <w:p>
            <w:pPr>
              <w:spacing w:after="0"/>
              <w:rPr>
                <w:sz w:val="11"/>
                <w:szCs w:val="11"/>
                <w:color w:val="auto"/>
              </w:rPr>
            </w:pPr>
          </w:p>
        </w:tc>
        <w:tc>
          <w:tcPr>
            <w:tcW w:w="680" w:type="dxa"/>
            <w:vAlign w:val="bottom"/>
            <w:tcBorders>
              <w:right w:val="single" w:sz="8" w:color="CCEEFF"/>
            </w:tcBorders>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tcBorders>
              <w:right w:val="single" w:sz="8" w:color="auto"/>
            </w:tcBorders>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$1.90</w:t>
            </w:r>
          </w:p>
        </w:tc>
        <w:tc>
          <w:tcPr>
            <w:tcW w:w="434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80" w:type="dxa"/>
            <w:vAlign w:val="bottom"/>
            <w:tcBorders>
              <w:top w:val="single" w:sz="8" w:color="CCEEFF"/>
              <w:bottom w:val="single" w:sz="8" w:color="auto"/>
            </w:tcBorders>
          </w:tcPr>
          <w:p>
            <w:pPr>
              <w:spacing w:after="0"/>
              <w:rPr>
                <w:sz w:val="11"/>
                <w:szCs w:val="11"/>
                <w:color w:val="auto"/>
              </w:rPr>
            </w:pPr>
          </w:p>
        </w:tc>
        <w:tc>
          <w:tcPr>
            <w:tcW w:w="80" w:type="dxa"/>
            <w:vAlign w:val="bottom"/>
            <w:tcBorders>
              <w:top w:val="single" w:sz="8" w:color="CCEEFF"/>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CCEEFF"/>
              <w:bottom w:val="single" w:sz="8" w:color="auto"/>
            </w:tcBorders>
          </w:tcPr>
          <w:p>
            <w:pPr>
              <w:spacing w:after="0"/>
              <w:rPr>
                <w:sz w:val="11"/>
                <w:szCs w:val="11"/>
                <w:color w:val="auto"/>
              </w:rPr>
            </w:pPr>
          </w:p>
        </w:tc>
        <w:tc>
          <w:tcPr>
            <w:tcW w:w="100" w:type="dxa"/>
            <w:vAlign w:val="bottom"/>
            <w:tcBorders>
              <w:top w:val="single" w:sz="8" w:color="CCEEFF"/>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CCEEFF"/>
              <w:bottom w:val="single" w:sz="8" w:color="auto"/>
            </w:tcBorders>
          </w:tcPr>
          <w:p>
            <w:pPr>
              <w:spacing w:after="0"/>
              <w:rPr>
                <w:sz w:val="11"/>
                <w:szCs w:val="11"/>
                <w:color w:val="auto"/>
              </w:rPr>
            </w:pPr>
          </w:p>
        </w:tc>
        <w:tc>
          <w:tcPr>
            <w:tcW w:w="4340" w:type="dxa"/>
            <w:vAlign w:val="bottom"/>
            <w:tcBorders>
              <w:top w:val="single" w:sz="8" w:color="CCEEFF"/>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4380" w:type="dxa"/>
            <w:vAlign w:val="bottom"/>
            <w:tcBorders>
              <w:lef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340" w:type="dxa"/>
            <w:vAlign w:val="bottom"/>
          </w:tcPr>
          <w:p>
            <w:pPr>
              <w:jc w:val="right"/>
              <w:ind w:right="2860"/>
              <w:spacing w:after="0" w:line="97" w:lineRule="exact"/>
              <w:rPr>
                <w:sz w:val="20"/>
                <w:szCs w:val="20"/>
                <w:color w:val="auto"/>
              </w:rPr>
            </w:pPr>
            <w:r>
              <w:rPr>
                <w:rFonts w:ascii="Arial" w:cs="Arial" w:eastAsia="Arial" w:hAnsi="Arial"/>
                <w:sz w:val="11"/>
                <w:szCs w:val="11"/>
                <w:b w:val="1"/>
                <w:bCs w:val="1"/>
                <w:color w:val="auto"/>
              </w:rPr>
              <w:t>Full Year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80" w:type="dxa"/>
            <w:vAlign w:val="bottom"/>
            <w:tcBorders>
              <w:left w:val="single" w:sz="8" w:color="auto"/>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340" w:type="dxa"/>
            <w:vAlign w:val="bottom"/>
            <w:tcBorders>
              <w:bottom w:val="single" w:sz="8" w:color="auto"/>
            </w:tcBorders>
          </w:tcPr>
          <w:p>
            <w:pPr>
              <w:jc w:val="right"/>
              <w:ind w:right="2880"/>
              <w:spacing w:after="0" w:line="135" w:lineRule="exact"/>
              <w:rPr>
                <w:sz w:val="20"/>
                <w:szCs w:val="20"/>
                <w:color w:val="auto"/>
              </w:rPr>
            </w:pPr>
            <w:r>
              <w:rPr>
                <w:rFonts w:ascii="Arial" w:cs="Arial" w:eastAsia="Arial" w:hAnsi="Arial"/>
                <w:sz w:val="12"/>
                <w:szCs w:val="12"/>
                <w:b w:val="1"/>
                <w:bCs w:val="1"/>
                <w:color w:val="auto"/>
              </w:rPr>
              <w:t>Forecast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tcBorders>
          </w:tcPr>
          <w:p>
            <w:pPr>
              <w:spacing w:after="0"/>
              <w:rPr>
                <w:sz w:val="20"/>
                <w:szCs w:val="20"/>
                <w:color w:val="auto"/>
              </w:rPr>
            </w:pPr>
            <w:r>
              <w:rPr>
                <w:rFonts w:ascii="Arial" w:cs="Arial" w:eastAsia="Arial" w:hAnsi="Arial"/>
                <w:sz w:val="12"/>
                <w:szCs w:val="12"/>
                <w:i w:val="1"/>
                <w:iCs w:val="1"/>
                <w:color w:val="auto"/>
              </w:rPr>
              <w:t>(in millions)</w:t>
            </w: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gridSpan w:val="3"/>
          </w:tcPr>
          <w:p>
            <w:pPr>
              <w:jc w:val="right"/>
              <w:ind w:right="480"/>
              <w:spacing w:after="0"/>
              <w:rPr>
                <w:sz w:val="20"/>
                <w:szCs w:val="20"/>
                <w:color w:val="auto"/>
              </w:rPr>
            </w:pPr>
            <w:r>
              <w:rPr>
                <w:rFonts w:ascii="Arial" w:cs="Arial" w:eastAsia="Arial" w:hAnsi="Arial"/>
                <w:sz w:val="12"/>
                <w:szCs w:val="12"/>
                <w:b w:val="1"/>
                <w:bCs w:val="1"/>
                <w:color w:val="auto"/>
                <w:w w:val="88"/>
              </w:rPr>
              <w:t>2019F</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340" w:type="dxa"/>
            <w:vAlign w:val="bottom"/>
            <w:tcBorders>
              <w:right w:val="single" w:sz="8" w:color="auto"/>
            </w:tcBorders>
          </w:tcPr>
          <w:p>
            <w:pPr>
              <w:jc w:val="right"/>
              <w:ind w:right="2300"/>
              <w:spacing w:after="0"/>
              <w:rPr>
                <w:sz w:val="20"/>
                <w:szCs w:val="20"/>
                <w:color w:val="auto"/>
              </w:rPr>
            </w:pPr>
            <w:r>
              <w:rPr>
                <w:rFonts w:ascii="Arial" w:cs="Arial" w:eastAsia="Arial" w:hAnsi="Arial"/>
                <w:sz w:val="12"/>
                <w:szCs w:val="12"/>
                <w:b w:val="1"/>
                <w:bCs w:val="1"/>
                <w:color w:val="auto"/>
              </w:rPr>
              <w:t>Source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700" w:type="dxa"/>
            <w:vAlign w:val="bottom"/>
            <w:tcBorders>
              <w:right w:val="single" w:sz="8" w:color="auto"/>
            </w:tcBorders>
            <w:gridSpan w:val="2"/>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3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80 - $110</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3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3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4380" w:type="dxa"/>
            <w:vAlign w:val="bottom"/>
            <w:tcBorders>
              <w:bottom w:val="single" w:sz="8" w:color="auto"/>
            </w:tcBorders>
          </w:tcPr>
          <w:p>
            <w:pPr>
              <w:jc w:val="center"/>
              <w:ind w:right="3700"/>
              <w:spacing w:after="0" w:line="115" w:lineRule="exact"/>
              <w:rPr>
                <w:sz w:val="20"/>
                <w:szCs w:val="20"/>
                <w:color w:val="auto"/>
              </w:rPr>
            </w:pPr>
            <w:r>
              <w:rPr>
                <w:rFonts w:ascii="Arial" w:cs="Arial" w:eastAsia="Arial" w:hAnsi="Arial"/>
                <w:sz w:val="12"/>
                <w:szCs w:val="12"/>
                <w:color w:val="auto"/>
                <w:w w:val="89"/>
              </w:rPr>
              <w:t>Adjustments:</w:t>
            </w: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 Acquisition-related costs (transaction &amp; integration)</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CCEEFF"/>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14</w:t>
            </w: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4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SG&amp;A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tcBorders>
          </w:tcPr>
          <w:p>
            <w:pPr>
              <w:ind w:left="160"/>
              <w:spacing w:after="0"/>
              <w:rPr>
                <w:sz w:val="20"/>
                <w:szCs w:val="20"/>
                <w:color w:val="auto"/>
              </w:rPr>
            </w:pPr>
            <w:r>
              <w:rPr>
                <w:rFonts w:ascii="Arial" w:cs="Arial" w:eastAsia="Arial" w:hAnsi="Arial"/>
                <w:sz w:val="12"/>
                <w:szCs w:val="12"/>
                <w:color w:val="auto"/>
              </w:rPr>
              <w:t>+ Non-cash amortization charges</w:t>
            </w: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64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3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IA Amort., Other 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 Exit and disposal costs</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right w:val="single" w:sz="8" w:color="CCEEFF"/>
            </w:tcBorders>
            <w:shd w:val="clear" w:color="auto" w:fill="CCEEFF"/>
          </w:tcPr>
          <w:p>
            <w:pPr>
              <w:spacing w:after="0"/>
              <w:rPr>
                <w:sz w:val="12"/>
                <w:szCs w:val="12"/>
                <w:color w:val="auto"/>
              </w:rPr>
            </w:pPr>
          </w:p>
        </w:tc>
        <w:tc>
          <w:tcPr>
            <w:tcW w:w="68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w:t>
            </w: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43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SG&amp;A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tcBorders>
          </w:tcPr>
          <w:p>
            <w:pPr>
              <w:ind w:left="160"/>
              <w:spacing w:after="0"/>
              <w:rPr>
                <w:sz w:val="20"/>
                <w:szCs w:val="20"/>
                <w:color w:val="auto"/>
              </w:rPr>
            </w:pPr>
            <w:r>
              <w:rPr>
                <w:rFonts w:ascii="Arial" w:cs="Arial" w:eastAsia="Arial" w:hAnsi="Arial"/>
                <w:sz w:val="12"/>
                <w:szCs w:val="12"/>
                <w:color w:val="auto"/>
              </w:rPr>
              <w:t>+ Impact of purchase accounting on inventory step-up</w:t>
            </w: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7</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34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COGS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CCEEFF"/>
            </w:tcBorders>
            <w:shd w:val="clear" w:color="auto" w:fill="CCEEFF"/>
          </w:tcPr>
          <w:p>
            <w:pPr>
              <w:jc w:val="center"/>
              <w:ind w:right="3760"/>
              <w:spacing w:after="0"/>
              <w:rPr>
                <w:sz w:val="20"/>
                <w:szCs w:val="20"/>
                <w:color w:val="auto"/>
              </w:rPr>
            </w:pPr>
            <w:r>
              <w:rPr>
                <w:rFonts w:ascii="Arial" w:cs="Arial" w:eastAsia="Arial" w:hAnsi="Arial"/>
                <w:sz w:val="12"/>
                <w:szCs w:val="12"/>
                <w:color w:val="auto"/>
                <w:w w:val="91"/>
              </w:rPr>
              <w:t>Tax effect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(19)</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3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top w:val="single" w:sz="8" w:color="CCEEFF"/>
              <w:left w:val="single" w:sz="8" w:color="auto"/>
            </w:tcBorders>
          </w:tcPr>
          <w:p>
            <w:pPr>
              <w:spacing w:after="0"/>
              <w:rPr>
                <w:sz w:val="20"/>
                <w:szCs w:val="20"/>
                <w:color w:val="auto"/>
              </w:rPr>
            </w:pPr>
            <w:r>
              <w:rPr>
                <w:rFonts w:ascii="Arial" w:cs="Arial" w:eastAsia="Arial" w:hAnsi="Arial"/>
                <w:sz w:val="12"/>
                <w:szCs w:val="12"/>
                <w:b w:val="1"/>
                <w:bCs w:val="1"/>
                <w:color w:val="auto"/>
              </w:rPr>
              <w:t>Total Adjustments:</w:t>
            </w:r>
          </w:p>
        </w:tc>
        <w:tc>
          <w:tcPr>
            <w:tcW w:w="80" w:type="dxa"/>
            <w:vAlign w:val="bottom"/>
            <w:tcBorders>
              <w:top w:val="single" w:sz="8" w:color="CCEEFF"/>
            </w:tcBorders>
          </w:tcPr>
          <w:p>
            <w:pPr>
              <w:spacing w:after="0"/>
              <w:rPr>
                <w:sz w:val="12"/>
                <w:szCs w:val="12"/>
                <w:color w:val="auto"/>
              </w:rPr>
            </w:pPr>
          </w:p>
        </w:tc>
        <w:tc>
          <w:tcPr>
            <w:tcW w:w="620" w:type="dxa"/>
            <w:vAlign w:val="bottom"/>
            <w:tcBorders>
              <w:top w:val="single" w:sz="8" w:color="CCEEFF"/>
              <w:right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70</w:t>
            </w:r>
          </w:p>
        </w:tc>
        <w:tc>
          <w:tcPr>
            <w:tcW w:w="20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340" w:type="dxa"/>
            <w:vAlign w:val="bottom"/>
            <w:tcBorders>
              <w:top w:val="single" w:sz="8" w:color="CCEEFF"/>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left w:val="single" w:sz="8" w:color="auto"/>
              <w:right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Adjusted Net Income</w:t>
            </w:r>
          </w:p>
        </w:tc>
        <w:tc>
          <w:tcPr>
            <w:tcW w:w="700" w:type="dxa"/>
            <w:vAlign w:val="bottom"/>
            <w:tcBorders>
              <w:right w:val="single" w:sz="8" w:color="auto"/>
            </w:tcBorders>
            <w:gridSpan w:val="2"/>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3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w w:val="94"/>
              </w:rPr>
              <w:t>150 - $180</w:t>
            </w: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3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3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Reconciliation of Net Income to EBITDA and Adjusted EBITDA (Unaudited)</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117"/>
        </w:trPr>
        <w:tc>
          <w:tcPr>
            <w:tcW w:w="280" w:type="dxa"/>
            <w:vAlign w:val="bottom"/>
            <w:tcBorders>
              <w:top w:val="single" w:sz="8" w:color="auto"/>
              <w:left w:val="single" w:sz="8" w:color="auto"/>
            </w:tcBorders>
          </w:tcPr>
          <w:p>
            <w:pPr>
              <w:spacing w:after="0"/>
              <w:rPr>
                <w:sz w:val="10"/>
                <w:szCs w:val="10"/>
                <w:color w:val="auto"/>
              </w:rPr>
            </w:pPr>
          </w:p>
        </w:tc>
        <w:tc>
          <w:tcPr>
            <w:tcW w:w="8460" w:type="dxa"/>
            <w:vAlign w:val="bottom"/>
            <w:tcBorders>
              <w:top w:val="single" w:sz="8" w:color="auto"/>
              <w:righ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4"/>
          </w:tcPr>
          <w:p>
            <w:pPr>
              <w:jc w:val="center"/>
              <w:ind w:left="400"/>
              <w:spacing w:after="0" w:line="117" w:lineRule="exact"/>
              <w:rPr>
                <w:sz w:val="20"/>
                <w:szCs w:val="20"/>
                <w:color w:val="auto"/>
              </w:rPr>
            </w:pPr>
            <w:r>
              <w:rPr>
                <w:rFonts w:ascii="Arial" w:cs="Arial" w:eastAsia="Arial" w:hAnsi="Arial"/>
                <w:sz w:val="12"/>
                <w:szCs w:val="12"/>
                <w:b w:val="1"/>
                <w:bCs w:val="1"/>
                <w:color w:val="auto"/>
                <w:w w:val="92"/>
              </w:rPr>
              <w:t>Three Months Ended</w:t>
            </w: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r>
      <w:tr>
        <w:trPr>
          <w:trHeight w:val="135"/>
        </w:trPr>
        <w:tc>
          <w:tcPr>
            <w:tcW w:w="280" w:type="dxa"/>
            <w:vAlign w:val="bottom"/>
            <w:tcBorders>
              <w:left w:val="single" w:sz="8" w:color="auto"/>
              <w:bottom w:val="single" w:sz="8" w:color="auto"/>
            </w:tcBorders>
          </w:tcPr>
          <w:p>
            <w:pPr>
              <w:spacing w:after="0"/>
              <w:rPr>
                <w:sz w:val="11"/>
                <w:szCs w:val="11"/>
                <w:color w:val="auto"/>
              </w:rPr>
            </w:pPr>
          </w:p>
        </w:tc>
        <w:tc>
          <w:tcPr>
            <w:tcW w:w="846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center"/>
              <w:ind w:left="400"/>
              <w:spacing w:after="0" w:line="135" w:lineRule="exact"/>
              <w:rPr>
                <w:sz w:val="20"/>
                <w:szCs w:val="20"/>
                <w:color w:val="auto"/>
              </w:rPr>
            </w:pPr>
            <w:r>
              <w:rPr>
                <w:rFonts w:ascii="Arial" w:cs="Arial" w:eastAsia="Arial" w:hAnsi="Arial"/>
                <w:sz w:val="12"/>
                <w:szCs w:val="12"/>
                <w:b w:val="1"/>
                <w:bCs w:val="1"/>
                <w:color w:val="auto"/>
                <w:w w:val="89"/>
              </w:rPr>
              <w:t>December 31,</w:t>
            </w: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r>
        <w:trPr>
          <w:trHeight w:val="142"/>
        </w:trPr>
        <w:tc>
          <w:tcPr>
            <w:tcW w:w="8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2"/>
                <w:szCs w:val="12"/>
                <w:i w:val="1"/>
                <w:iCs w:val="1"/>
                <w:color w:val="auto"/>
              </w:rPr>
              <w:t>(in millions, except per share value)</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2017</w:t>
            </w:r>
          </w:p>
        </w:tc>
        <w:tc>
          <w:tcPr>
            <w:tcW w:w="120" w:type="dxa"/>
            <w:vAlign w:val="bottom"/>
            <w:tcBorders>
              <w:bottom w:val="single" w:sz="8" w:color="auto"/>
              <w:right w:val="single" w:sz="8" w:color="auto"/>
            </w:tcBorders>
          </w:tcPr>
          <w:p>
            <w:pPr>
              <w:spacing w:after="0"/>
              <w:rPr>
                <w:sz w:val="12"/>
                <w:szCs w:val="12"/>
                <w:color w:val="auto"/>
              </w:rPr>
            </w:pPr>
          </w:p>
        </w:tc>
      </w:tr>
      <w:tr>
        <w:trPr>
          <w:trHeight w:val="142"/>
        </w:trPr>
        <w:tc>
          <w:tcPr>
            <w:tcW w:w="8740" w:type="dxa"/>
            <w:vAlign w:val="bottom"/>
            <w:tcBorders>
              <w:left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Net Income (Loss)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(3.4)</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33.9</w:t>
            </w:r>
          </w:p>
        </w:tc>
      </w:tr>
      <w:tr>
        <w:trPr>
          <w:trHeight w:val="142"/>
        </w:trPr>
        <w:tc>
          <w:tcPr>
            <w:tcW w:w="8740" w:type="dxa"/>
            <w:vAlign w:val="bottom"/>
            <w:tcBorders>
              <w:top w:val="single" w:sz="8" w:color="CCEEFF"/>
              <w:bottom w:val="single" w:sz="8" w:color="auto"/>
            </w:tcBorders>
            <w:gridSpan w:val="2"/>
          </w:tcPr>
          <w:p>
            <w:pPr>
              <w:ind w:left="80"/>
              <w:spacing w:after="0"/>
              <w:rPr>
                <w:sz w:val="20"/>
                <w:szCs w:val="20"/>
                <w:color w:val="auto"/>
              </w:rPr>
            </w:pPr>
            <w:r>
              <w:rPr>
                <w:rFonts w:ascii="Arial" w:cs="Arial" w:eastAsia="Arial" w:hAnsi="Arial"/>
                <w:sz w:val="12"/>
                <w:szCs w:val="12"/>
                <w:color w:val="auto"/>
              </w:rPr>
              <w:t>Adjustments:</w:t>
            </w:r>
          </w:p>
        </w:tc>
        <w:tc>
          <w:tcPr>
            <w:tcW w:w="100" w:type="dxa"/>
            <w:vAlign w:val="bottom"/>
            <w:tcBorders>
              <w:top w:val="single" w:sz="8" w:color="CCEEFF"/>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r>
      <w:tr>
        <w:trPr>
          <w:trHeight w:val="142"/>
        </w:trPr>
        <w:tc>
          <w:tcPr>
            <w:tcW w:w="28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84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Depreciation &amp; amortization</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24.5</w:t>
            </w: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w:t>
            </w:r>
          </w:p>
        </w:tc>
      </w:tr>
      <w:tr>
        <w:trPr>
          <w:trHeight w:val="20"/>
        </w:trPr>
        <w:tc>
          <w:tcPr>
            <w:tcW w:w="280" w:type="dxa"/>
            <w:vAlign w:val="bottom"/>
            <w:tcBorders>
              <w:left w:val="single" w:sz="8" w:color="auto"/>
            </w:tcBorders>
            <w:shd w:val="clear" w:color="auto" w:fill="CCEEFF"/>
          </w:tcPr>
          <w:p>
            <w:pPr>
              <w:spacing w:after="0" w:line="20" w:lineRule="exact"/>
              <w:rPr>
                <w:sz w:val="1"/>
                <w:szCs w:val="1"/>
                <w:color w:val="auto"/>
              </w:rPr>
            </w:pPr>
          </w:p>
        </w:tc>
        <w:tc>
          <w:tcPr>
            <w:tcW w:w="84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r>
      <w:tr>
        <w:trPr>
          <w:trHeight w:val="142"/>
        </w:trPr>
        <w:tc>
          <w:tcPr>
            <w:tcW w:w="280" w:type="dxa"/>
            <w:vAlign w:val="bottom"/>
            <w:tcBorders>
              <w:left w:val="single" w:sz="8" w:color="auto"/>
            </w:tcBorders>
          </w:tcPr>
          <w:p>
            <w:pPr>
              <w:ind w:left="180"/>
              <w:spacing w:after="0"/>
              <w:rPr>
                <w:sz w:val="20"/>
                <w:szCs w:val="20"/>
                <w:color w:val="auto"/>
              </w:rPr>
            </w:pPr>
            <w:r>
              <w:rPr>
                <w:rFonts w:ascii="Arial" w:cs="Arial" w:eastAsia="Arial" w:hAnsi="Arial"/>
                <w:sz w:val="12"/>
                <w:szCs w:val="12"/>
                <w:color w:val="auto"/>
              </w:rPr>
              <w:t>+</w:t>
            </w:r>
          </w:p>
        </w:tc>
        <w:tc>
          <w:tcPr>
            <w:tcW w:w="84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Provision for income taxes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7.0</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18.0</w:t>
            </w:r>
          </w:p>
        </w:tc>
      </w:tr>
      <w:tr>
        <w:trPr>
          <w:trHeight w:val="20"/>
        </w:trPr>
        <w:tc>
          <w:tcPr>
            <w:tcW w:w="280" w:type="dxa"/>
            <w:vAlign w:val="bottom"/>
            <w:tcBorders>
              <w:left w:val="single" w:sz="8" w:color="auto"/>
            </w:tcBorders>
          </w:tcPr>
          <w:p>
            <w:pPr>
              <w:spacing w:after="0" w:line="20" w:lineRule="exact"/>
              <w:rPr>
                <w:sz w:val="1"/>
                <w:szCs w:val="1"/>
                <w:color w:val="auto"/>
              </w:rPr>
            </w:pPr>
          </w:p>
        </w:tc>
        <w:tc>
          <w:tcPr>
            <w:tcW w:w="846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r>
      <w:tr>
        <w:trPr>
          <w:trHeight w:val="142"/>
        </w:trPr>
        <w:tc>
          <w:tcPr>
            <w:tcW w:w="28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84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Total interest expense</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8.0</w:t>
            </w: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0.9</w:t>
            </w:r>
          </w:p>
        </w:tc>
      </w:tr>
      <w:tr>
        <w:trPr>
          <w:trHeight w:val="20"/>
        </w:trPr>
        <w:tc>
          <w:tcPr>
            <w:tcW w:w="280" w:type="dxa"/>
            <w:vAlign w:val="bottom"/>
            <w:tcBorders>
              <w:left w:val="single" w:sz="8" w:color="auto"/>
            </w:tcBorders>
            <w:shd w:val="clear" w:color="auto" w:fill="CCEEFF"/>
          </w:tcPr>
          <w:p>
            <w:pPr>
              <w:spacing w:after="0" w:line="20" w:lineRule="exact"/>
              <w:rPr>
                <w:sz w:val="1"/>
                <w:szCs w:val="1"/>
                <w:color w:val="auto"/>
              </w:rPr>
            </w:pPr>
          </w:p>
        </w:tc>
        <w:tc>
          <w:tcPr>
            <w:tcW w:w="84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r>
      <w:tr>
        <w:trPr>
          <w:trHeight w:val="142"/>
        </w:trPr>
        <w:tc>
          <w:tcPr>
            <w:tcW w:w="87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Total Adjustments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39.5</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31.3</w:t>
            </w:r>
          </w:p>
        </w:tc>
      </w:tr>
      <w:tr>
        <w:trPr>
          <w:trHeight w:val="20"/>
        </w:trPr>
        <w:tc>
          <w:tcPr>
            <w:tcW w:w="8740" w:type="dxa"/>
            <w:vAlign w:val="bottom"/>
            <w:tcBorders>
              <w:left w:val="single" w:sz="8" w:color="auto"/>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r>
      <w:tr>
        <w:trPr>
          <w:trHeight w:val="142"/>
        </w:trPr>
        <w:tc>
          <w:tcPr>
            <w:tcW w:w="8740" w:type="dxa"/>
            <w:vAlign w:val="bottom"/>
            <w:tcBorders>
              <w:left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EBITDA</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36.1</w:t>
            </w:r>
          </w:p>
        </w:tc>
        <w:tc>
          <w:tcPr>
            <w:tcW w:w="140" w:type="dxa"/>
            <w:vAlign w:val="bottom"/>
            <w:tcBorders>
              <w:right w:val="single" w:sz="8" w:color="auto"/>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65.2</w:t>
            </w:r>
          </w:p>
        </w:tc>
      </w:tr>
      <w:tr>
        <w:trPr>
          <w:trHeight w:val="142"/>
        </w:trPr>
        <w:tc>
          <w:tcPr>
            <w:tcW w:w="8740" w:type="dxa"/>
            <w:vAlign w:val="bottom"/>
            <w:tcBorders>
              <w:top w:val="single" w:sz="8" w:color="CCEEFF"/>
              <w:bottom w:val="single" w:sz="8" w:color="auto"/>
            </w:tcBorders>
            <w:gridSpan w:val="2"/>
          </w:tcPr>
          <w:p>
            <w:pPr>
              <w:ind w:left="80"/>
              <w:spacing w:after="0"/>
              <w:rPr>
                <w:sz w:val="20"/>
                <w:szCs w:val="20"/>
                <w:color w:val="auto"/>
              </w:rPr>
            </w:pPr>
            <w:r>
              <w:rPr>
                <w:rFonts w:ascii="Arial" w:cs="Arial" w:eastAsia="Arial" w:hAnsi="Arial"/>
                <w:sz w:val="12"/>
                <w:szCs w:val="12"/>
                <w:color w:val="auto"/>
              </w:rPr>
              <w:t>Additional Adjustments:</w:t>
            </w:r>
          </w:p>
        </w:tc>
        <w:tc>
          <w:tcPr>
            <w:tcW w:w="100" w:type="dxa"/>
            <w:vAlign w:val="bottom"/>
            <w:tcBorders>
              <w:top w:val="single" w:sz="8" w:color="CCEEFF"/>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CEEFF"/>
              <w:bottom w:val="single" w:sz="8" w:color="auto"/>
            </w:tcBorders>
          </w:tcPr>
          <w:p>
            <w:pPr>
              <w:spacing w:after="0"/>
              <w:rPr>
                <w:sz w:val="12"/>
                <w:szCs w:val="12"/>
                <w:color w:val="auto"/>
              </w:rPr>
            </w:pPr>
          </w:p>
        </w:tc>
        <w:tc>
          <w:tcPr>
            <w:tcW w:w="100" w:type="dxa"/>
            <w:vAlign w:val="bottom"/>
            <w:tcBorders>
              <w:top w:val="single" w:sz="8" w:color="CCEEFF"/>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r>
      <w:tr>
        <w:trPr>
          <w:trHeight w:val="142"/>
        </w:trPr>
        <w:tc>
          <w:tcPr>
            <w:tcW w:w="28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84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Acquisition-related costs (transaction &amp; integration)</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20.5</w:t>
            </w: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w:t>
            </w:r>
          </w:p>
        </w:tc>
      </w:tr>
      <w:tr>
        <w:trPr>
          <w:trHeight w:val="142"/>
        </w:trPr>
        <w:tc>
          <w:tcPr>
            <w:tcW w:w="280" w:type="dxa"/>
            <w:vAlign w:val="bottom"/>
            <w:tcBorders>
              <w:top w:val="single" w:sz="8" w:color="CCEEFF"/>
              <w:left w:val="single" w:sz="8" w:color="auto"/>
            </w:tcBorders>
          </w:tcPr>
          <w:p>
            <w:pPr>
              <w:ind w:left="180"/>
              <w:spacing w:after="0"/>
              <w:rPr>
                <w:sz w:val="20"/>
                <w:szCs w:val="20"/>
                <w:color w:val="auto"/>
              </w:rPr>
            </w:pPr>
            <w:r>
              <w:rPr>
                <w:rFonts w:ascii="Arial" w:cs="Arial" w:eastAsia="Arial" w:hAnsi="Arial"/>
                <w:sz w:val="12"/>
                <w:szCs w:val="12"/>
                <w:color w:val="auto"/>
              </w:rPr>
              <w:t>+</w:t>
            </w:r>
          </w:p>
        </w:tc>
        <w:tc>
          <w:tcPr>
            <w:tcW w:w="8460" w:type="dxa"/>
            <w:vAlign w:val="bottom"/>
            <w:tcBorders>
              <w:top w:val="single" w:sz="8" w:color="CCEEFF"/>
              <w:right w:val="single" w:sz="8" w:color="auto"/>
            </w:tcBorders>
          </w:tcPr>
          <w:p>
            <w:pPr>
              <w:ind w:left="20"/>
              <w:spacing w:after="0"/>
              <w:rPr>
                <w:sz w:val="20"/>
                <w:szCs w:val="20"/>
                <w:color w:val="auto"/>
              </w:rPr>
            </w:pPr>
            <w:r>
              <w:rPr>
                <w:rFonts w:ascii="Arial" w:cs="Arial" w:eastAsia="Arial" w:hAnsi="Arial"/>
                <w:sz w:val="12"/>
                <w:szCs w:val="12"/>
                <w:color w:val="auto"/>
              </w:rPr>
              <w:t>Exit and disposal costs</w:t>
            </w: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right w:val="single" w:sz="8" w:color="auto"/>
            </w:tcBorders>
          </w:tcPr>
          <w:p>
            <w:pPr>
              <w:spacing w:after="0"/>
              <w:rPr>
                <w:sz w:val="12"/>
                <w:szCs w:val="12"/>
                <w:color w:val="auto"/>
              </w:rPr>
            </w:pPr>
          </w:p>
        </w:tc>
      </w:tr>
      <w:tr>
        <w:trPr>
          <w:trHeight w:val="142"/>
        </w:trPr>
        <w:tc>
          <w:tcPr>
            <w:tcW w:w="28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w:t>
            </w:r>
          </w:p>
        </w:tc>
        <w:tc>
          <w:tcPr>
            <w:tcW w:w="84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Impact of purchase accounting on inventory step-up</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18.4</w:t>
            </w: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w:t>
            </w:r>
          </w:p>
        </w:tc>
      </w:tr>
      <w:tr>
        <w:trPr>
          <w:trHeight w:val="20"/>
        </w:trPr>
        <w:tc>
          <w:tcPr>
            <w:tcW w:w="280" w:type="dxa"/>
            <w:vAlign w:val="bottom"/>
            <w:tcBorders>
              <w:left w:val="single" w:sz="8" w:color="auto"/>
            </w:tcBorders>
            <w:shd w:val="clear" w:color="auto" w:fill="CCEEFF"/>
          </w:tcPr>
          <w:p>
            <w:pPr>
              <w:spacing w:after="0" w:line="20" w:lineRule="exact"/>
              <w:rPr>
                <w:sz w:val="1"/>
                <w:szCs w:val="1"/>
                <w:color w:val="auto"/>
              </w:rPr>
            </w:pPr>
          </w:p>
        </w:tc>
        <w:tc>
          <w:tcPr>
            <w:tcW w:w="84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r>
      <w:tr>
        <w:trPr>
          <w:trHeight w:val="142"/>
        </w:trPr>
        <w:tc>
          <w:tcPr>
            <w:tcW w:w="87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Total Additional Adjustments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38.9</w:t>
            </w: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1.9</w:t>
            </w:r>
          </w:p>
        </w:tc>
      </w:tr>
      <w:tr>
        <w:trPr>
          <w:trHeight w:val="20"/>
        </w:trPr>
        <w:tc>
          <w:tcPr>
            <w:tcW w:w="8740" w:type="dxa"/>
            <w:vAlign w:val="bottom"/>
            <w:tcBorders>
              <w:left w:val="single" w:sz="8" w:color="auto"/>
              <w:right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r>
      <w:tr>
        <w:trPr>
          <w:trHeight w:val="142"/>
        </w:trPr>
        <w:tc>
          <w:tcPr>
            <w:tcW w:w="8740" w:type="dxa"/>
            <w:vAlign w:val="bottom"/>
            <w:tcBorders>
              <w:left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Adjusted EBITDA</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75.0</w:t>
            </w:r>
          </w:p>
        </w:tc>
        <w:tc>
          <w:tcPr>
            <w:tcW w:w="140" w:type="dxa"/>
            <w:vAlign w:val="bottom"/>
            <w:tcBorders>
              <w:right w:val="single" w:sz="8" w:color="auto"/>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67.1</w:t>
            </w:r>
          </w:p>
        </w:tc>
      </w:tr>
      <w:tr>
        <w:trPr>
          <w:trHeight w:val="133"/>
        </w:trPr>
        <w:tc>
          <w:tcPr>
            <w:tcW w:w="280" w:type="dxa"/>
            <w:vAlign w:val="bottom"/>
            <w:tcBorders>
              <w:top w:val="single" w:sz="8" w:color="CCEEFF"/>
              <w:bottom w:val="single" w:sz="8" w:color="auto"/>
            </w:tcBorders>
          </w:tcPr>
          <w:p>
            <w:pPr>
              <w:spacing w:after="0"/>
              <w:rPr>
                <w:sz w:val="11"/>
                <w:szCs w:val="11"/>
                <w:color w:val="auto"/>
              </w:rPr>
            </w:pPr>
          </w:p>
        </w:tc>
        <w:tc>
          <w:tcPr>
            <w:tcW w:w="8460" w:type="dxa"/>
            <w:vAlign w:val="bottom"/>
            <w:tcBorders>
              <w:top w:val="single" w:sz="8" w:color="CCEEFF"/>
              <w:bottom w:val="single" w:sz="8" w:color="auto"/>
            </w:tcBorders>
          </w:tcPr>
          <w:p>
            <w:pPr>
              <w:spacing w:after="0"/>
              <w:rPr>
                <w:sz w:val="11"/>
                <w:szCs w:val="11"/>
                <w:color w:val="auto"/>
              </w:rPr>
            </w:pPr>
          </w:p>
        </w:tc>
        <w:tc>
          <w:tcPr>
            <w:tcW w:w="100" w:type="dxa"/>
            <w:vAlign w:val="bottom"/>
            <w:tcBorders>
              <w:top w:val="single" w:sz="8" w:color="CCEEFF"/>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CCEEFF"/>
              <w:bottom w:val="single" w:sz="8" w:color="auto"/>
            </w:tcBorders>
          </w:tcPr>
          <w:p>
            <w:pPr>
              <w:spacing w:after="0"/>
              <w:rPr>
                <w:sz w:val="11"/>
                <w:szCs w:val="11"/>
                <w:color w:val="auto"/>
              </w:rPr>
            </w:pPr>
          </w:p>
        </w:tc>
        <w:tc>
          <w:tcPr>
            <w:tcW w:w="100" w:type="dxa"/>
            <w:vAlign w:val="bottom"/>
            <w:tcBorders>
              <w:top w:val="single" w:sz="8" w:color="CCEEFF"/>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CCEEFF"/>
              <w:bottom w:val="single" w:sz="8" w:color="auto"/>
            </w:tcBorders>
          </w:tcPr>
          <w:p>
            <w:pPr>
              <w:spacing w:after="0"/>
              <w:rPr>
                <w:sz w:val="11"/>
                <w:szCs w:val="11"/>
                <w:color w:val="auto"/>
              </w:rPr>
            </w:pPr>
          </w:p>
        </w:tc>
      </w:tr>
      <w:tr>
        <w:trPr>
          <w:trHeight w:val="97"/>
        </w:trPr>
        <w:tc>
          <w:tcPr>
            <w:tcW w:w="280" w:type="dxa"/>
            <w:vAlign w:val="bottom"/>
            <w:tcBorders>
              <w:left w:val="single" w:sz="8" w:color="auto"/>
            </w:tcBorders>
          </w:tcPr>
          <w:p>
            <w:pPr>
              <w:spacing w:after="0"/>
              <w:rPr>
                <w:sz w:val="8"/>
                <w:szCs w:val="8"/>
                <w:color w:val="auto"/>
              </w:rPr>
            </w:pPr>
          </w:p>
        </w:tc>
        <w:tc>
          <w:tcPr>
            <w:tcW w:w="846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gridSpan w:val="4"/>
          </w:tcPr>
          <w:p>
            <w:pPr>
              <w:jc w:val="center"/>
              <w:ind w:left="380"/>
              <w:spacing w:after="0" w:line="97" w:lineRule="exact"/>
              <w:rPr>
                <w:sz w:val="20"/>
                <w:szCs w:val="20"/>
                <w:color w:val="auto"/>
              </w:rPr>
            </w:pPr>
            <w:r>
              <w:rPr>
                <w:rFonts w:ascii="Arial" w:cs="Arial" w:eastAsia="Arial" w:hAnsi="Arial"/>
                <w:sz w:val="11"/>
                <w:szCs w:val="11"/>
                <w:b w:val="1"/>
                <w:bCs w:val="1"/>
                <w:color w:val="auto"/>
                <w:w w:val="99"/>
              </w:rPr>
              <w:t>Year Ended</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35"/>
        </w:trPr>
        <w:tc>
          <w:tcPr>
            <w:tcW w:w="280" w:type="dxa"/>
            <w:vAlign w:val="bottom"/>
            <w:tcBorders>
              <w:left w:val="single" w:sz="8" w:color="auto"/>
              <w:bottom w:val="single" w:sz="8" w:color="auto"/>
            </w:tcBorders>
          </w:tcPr>
          <w:p>
            <w:pPr>
              <w:spacing w:after="0"/>
              <w:rPr>
                <w:sz w:val="11"/>
                <w:szCs w:val="11"/>
                <w:color w:val="auto"/>
              </w:rPr>
            </w:pPr>
          </w:p>
        </w:tc>
        <w:tc>
          <w:tcPr>
            <w:tcW w:w="8460" w:type="dxa"/>
            <w:vAlign w:val="bottom"/>
            <w:tcBorders>
              <w:bottom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center"/>
              <w:ind w:left="400"/>
              <w:spacing w:after="0" w:line="135" w:lineRule="exact"/>
              <w:rPr>
                <w:sz w:val="20"/>
                <w:szCs w:val="20"/>
                <w:color w:val="auto"/>
              </w:rPr>
            </w:pPr>
            <w:r>
              <w:rPr>
                <w:rFonts w:ascii="Arial" w:cs="Arial" w:eastAsia="Arial" w:hAnsi="Arial"/>
                <w:sz w:val="12"/>
                <w:szCs w:val="12"/>
                <w:b w:val="1"/>
                <w:bCs w:val="1"/>
                <w:color w:val="auto"/>
                <w:w w:val="89"/>
              </w:rPr>
              <w:t>December 31,</w:t>
            </w: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r>
        <w:trPr>
          <w:trHeight w:val="142"/>
        </w:trPr>
        <w:tc>
          <w:tcPr>
            <w:tcW w:w="87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2"/>
                <w:szCs w:val="12"/>
                <w:i w:val="1"/>
                <w:iCs w:val="1"/>
                <w:color w:val="auto"/>
              </w:rPr>
              <w:t>(in millions, except per share value)</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9"/>
              </w:rPr>
              <w:t>2017</w:t>
            </w:r>
          </w:p>
        </w:tc>
        <w:tc>
          <w:tcPr>
            <w:tcW w:w="120" w:type="dxa"/>
            <w:vAlign w:val="bottom"/>
            <w:tcBorders>
              <w:bottom w:val="single" w:sz="8" w:color="auto"/>
              <w:right w:val="single" w:sz="8" w:color="auto"/>
            </w:tcBorders>
          </w:tcPr>
          <w:p>
            <w:pPr>
              <w:spacing w:after="0"/>
              <w:rPr>
                <w:sz w:val="12"/>
                <w:szCs w:val="12"/>
                <w:color w:val="auto"/>
              </w:rPr>
            </w:pPr>
          </w:p>
        </w:tc>
      </w:tr>
      <w:tr>
        <w:trPr>
          <w:trHeight w:val="142"/>
        </w:trPr>
        <w:tc>
          <w:tcPr>
            <w:tcW w:w="8740" w:type="dxa"/>
            <w:vAlign w:val="bottom"/>
            <w:tcBorders>
              <w:left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Net Income</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62.7</w:t>
            </w:r>
          </w:p>
        </w:tc>
        <w:tc>
          <w:tcPr>
            <w:tcW w:w="140" w:type="dxa"/>
            <w:vAlign w:val="bottom"/>
            <w:tcBorders>
              <w:right w:val="single" w:sz="8" w:color="auto"/>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8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82.6</w:t>
            </w:r>
          </w:p>
        </w:tc>
      </w:tr>
      <w:tr>
        <w:trPr>
          <w:trHeight w:val="20"/>
        </w:trPr>
        <w:tc>
          <w:tcPr>
            <w:tcW w:w="280" w:type="dxa"/>
            <w:vAlign w:val="bottom"/>
            <w:tcBorders>
              <w:left w:val="single" w:sz="8" w:color="auto"/>
            </w:tcBorders>
            <w:shd w:val="clear" w:color="auto" w:fill="CCEEFF"/>
          </w:tcPr>
          <w:p>
            <w:pPr>
              <w:spacing w:after="0" w:line="20" w:lineRule="exact"/>
              <w:rPr>
                <w:sz w:val="1"/>
                <w:szCs w:val="1"/>
                <w:color w:val="auto"/>
              </w:rPr>
            </w:pPr>
          </w:p>
        </w:tc>
        <w:tc>
          <w:tcPr>
            <w:tcW w:w="84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r>
    </w:tbl>
    <w:p>
      <w:pPr>
        <w:sectPr>
          <w:pgSz w:w="11900" w:h="16850" w:orient="portrait"/>
          <w:cols w:equalWidth="0" w:num="1">
            <w:col w:w="11480"/>
          </w:cols>
          <w:pgMar w:left="220" w:top="199" w:right="199" w:bottom="0" w:gutter="0" w:footer="0" w:header="0"/>
        </w:sectPr>
      </w:pPr>
    </w:p>
    <w:bookmarkStart w:id="8" w:name="page9"/>
    <w:bookmarkEnd w:id="8"/>
    <w:p>
      <w:pPr>
        <w:ind w:left="80"/>
        <w:spacing w:after="0"/>
        <w:rPr>
          <w:sz w:val="20"/>
          <w:szCs w:val="20"/>
          <w:color w:val="auto"/>
        </w:rPr>
      </w:pPr>
      <w:r>
        <w:rPr>
          <w:rFonts w:ascii="Arial" w:cs="Arial" w:eastAsia="Arial" w:hAnsi="Arial"/>
          <w:sz w:val="12"/>
          <w:szCs w:val="12"/>
          <w:color w:val="auto"/>
        </w:rPr>
        <w:t>Adjustments:</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280" w:type="dxa"/>
            <w:vAlign w:val="bottom"/>
            <w:tcBorders>
              <w:top w:val="single" w:sz="8" w:color="auto"/>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6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Depreciation &amp; Amortization</w:t>
            </w: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61.3</w:t>
            </w:r>
          </w:p>
        </w:tc>
        <w:tc>
          <w:tcPr>
            <w:tcW w:w="140" w:type="dxa"/>
            <w:vAlign w:val="bottom"/>
            <w:tcBorders>
              <w:top w:val="single" w:sz="8" w:color="auto"/>
              <w:bottom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auto"/>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40.8</w:t>
            </w:r>
          </w:p>
        </w:tc>
        <w:tc>
          <w:tcPr>
            <w:tcW w:w="120" w:type="dxa"/>
            <w:vAlign w:val="bottom"/>
            <w:tcBorders>
              <w:top w:val="single" w:sz="8" w:color="auto"/>
              <w:bottom w:val="single" w:sz="8" w:color="CCEEFF"/>
              <w:right w:val="single" w:sz="8" w:color="auto"/>
            </w:tcBorders>
            <w:shd w:val="clear" w:color="auto" w:fill="CCEEFF"/>
          </w:tcPr>
          <w:p>
            <w:pPr>
              <w:spacing w:after="0"/>
              <w:rPr>
                <w:sz w:val="13"/>
                <w:szCs w:val="13"/>
                <w:color w:val="auto"/>
              </w:rPr>
            </w:pPr>
          </w:p>
        </w:tc>
      </w:tr>
      <w:tr>
        <w:trPr>
          <w:trHeight w:val="142"/>
        </w:trPr>
        <w:tc>
          <w:tcPr>
            <w:tcW w:w="280" w:type="dxa"/>
            <w:vAlign w:val="bottom"/>
            <w:tcBorders>
              <w:lef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6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Provision for Income Taxes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2"/>
                <w:szCs w:val="12"/>
                <w:b w:val="1"/>
                <w:bCs w:val="1"/>
                <w:color w:val="auto"/>
              </w:rPr>
              <w:t>18.8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36.0</w:t>
            </w:r>
          </w:p>
        </w:tc>
        <w:tc>
          <w:tcPr>
            <w:tcW w:w="120" w:type="dxa"/>
            <w:vAlign w:val="bottom"/>
            <w:tcBorders>
              <w:right w:val="single" w:sz="8" w:color="auto"/>
            </w:tcBorders>
          </w:tcPr>
          <w:p>
            <w:pPr>
              <w:spacing w:after="0"/>
              <w:rPr>
                <w:sz w:val="12"/>
                <w:szCs w:val="12"/>
                <w:color w:val="auto"/>
              </w:rPr>
            </w:pPr>
          </w:p>
        </w:tc>
      </w:tr>
      <w:tr>
        <w:trPr>
          <w:trHeight w:val="142"/>
        </w:trPr>
        <w:tc>
          <w:tcPr>
            <w:tcW w:w="2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Total Interest Expense</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9.9</w:t>
            </w: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r>
      <w:tr>
        <w:trPr>
          <w:trHeight w:val="142"/>
        </w:trPr>
        <w:tc>
          <w:tcPr>
            <w:tcW w:w="87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Total Adjustments</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90.0</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83.4</w:t>
            </w:r>
          </w:p>
        </w:tc>
        <w:tc>
          <w:tcPr>
            <w:tcW w:w="120" w:type="dxa"/>
            <w:vAlign w:val="bottom"/>
            <w:tcBorders>
              <w:right w:val="single" w:sz="8" w:color="auto"/>
            </w:tcBorders>
          </w:tcPr>
          <w:p>
            <w:pPr>
              <w:spacing w:after="0"/>
              <w:rPr>
                <w:sz w:val="12"/>
                <w:szCs w:val="12"/>
                <w:color w:val="auto"/>
              </w:rPr>
            </w:pPr>
          </w:p>
        </w:tc>
      </w:tr>
      <w:tr>
        <w:trPr>
          <w:trHeight w:val="142"/>
        </w:trPr>
        <w:tc>
          <w:tcPr>
            <w:tcW w:w="8740" w:type="dxa"/>
            <w:vAlign w:val="bottom"/>
            <w:tcBorders>
              <w:left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EBITDA</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70"/>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152.7</w:t>
            </w:r>
          </w:p>
        </w:tc>
        <w:tc>
          <w:tcPr>
            <w:tcW w:w="140" w:type="dxa"/>
            <w:vAlign w:val="bottom"/>
            <w:tcBorders>
              <w:right w:val="single" w:sz="8" w:color="auto"/>
            </w:tcBorders>
            <w:shd w:val="clear" w:color="auto" w:fill="CCEEFF"/>
          </w:tcPr>
          <w:p>
            <w:pPr>
              <w:spacing w:after="0"/>
              <w:rPr>
                <w:sz w:val="12"/>
                <w:szCs w:val="12"/>
                <w:color w:val="auto"/>
              </w:rPr>
            </w:pP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166.0</w:t>
            </w:r>
          </w:p>
        </w:tc>
        <w:tc>
          <w:tcPr>
            <w:tcW w:w="120" w:type="dxa"/>
            <w:vAlign w:val="bottom"/>
            <w:tcBorders>
              <w:right w:val="single" w:sz="8" w:color="auto"/>
            </w:tcBorders>
            <w:shd w:val="clear" w:color="auto" w:fill="CCEEFF"/>
          </w:tcPr>
          <w:p>
            <w:pPr>
              <w:spacing w:after="0"/>
              <w:rPr>
                <w:sz w:val="12"/>
                <w:szCs w:val="12"/>
                <w:color w:val="auto"/>
              </w:rPr>
            </w:pPr>
          </w:p>
        </w:tc>
      </w:tr>
      <w:tr>
        <w:trPr>
          <w:trHeight w:val="142"/>
        </w:trPr>
        <w:tc>
          <w:tcPr>
            <w:tcW w:w="8740" w:type="dxa"/>
            <w:vAlign w:val="bottom"/>
            <w:tcBorders>
              <w:top w:val="single" w:sz="8" w:color="CCEEFF"/>
              <w:bottom w:val="single" w:sz="8" w:color="auto"/>
            </w:tcBorders>
            <w:gridSpan w:val="2"/>
          </w:tcPr>
          <w:p>
            <w:pPr>
              <w:ind w:left="80"/>
              <w:spacing w:after="0"/>
              <w:rPr>
                <w:sz w:val="20"/>
                <w:szCs w:val="20"/>
                <w:color w:val="auto"/>
              </w:rPr>
            </w:pPr>
            <w:r>
              <w:rPr>
                <w:rFonts w:ascii="Arial" w:cs="Arial" w:eastAsia="Arial" w:hAnsi="Arial"/>
                <w:sz w:val="12"/>
                <w:szCs w:val="12"/>
                <w:color w:val="auto"/>
              </w:rPr>
              <w:t>Additional Adjustments:</w:t>
            </w:r>
          </w:p>
        </w:tc>
        <w:tc>
          <w:tcPr>
            <w:tcW w:w="100" w:type="dxa"/>
            <w:vAlign w:val="bottom"/>
            <w:tcBorders>
              <w:top w:val="single" w:sz="8" w:color="CCEEFF"/>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20" w:type="dxa"/>
            <w:vAlign w:val="bottom"/>
            <w:tcBorders>
              <w:top w:val="single" w:sz="8" w:color="CCEEFF"/>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tcBorders>
          </w:tcPr>
          <w:p>
            <w:pPr>
              <w:spacing w:after="0"/>
              <w:rPr>
                <w:sz w:val="12"/>
                <w:szCs w:val="12"/>
                <w:color w:val="auto"/>
              </w:rPr>
            </w:pPr>
          </w:p>
        </w:tc>
      </w:tr>
      <w:tr>
        <w:trPr>
          <w:trHeight w:val="142"/>
        </w:trPr>
        <w:tc>
          <w:tcPr>
            <w:tcW w:w="280" w:type="dxa"/>
            <w:vAlign w:val="bottom"/>
            <w:tcBorders>
              <w:left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6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Acquisition-related costs (transaction &amp; integration)</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27.3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w:t>
            </w:r>
          </w:p>
        </w:tc>
        <w:tc>
          <w:tcPr>
            <w:tcW w:w="120" w:type="dxa"/>
            <w:vAlign w:val="bottom"/>
            <w:tcBorders>
              <w:right w:val="single" w:sz="8" w:color="auto"/>
            </w:tcBorders>
            <w:shd w:val="clear" w:color="auto" w:fill="CCEEFF"/>
          </w:tcPr>
          <w:p>
            <w:pPr>
              <w:spacing w:after="0"/>
              <w:rPr>
                <w:sz w:val="12"/>
                <w:szCs w:val="12"/>
                <w:color w:val="auto"/>
              </w:rPr>
            </w:pPr>
          </w:p>
        </w:tc>
      </w:tr>
      <w:tr>
        <w:trPr>
          <w:trHeight w:val="142"/>
        </w:trPr>
        <w:tc>
          <w:tcPr>
            <w:tcW w:w="280" w:type="dxa"/>
            <w:vAlign w:val="bottom"/>
            <w:tcBorders>
              <w:top w:val="single" w:sz="8" w:color="CCEEFF"/>
              <w:lef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60" w:type="dxa"/>
            <w:vAlign w:val="bottom"/>
            <w:tcBorders>
              <w:top w:val="single" w:sz="8" w:color="CCEEFF"/>
              <w:right w:val="single" w:sz="8" w:color="auto"/>
            </w:tcBorders>
          </w:tcPr>
          <w:p>
            <w:pPr>
              <w:ind w:left="20"/>
              <w:spacing w:after="0"/>
              <w:rPr>
                <w:sz w:val="20"/>
                <w:szCs w:val="20"/>
                <w:color w:val="auto"/>
              </w:rPr>
            </w:pPr>
            <w:r>
              <w:rPr>
                <w:rFonts w:ascii="Arial" w:cs="Arial" w:eastAsia="Arial" w:hAnsi="Arial"/>
                <w:sz w:val="12"/>
                <w:szCs w:val="12"/>
                <w:color w:val="auto"/>
              </w:rPr>
              <w:t>Exit and disposal costs</w:t>
            </w:r>
          </w:p>
        </w:tc>
        <w:tc>
          <w:tcPr>
            <w:tcW w:w="100" w:type="dxa"/>
            <w:vAlign w:val="bottom"/>
            <w:tcBorders>
              <w:top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0.4</w:t>
            </w:r>
          </w:p>
        </w:tc>
        <w:tc>
          <w:tcPr>
            <w:tcW w:w="140" w:type="dxa"/>
            <w:vAlign w:val="bottom"/>
            <w:tcBorders>
              <w:top w:val="single" w:sz="8" w:color="CCEEFF"/>
              <w:right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20" w:type="dxa"/>
            <w:vAlign w:val="bottom"/>
            <w:tcBorders>
              <w:top w:val="single" w:sz="8" w:color="CCEEFF"/>
              <w:right w:val="single" w:sz="8" w:color="auto"/>
            </w:tcBorders>
          </w:tcPr>
          <w:p>
            <w:pPr>
              <w:spacing w:after="0"/>
              <w:rPr>
                <w:sz w:val="12"/>
                <w:szCs w:val="12"/>
                <w:color w:val="auto"/>
              </w:rPr>
            </w:pPr>
          </w:p>
        </w:tc>
      </w:tr>
      <w:tr>
        <w:trPr>
          <w:trHeight w:val="142"/>
        </w:trPr>
        <w:tc>
          <w:tcPr>
            <w:tcW w:w="2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6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Impact of purchase accounting on inventory step-up</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18.4</w:t>
            </w: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r>
      <w:tr>
        <w:trPr>
          <w:trHeight w:val="142"/>
        </w:trPr>
        <w:tc>
          <w:tcPr>
            <w:tcW w:w="87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Total Additional Adjustments</w:t>
            </w:r>
          </w:p>
        </w:tc>
        <w:tc>
          <w:tcPr>
            <w:tcW w:w="1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46.1</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w:t>
            </w:r>
          </w:p>
        </w:tc>
        <w:tc>
          <w:tcPr>
            <w:tcW w:w="120" w:type="dxa"/>
            <w:vAlign w:val="bottom"/>
            <w:tcBorders>
              <w:right w:val="single" w:sz="8" w:color="auto"/>
            </w:tcBorders>
          </w:tcPr>
          <w:p>
            <w:pPr>
              <w:spacing w:after="0"/>
              <w:rPr>
                <w:sz w:val="12"/>
                <w:szCs w:val="12"/>
                <w:color w:val="auto"/>
              </w:rPr>
            </w:pPr>
          </w:p>
        </w:tc>
      </w:tr>
      <w:tr>
        <w:trPr>
          <w:trHeight w:val="142"/>
        </w:trPr>
        <w:tc>
          <w:tcPr>
            <w:tcW w:w="8740" w:type="dxa"/>
            <w:vAlign w:val="bottom"/>
            <w:tcBorders>
              <w:left w:val="single" w:sz="8" w:color="auto"/>
              <w:right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Adjusted EBITDA</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70"/>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198.8</w:t>
            </w:r>
          </w:p>
        </w:tc>
        <w:tc>
          <w:tcPr>
            <w:tcW w:w="140" w:type="dxa"/>
            <w:vAlign w:val="bottom"/>
            <w:tcBorders>
              <w:right w:val="single" w:sz="8" w:color="auto"/>
            </w:tcBorders>
            <w:shd w:val="clear" w:color="auto" w:fill="CCEEFF"/>
          </w:tcPr>
          <w:p>
            <w:pPr>
              <w:spacing w:after="0"/>
              <w:rPr>
                <w:sz w:val="12"/>
                <w:szCs w:val="12"/>
                <w:color w:val="auto"/>
              </w:rPr>
            </w:pP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175.7</w:t>
            </w:r>
          </w:p>
        </w:tc>
        <w:tc>
          <w:tcPr>
            <w:tcW w:w="120" w:type="dxa"/>
            <w:vAlign w:val="bottom"/>
            <w:tcBorders>
              <w:right w:val="single" w:sz="8" w:color="auto"/>
            </w:tcBorders>
            <w:shd w:val="clear" w:color="auto" w:fill="CCEEFF"/>
          </w:tcPr>
          <w:p>
            <w:pPr>
              <w:spacing w:after="0"/>
              <w:rPr>
                <w:sz w:val="12"/>
                <w:szCs w:val="12"/>
                <w:color w:val="auto"/>
              </w:rPr>
            </w:pPr>
          </w:p>
        </w:tc>
      </w:tr>
      <w:tr>
        <w:trPr>
          <w:trHeight w:val="133"/>
        </w:trPr>
        <w:tc>
          <w:tcPr>
            <w:tcW w:w="280" w:type="dxa"/>
            <w:vAlign w:val="bottom"/>
            <w:tcBorders>
              <w:top w:val="single" w:sz="8" w:color="CCEEFF"/>
              <w:bottom w:val="single" w:sz="8" w:color="auto"/>
            </w:tcBorders>
          </w:tcPr>
          <w:p>
            <w:pPr>
              <w:spacing w:after="0"/>
              <w:rPr>
                <w:sz w:val="11"/>
                <w:szCs w:val="11"/>
                <w:color w:val="auto"/>
              </w:rPr>
            </w:pPr>
          </w:p>
        </w:tc>
        <w:tc>
          <w:tcPr>
            <w:tcW w:w="8460" w:type="dxa"/>
            <w:vAlign w:val="bottom"/>
            <w:tcBorders>
              <w:top w:val="single" w:sz="8" w:color="CCEEFF"/>
              <w:bottom w:val="single" w:sz="8" w:color="auto"/>
            </w:tcBorders>
          </w:tcPr>
          <w:p>
            <w:pPr>
              <w:spacing w:after="0"/>
              <w:rPr>
                <w:sz w:val="11"/>
                <w:szCs w:val="11"/>
                <w:color w:val="auto"/>
              </w:rPr>
            </w:pPr>
          </w:p>
        </w:tc>
        <w:tc>
          <w:tcPr>
            <w:tcW w:w="100" w:type="dxa"/>
            <w:vAlign w:val="bottom"/>
            <w:tcBorders>
              <w:top w:val="single" w:sz="8" w:color="CCEEFF"/>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CCEEFF"/>
              <w:bottom w:val="single" w:sz="8" w:color="auto"/>
            </w:tcBorders>
          </w:tcPr>
          <w:p>
            <w:pPr>
              <w:spacing w:after="0"/>
              <w:rPr>
                <w:sz w:val="11"/>
                <w:szCs w:val="11"/>
                <w:color w:val="auto"/>
              </w:rPr>
            </w:pPr>
          </w:p>
        </w:tc>
        <w:tc>
          <w:tcPr>
            <w:tcW w:w="80" w:type="dxa"/>
            <w:vAlign w:val="bottom"/>
            <w:tcBorders>
              <w:top w:val="single" w:sz="8" w:color="CCEEFF"/>
              <w:bottom w:val="single" w:sz="8" w:color="auto"/>
            </w:tcBorders>
          </w:tcPr>
          <w:p>
            <w:pPr>
              <w:spacing w:after="0"/>
              <w:rPr>
                <w:sz w:val="11"/>
                <w:szCs w:val="11"/>
                <w:color w:val="auto"/>
              </w:rPr>
            </w:pPr>
          </w:p>
        </w:tc>
        <w:tc>
          <w:tcPr>
            <w:tcW w:w="20" w:type="dxa"/>
            <w:vAlign w:val="bottom"/>
            <w:tcBorders>
              <w:top w:val="single" w:sz="8" w:color="CCEEFF"/>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CCEEFF"/>
              <w:bottom w:val="single" w:sz="8" w:color="auto"/>
            </w:tcBorders>
          </w:tcPr>
          <w:p>
            <w:pPr>
              <w:spacing w:after="0"/>
              <w:rPr>
                <w:sz w:val="11"/>
                <w:szCs w:val="11"/>
                <w:color w:val="auto"/>
              </w:rPr>
            </w:pPr>
          </w:p>
        </w:tc>
      </w:tr>
      <w:tr>
        <w:trPr>
          <w:trHeight w:val="97"/>
        </w:trPr>
        <w:tc>
          <w:tcPr>
            <w:tcW w:w="280" w:type="dxa"/>
            <w:vAlign w:val="bottom"/>
            <w:tcBorders>
              <w:left w:val="single" w:sz="8" w:color="auto"/>
            </w:tcBorders>
          </w:tcPr>
          <w:p>
            <w:pPr>
              <w:spacing w:after="0"/>
              <w:rPr>
                <w:sz w:val="8"/>
                <w:szCs w:val="8"/>
                <w:color w:val="auto"/>
              </w:rPr>
            </w:pPr>
          </w:p>
        </w:tc>
        <w:tc>
          <w:tcPr>
            <w:tcW w:w="8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ind w:left="140"/>
              <w:spacing w:after="0" w:line="97" w:lineRule="exact"/>
              <w:rPr>
                <w:sz w:val="20"/>
                <w:szCs w:val="20"/>
                <w:color w:val="auto"/>
              </w:rPr>
            </w:pPr>
            <w:r>
              <w:rPr>
                <w:rFonts w:ascii="Arial" w:cs="Arial" w:eastAsia="Arial" w:hAnsi="Arial"/>
                <w:sz w:val="11"/>
                <w:szCs w:val="11"/>
                <w:b w:val="1"/>
                <w:bCs w:val="1"/>
                <w:color w:val="auto"/>
              </w:rPr>
              <w:t>Full Year</w:t>
            </w:r>
          </w:p>
        </w:tc>
      </w:tr>
      <w:tr>
        <w:trPr>
          <w:trHeight w:val="135"/>
        </w:trPr>
        <w:tc>
          <w:tcPr>
            <w:tcW w:w="280" w:type="dxa"/>
            <w:vAlign w:val="bottom"/>
            <w:tcBorders>
              <w:left w:val="single" w:sz="8" w:color="auto"/>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gridSpan w:val="2"/>
          </w:tcPr>
          <w:p>
            <w:pPr>
              <w:jc w:val="right"/>
              <w:ind w:right="460"/>
              <w:spacing w:after="0" w:line="135" w:lineRule="exact"/>
              <w:rPr>
                <w:sz w:val="20"/>
                <w:szCs w:val="20"/>
                <w:color w:val="auto"/>
              </w:rPr>
            </w:pPr>
            <w:r>
              <w:rPr>
                <w:rFonts w:ascii="Arial" w:cs="Arial" w:eastAsia="Arial" w:hAnsi="Arial"/>
                <w:sz w:val="12"/>
                <w:szCs w:val="12"/>
                <w:b w:val="1"/>
                <w:bCs w:val="1"/>
                <w:color w:val="auto"/>
              </w:rPr>
              <w:t>Forecast</w:t>
            </w:r>
          </w:p>
        </w:tc>
      </w:tr>
      <w:tr>
        <w:trPr>
          <w:trHeight w:val="142"/>
        </w:trPr>
        <w:tc>
          <w:tcPr>
            <w:tcW w:w="8740" w:type="dxa"/>
            <w:vAlign w:val="bottom"/>
            <w:tcBorders>
              <w:left w:val="single" w:sz="8" w:color="auto"/>
            </w:tcBorders>
            <w:gridSpan w:val="2"/>
          </w:tcPr>
          <w:p>
            <w:pPr>
              <w:ind w:left="20"/>
              <w:spacing w:after="0"/>
              <w:rPr>
                <w:sz w:val="20"/>
                <w:szCs w:val="20"/>
                <w:color w:val="auto"/>
              </w:rPr>
            </w:pPr>
            <w:r>
              <w:rPr>
                <w:rFonts w:ascii="Arial" w:cs="Arial" w:eastAsia="Arial" w:hAnsi="Arial"/>
                <w:sz w:val="12"/>
                <w:szCs w:val="12"/>
                <w:i w:val="1"/>
                <w:iCs w:val="1"/>
                <w:color w:val="auto"/>
              </w:rPr>
              <w:t>(in millions)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2019F</w:t>
            </w:r>
          </w:p>
        </w:tc>
        <w:tc>
          <w:tcPr>
            <w:tcW w:w="120" w:type="dxa"/>
            <w:vAlign w:val="bottom"/>
            <w:tcBorders>
              <w:right w:val="single" w:sz="8" w:color="auto"/>
            </w:tcBorders>
          </w:tcPr>
          <w:p>
            <w:pPr>
              <w:spacing w:after="0"/>
              <w:rPr>
                <w:sz w:val="12"/>
                <w:szCs w:val="12"/>
                <w:color w:val="auto"/>
              </w:rPr>
            </w:pPr>
          </w:p>
        </w:tc>
      </w:tr>
      <w:tr>
        <w:trPr>
          <w:trHeight w:val="142"/>
        </w:trPr>
        <w:tc>
          <w:tcPr>
            <w:tcW w:w="8740" w:type="dxa"/>
            <w:vAlign w:val="bottom"/>
            <w:tcBorders>
              <w:left w:val="single" w:sz="8" w:color="auto"/>
              <w:righ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Net Income</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80 - $110</w:t>
            </w:r>
          </w:p>
        </w:tc>
        <w:tc>
          <w:tcPr>
            <w:tcW w:w="120" w:type="dxa"/>
            <w:vAlign w:val="bottom"/>
            <w:tcBorders>
              <w:right w:val="single" w:sz="8" w:color="auto"/>
            </w:tcBorders>
            <w:shd w:val="clear" w:color="auto" w:fill="CCEEFF"/>
          </w:tcPr>
          <w:p>
            <w:pPr>
              <w:spacing w:after="0"/>
              <w:rPr>
                <w:sz w:val="12"/>
                <w:szCs w:val="12"/>
                <w:color w:val="auto"/>
              </w:rPr>
            </w:pPr>
          </w:p>
        </w:tc>
      </w:tr>
      <w:tr>
        <w:trPr>
          <w:trHeight w:val="142"/>
        </w:trPr>
        <w:tc>
          <w:tcPr>
            <w:tcW w:w="8740" w:type="dxa"/>
            <w:vAlign w:val="bottom"/>
            <w:tcBorders>
              <w:top w:val="single" w:sz="8" w:color="CCEEFF"/>
              <w:bottom w:val="single" w:sz="8" w:color="auto"/>
            </w:tcBorders>
            <w:gridSpan w:val="2"/>
          </w:tcPr>
          <w:p>
            <w:pPr>
              <w:ind w:left="80"/>
              <w:spacing w:after="0"/>
              <w:rPr>
                <w:sz w:val="20"/>
                <w:szCs w:val="20"/>
                <w:color w:val="auto"/>
              </w:rPr>
            </w:pPr>
            <w:r>
              <w:rPr>
                <w:rFonts w:ascii="Arial" w:cs="Arial" w:eastAsia="Arial" w:hAnsi="Arial"/>
                <w:sz w:val="12"/>
                <w:szCs w:val="12"/>
                <w:color w:val="auto"/>
              </w:rPr>
              <w:t>Adjustments:</w:t>
            </w:r>
          </w:p>
        </w:tc>
        <w:tc>
          <w:tcPr>
            <w:tcW w:w="100" w:type="dxa"/>
            <w:vAlign w:val="bottom"/>
            <w:tcBorders>
              <w:top w:val="single" w:sz="8" w:color="CCEEFF"/>
              <w:bottom w:val="single" w:sz="8" w:color="auto"/>
            </w:tcBorders>
          </w:tcPr>
          <w:p>
            <w:pPr>
              <w:spacing w:after="0"/>
              <w:rPr>
                <w:sz w:val="12"/>
                <w:szCs w:val="12"/>
                <w:color w:val="auto"/>
              </w:rPr>
            </w:pPr>
          </w:p>
        </w:tc>
        <w:tc>
          <w:tcPr>
            <w:tcW w:w="480" w:type="dxa"/>
            <w:vAlign w:val="bottom"/>
            <w:tcBorders>
              <w:top w:val="single" w:sz="8" w:color="CCEEFF"/>
              <w:bottom w:val="single" w:sz="8" w:color="auto"/>
            </w:tcBorders>
          </w:tcPr>
          <w:p>
            <w:pPr>
              <w:spacing w:after="0"/>
              <w:rPr>
                <w:sz w:val="12"/>
                <w:szCs w:val="12"/>
                <w:color w:val="auto"/>
              </w:rPr>
            </w:pPr>
          </w:p>
        </w:tc>
        <w:tc>
          <w:tcPr>
            <w:tcW w:w="680" w:type="dxa"/>
            <w:vAlign w:val="bottom"/>
            <w:tcBorders>
              <w:top w:val="single" w:sz="8" w:color="CCEEFF"/>
              <w:bottom w:val="single" w:sz="8" w:color="auto"/>
            </w:tcBorders>
          </w:tcPr>
          <w:p>
            <w:pPr>
              <w:spacing w:after="0"/>
              <w:rPr>
                <w:sz w:val="12"/>
                <w:szCs w:val="12"/>
                <w:color w:val="auto"/>
              </w:rPr>
            </w:pPr>
          </w:p>
        </w:tc>
        <w:tc>
          <w:tcPr>
            <w:tcW w:w="14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right w:val="single" w:sz="8" w:color="auto"/>
            </w:tcBorders>
          </w:tcPr>
          <w:p>
            <w:pPr>
              <w:spacing w:after="0"/>
              <w:rPr>
                <w:sz w:val="12"/>
                <w:szCs w:val="12"/>
                <w:color w:val="auto"/>
              </w:rPr>
            </w:pPr>
          </w:p>
        </w:tc>
      </w:tr>
      <w:tr>
        <w:trPr>
          <w:trHeight w:val="142"/>
        </w:trPr>
        <w:tc>
          <w:tcPr>
            <w:tcW w:w="2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Depreciation &amp; amortization</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106</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r>
      <w:tr>
        <w:trPr>
          <w:trHeight w:val="142"/>
        </w:trPr>
        <w:tc>
          <w:tcPr>
            <w:tcW w:w="280" w:type="dxa"/>
            <w:vAlign w:val="bottom"/>
            <w:tcBorders>
              <w:lef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60" w:type="dxa"/>
            <w:vAlign w:val="bottom"/>
          </w:tcPr>
          <w:p>
            <w:pPr>
              <w:ind w:left="20"/>
              <w:spacing w:after="0"/>
              <w:rPr>
                <w:sz w:val="20"/>
                <w:szCs w:val="20"/>
                <w:color w:val="auto"/>
              </w:rPr>
            </w:pPr>
            <w:r>
              <w:rPr>
                <w:rFonts w:ascii="Arial" w:cs="Arial" w:eastAsia="Arial" w:hAnsi="Arial"/>
                <w:sz w:val="12"/>
                <w:szCs w:val="12"/>
                <w:color w:val="auto"/>
              </w:rPr>
              <w:t>Provision for income taxes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30</w:t>
            </w:r>
          </w:p>
        </w:tc>
        <w:tc>
          <w:tcPr>
            <w:tcW w:w="120" w:type="dxa"/>
            <w:vAlign w:val="bottom"/>
            <w:tcBorders>
              <w:right w:val="single" w:sz="8" w:color="auto"/>
            </w:tcBorders>
          </w:tcPr>
          <w:p>
            <w:pPr>
              <w:spacing w:after="0"/>
              <w:rPr>
                <w:sz w:val="12"/>
                <w:szCs w:val="12"/>
                <w:color w:val="auto"/>
              </w:rPr>
            </w:pPr>
          </w:p>
        </w:tc>
      </w:tr>
      <w:tr>
        <w:trPr>
          <w:trHeight w:val="142"/>
        </w:trPr>
        <w:tc>
          <w:tcPr>
            <w:tcW w:w="2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Total interest expense</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39</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r>
      <w:tr>
        <w:trPr>
          <w:trHeight w:val="142"/>
        </w:trPr>
        <w:tc>
          <w:tcPr>
            <w:tcW w:w="8740" w:type="dxa"/>
            <w:vAlign w:val="bottom"/>
            <w:tcBorders>
              <w:lef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Total Adjustments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175</w:t>
            </w:r>
          </w:p>
        </w:tc>
        <w:tc>
          <w:tcPr>
            <w:tcW w:w="120" w:type="dxa"/>
            <w:vAlign w:val="bottom"/>
            <w:tcBorders>
              <w:right w:val="single" w:sz="8" w:color="auto"/>
            </w:tcBorders>
          </w:tcPr>
          <w:p>
            <w:pPr>
              <w:spacing w:after="0"/>
              <w:rPr>
                <w:sz w:val="12"/>
                <w:szCs w:val="12"/>
                <w:color w:val="auto"/>
              </w:rPr>
            </w:pPr>
          </w:p>
        </w:tc>
      </w:tr>
      <w:tr>
        <w:trPr>
          <w:trHeight w:val="142"/>
        </w:trPr>
        <w:tc>
          <w:tcPr>
            <w:tcW w:w="8740" w:type="dxa"/>
            <w:vAlign w:val="bottom"/>
            <w:tcBorders>
              <w:left w:val="single" w:sz="8" w:color="auto"/>
              <w:righ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EBITDA</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2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255 - $285</w:t>
            </w:r>
          </w:p>
        </w:tc>
        <w:tc>
          <w:tcPr>
            <w:tcW w:w="120" w:type="dxa"/>
            <w:vAlign w:val="bottom"/>
            <w:tcBorders>
              <w:right w:val="single" w:sz="8" w:color="auto"/>
            </w:tcBorders>
            <w:shd w:val="clear" w:color="auto" w:fill="CCEEFF"/>
          </w:tcPr>
          <w:p>
            <w:pPr>
              <w:spacing w:after="0"/>
              <w:rPr>
                <w:sz w:val="12"/>
                <w:szCs w:val="12"/>
                <w:color w:val="auto"/>
              </w:rPr>
            </w:pPr>
          </w:p>
        </w:tc>
      </w:tr>
      <w:tr>
        <w:trPr>
          <w:trHeight w:val="142"/>
        </w:trPr>
        <w:tc>
          <w:tcPr>
            <w:tcW w:w="8740" w:type="dxa"/>
            <w:vAlign w:val="bottom"/>
            <w:tcBorders>
              <w:top w:val="single" w:sz="8" w:color="CCEEFF"/>
              <w:bottom w:val="single" w:sz="8" w:color="auto"/>
            </w:tcBorders>
            <w:gridSpan w:val="2"/>
          </w:tcPr>
          <w:p>
            <w:pPr>
              <w:ind w:left="80"/>
              <w:spacing w:after="0"/>
              <w:rPr>
                <w:sz w:val="20"/>
                <w:szCs w:val="20"/>
                <w:color w:val="auto"/>
              </w:rPr>
            </w:pPr>
            <w:r>
              <w:rPr>
                <w:rFonts w:ascii="Arial" w:cs="Arial" w:eastAsia="Arial" w:hAnsi="Arial"/>
                <w:sz w:val="12"/>
                <w:szCs w:val="12"/>
                <w:color w:val="auto"/>
              </w:rPr>
              <w:t>Additional Adjustments:</w:t>
            </w:r>
          </w:p>
        </w:tc>
        <w:tc>
          <w:tcPr>
            <w:tcW w:w="100" w:type="dxa"/>
            <w:vAlign w:val="bottom"/>
            <w:tcBorders>
              <w:top w:val="single" w:sz="8" w:color="CCEEFF"/>
              <w:bottom w:val="single" w:sz="8" w:color="auto"/>
            </w:tcBorders>
          </w:tcPr>
          <w:p>
            <w:pPr>
              <w:spacing w:after="0"/>
              <w:rPr>
                <w:sz w:val="12"/>
                <w:szCs w:val="12"/>
                <w:color w:val="auto"/>
              </w:rPr>
            </w:pPr>
          </w:p>
        </w:tc>
        <w:tc>
          <w:tcPr>
            <w:tcW w:w="480" w:type="dxa"/>
            <w:vAlign w:val="bottom"/>
            <w:tcBorders>
              <w:top w:val="single" w:sz="8" w:color="CCEEFF"/>
              <w:bottom w:val="single" w:sz="8" w:color="auto"/>
            </w:tcBorders>
          </w:tcPr>
          <w:p>
            <w:pPr>
              <w:spacing w:after="0"/>
              <w:rPr>
                <w:sz w:val="12"/>
                <w:szCs w:val="12"/>
                <w:color w:val="auto"/>
              </w:rPr>
            </w:pPr>
          </w:p>
        </w:tc>
        <w:tc>
          <w:tcPr>
            <w:tcW w:w="680" w:type="dxa"/>
            <w:vAlign w:val="bottom"/>
            <w:tcBorders>
              <w:top w:val="single" w:sz="8" w:color="CCEEFF"/>
              <w:bottom w:val="single" w:sz="8" w:color="auto"/>
            </w:tcBorders>
          </w:tcPr>
          <w:p>
            <w:pPr>
              <w:spacing w:after="0"/>
              <w:rPr>
                <w:sz w:val="12"/>
                <w:szCs w:val="12"/>
                <w:color w:val="auto"/>
              </w:rPr>
            </w:pPr>
          </w:p>
        </w:tc>
        <w:tc>
          <w:tcPr>
            <w:tcW w:w="140" w:type="dxa"/>
            <w:vAlign w:val="bottom"/>
            <w:tcBorders>
              <w:top w:val="single" w:sz="8" w:color="CCEEFF"/>
              <w:bottom w:val="single" w:sz="8" w:color="auto"/>
            </w:tcBorders>
          </w:tcPr>
          <w:p>
            <w:pPr>
              <w:spacing w:after="0"/>
              <w:rPr>
                <w:sz w:val="12"/>
                <w:szCs w:val="12"/>
                <w:color w:val="auto"/>
              </w:rPr>
            </w:pPr>
          </w:p>
        </w:tc>
        <w:tc>
          <w:tcPr>
            <w:tcW w:w="80" w:type="dxa"/>
            <w:vAlign w:val="bottom"/>
            <w:tcBorders>
              <w:top w:val="single" w:sz="8" w:color="CCEEFF"/>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CEEFF"/>
              <w:bottom w:val="single" w:sz="8" w:color="auto"/>
              <w:right w:val="single" w:sz="8" w:color="auto"/>
            </w:tcBorders>
          </w:tcPr>
          <w:p>
            <w:pPr>
              <w:spacing w:after="0"/>
              <w:rPr>
                <w:sz w:val="12"/>
                <w:szCs w:val="12"/>
                <w:color w:val="auto"/>
              </w:rPr>
            </w:pPr>
          </w:p>
        </w:tc>
      </w:tr>
      <w:tr>
        <w:trPr>
          <w:trHeight w:val="142"/>
        </w:trPr>
        <w:tc>
          <w:tcPr>
            <w:tcW w:w="2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Acquisition-related costs (transaction &amp; integration)</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r>
      <w:tr>
        <w:trPr>
          <w:trHeight w:val="142"/>
        </w:trPr>
        <w:tc>
          <w:tcPr>
            <w:tcW w:w="280" w:type="dxa"/>
            <w:vAlign w:val="bottom"/>
            <w:tcBorders>
              <w:lef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460" w:type="dxa"/>
            <w:vAlign w:val="bottom"/>
          </w:tcPr>
          <w:p>
            <w:pPr>
              <w:ind w:left="20"/>
              <w:spacing w:after="0"/>
              <w:rPr>
                <w:sz w:val="20"/>
                <w:szCs w:val="20"/>
                <w:color w:val="auto"/>
              </w:rPr>
            </w:pPr>
            <w:r>
              <w:rPr>
                <w:rFonts w:ascii="Arial" w:cs="Arial" w:eastAsia="Arial" w:hAnsi="Arial"/>
                <w:sz w:val="12"/>
                <w:szCs w:val="12"/>
                <w:color w:val="auto"/>
              </w:rPr>
              <w:t>Exit and disposal costs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w:t>
            </w:r>
          </w:p>
        </w:tc>
        <w:tc>
          <w:tcPr>
            <w:tcW w:w="120" w:type="dxa"/>
            <w:vAlign w:val="bottom"/>
            <w:tcBorders>
              <w:right w:val="single" w:sz="8" w:color="auto"/>
            </w:tcBorders>
          </w:tcPr>
          <w:p>
            <w:pPr>
              <w:spacing w:after="0"/>
              <w:rPr>
                <w:sz w:val="12"/>
                <w:szCs w:val="12"/>
                <w:color w:val="auto"/>
              </w:rPr>
            </w:pPr>
          </w:p>
        </w:tc>
      </w:tr>
      <w:tr>
        <w:trPr>
          <w:trHeight w:val="142"/>
        </w:trPr>
        <w:tc>
          <w:tcPr>
            <w:tcW w:w="280" w:type="dxa"/>
            <w:vAlign w:val="bottom"/>
            <w:tcBorders>
              <w:left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Impact of purchase accounting on inventory step-up</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r>
      <w:tr>
        <w:trPr>
          <w:trHeight w:val="142"/>
        </w:trPr>
        <w:tc>
          <w:tcPr>
            <w:tcW w:w="8740" w:type="dxa"/>
            <w:vAlign w:val="bottom"/>
            <w:tcBorders>
              <w:left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Total Additional Adjustments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w:t>
            </w:r>
          </w:p>
        </w:tc>
        <w:tc>
          <w:tcPr>
            <w:tcW w:w="120" w:type="dxa"/>
            <w:vAlign w:val="bottom"/>
            <w:tcBorders>
              <w:right w:val="single" w:sz="8" w:color="auto"/>
            </w:tcBorders>
          </w:tcPr>
          <w:p>
            <w:pPr>
              <w:spacing w:after="0"/>
              <w:rPr>
                <w:sz w:val="12"/>
                <w:szCs w:val="12"/>
                <w:color w:val="auto"/>
              </w:rPr>
            </w:pPr>
          </w:p>
        </w:tc>
      </w:tr>
      <w:tr>
        <w:trPr>
          <w:trHeight w:val="142"/>
        </w:trPr>
        <w:tc>
          <w:tcPr>
            <w:tcW w:w="8740" w:type="dxa"/>
            <w:vAlign w:val="bottom"/>
            <w:tcBorders>
              <w:left w:val="single" w:sz="8" w:color="auto"/>
              <w:bottom w:val="single" w:sz="8" w:color="CCEEFF"/>
              <w:right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Adjusted EBITDA</w:t>
            </w:r>
          </w:p>
        </w:tc>
        <w:tc>
          <w:tcPr>
            <w:tcW w:w="1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auto"/>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280 - $310</w:t>
            </w:r>
          </w:p>
        </w:tc>
        <w:tc>
          <w:tcPr>
            <w:tcW w:w="120" w:type="dxa"/>
            <w:vAlign w:val="bottom"/>
            <w:tcBorders>
              <w:bottom w:val="single" w:sz="8" w:color="CCEEFF"/>
              <w:right w:val="single" w:sz="8" w:color="auto"/>
            </w:tcBorders>
            <w:shd w:val="clear" w:color="auto" w:fill="CCEEFF"/>
          </w:tcPr>
          <w:p>
            <w:pPr>
              <w:spacing w:after="0"/>
              <w:rPr>
                <w:sz w:val="12"/>
                <w:szCs w:val="12"/>
                <w:color w:val="auto"/>
              </w:rPr>
            </w:pPr>
          </w:p>
        </w:tc>
      </w:tr>
    </w:tbl>
    <w:p>
      <w:pPr>
        <w:spacing w:after="0" w:line="1" w:lineRule="exact"/>
        <w:rPr>
          <w:sz w:val="20"/>
          <w:szCs w:val="20"/>
          <w:color w:val="auto"/>
        </w:rPr>
      </w:pPr>
    </w:p>
    <w:sectPr>
      <w:pgSz w:w="11900" w:h="16838" w:orient="portrait"/>
      <w:cols w:equalWidth="0" w:num="1">
        <w:col w:w="11480"/>
      </w:cols>
      <w:pgMar w:left="220" w:top="12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9"/>
    </w:lvl>
  </w:abstractNum>
  <w:abstractNum w:abstractNumId="2">
    <w:nsid w:val="625558EC"/>
    <w:multiLevelType w:val="hybridMultilevel"/>
    <w:lvl w:ilvl="0">
      <w:lvlJc w:val="left"/>
      <w:lvlText w:val="(%1)"/>
      <w:numFmt w:val="upperLetter"/>
      <w:start w:val="3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2019-12-28T15:56:37Z</dcterms:created>
  <dcterms:modified xsi:type="dcterms:W3CDTF">2019-12-28T15:56:37Z</dcterms:modified>
</cp:coreProperties>
</file>