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18, 2013</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Emergent BioSolutions Inc.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4"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445"/>
        </w:trPr>
        <w:tc>
          <w:tcPr>
            <w:tcW w:w="6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20850</w:t>
            </w:r>
          </w:p>
        </w:tc>
      </w:tr>
      <w:tr>
        <w:trPr>
          <w:trHeight w:val="230"/>
        </w:trPr>
        <w:tc>
          <w:tcPr>
            <w:tcW w:w="418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587375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46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5, 2013, Emergent BioSolutions Inc. announced financial and operating results for the period ended June 30, 2013. The full text of the press release issued in connection with the announcement is attached as Exhibit 99 to this Current Report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 Press release issued by the company on August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 August 5, 2013</w:t>
            </w:r>
          </w:p>
        </w:tc>
        <w:tc>
          <w:tcPr>
            <w:tcW w:w="6540" w:type="dxa"/>
            <w:vAlign w:val="bottom"/>
            <w:gridSpan w:val="3"/>
          </w:tcPr>
          <w:p>
            <w:pPr>
              <w:ind w:left="212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60" w:type="dxa"/>
            <w:vAlign w:val="bottom"/>
          </w:tcPr>
          <w:p>
            <w:pPr>
              <w:spacing w:after="0"/>
              <w:rPr>
                <w:sz w:val="16"/>
                <w:szCs w:val="16"/>
                <w:color w:val="auto"/>
              </w:rPr>
            </w:pPr>
          </w:p>
        </w:tc>
        <w:tc>
          <w:tcPr>
            <w:tcW w:w="6540" w:type="dxa"/>
            <w:vAlign w:val="bottom"/>
            <w:gridSpan w:val="3"/>
          </w:tcPr>
          <w:p>
            <w:pPr>
              <w:ind w:left="2440"/>
              <w:spacing w:after="0" w:line="190" w:lineRule="exact"/>
              <w:rPr>
                <w:sz w:val="20"/>
                <w:szCs w:val="20"/>
                <w:color w:val="auto"/>
              </w:rPr>
            </w:pPr>
            <w:r>
              <w:rPr>
                <w:rFonts w:ascii="Arial" w:cs="Arial" w:eastAsia="Arial" w:hAnsi="Arial"/>
                <w:sz w:val="18"/>
                <w:szCs w:val="18"/>
                <w:color w:val="auto"/>
              </w:rPr>
              <w:t>By:/s/Robert G. Kramer</w:t>
            </w:r>
          </w:p>
        </w:tc>
      </w:tr>
      <w:tr>
        <w:trPr>
          <w:trHeight w:val="222"/>
        </w:trPr>
        <w:tc>
          <w:tcPr>
            <w:tcW w:w="36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G. Kramer</w:t>
            </w:r>
          </w:p>
        </w:tc>
        <w:tc>
          <w:tcPr>
            <w:tcW w:w="23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ectPr>
          <w:pgSz w:w="11900" w:h="16838" w:orient="portrait"/>
          <w:cols w:equalWidth="0" w:num="1">
            <w:col w:w="11220"/>
          </w:cols>
          <w:pgMar w:left="240" w:top="364" w:right="439" w:bottom="1440" w:gutter="0" w:footer="0" w:header="0"/>
        </w:sectPr>
      </w:pPr>
    </w:p>
    <w:bookmarkStart w:id="3" w:name="page4"/>
    <w:bookmarkEnd w:id="3"/>
    <w:p>
      <w:pPr>
        <w:spacing w:after="0" w:line="4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FINANCIAL RESULTS FOR SECOND QUARTER AND FIRST SIX MONTHS OF 2013</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ROCKVILLE, MD, August 5, 2013</w:t>
      </w:r>
      <w:r>
        <w:rPr>
          <w:rFonts w:ascii="Arial" w:cs="Arial" w:eastAsia="Arial" w:hAnsi="Arial"/>
          <w:sz w:val="18"/>
          <w:szCs w:val="18"/>
          <w:color w:val="auto"/>
        </w:rPr>
        <w:t>—Emergent BioSolutions Inc. (NYSE: EBS) announced today its financial results for the second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2013.</w:t>
      </w:r>
    </w:p>
    <w:p>
      <w:pPr>
        <w:spacing w:after="0" w:line="20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Total revenues for Q2 2013 were $82.4 million as compared to $70.4 million in 2012. Total revenues for the first six months of 2013 were $125.5 million as compared to $120.7 million in 2012.</w:t>
      </w:r>
    </w:p>
    <w:p>
      <w:pPr>
        <w:spacing w:after="0" w:line="22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Net income for Q2 2013 was $ 10.5 million, or $0.29 per basic share, as compared to $7.6 million, or $0.21 per basic share, in 2012. Net income for the first six months of 2013 was $2.4 million, or $0.07 per basic share, as compared to $0.8 million, or $0.02 per basic share, in 2012.</w:t>
      </w:r>
    </w:p>
    <w:p>
      <w:pPr>
        <w:spacing w:after="0" w:line="23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company reaffirms its forecast for full year 2013 total revenues of $290 to $310 million, split between product revenues of $235 to $245 million and contracts and grants revenue of $ 55 to $65 million. The company also reaffirms its forecast for full year net income of $20 to $30 million. For Q3 2013, the company forecasts total revenues of $70 to $80 million.</w:t>
      </w:r>
    </w:p>
    <w:p>
      <w:pPr>
        <w:spacing w:after="0" w:line="230" w:lineRule="exact"/>
        <w:rPr>
          <w:sz w:val="20"/>
          <w:szCs w:val="20"/>
          <w:color w:val="auto"/>
        </w:rPr>
      </w:pPr>
    </w:p>
    <w:p>
      <w:pPr>
        <w:ind w:right="220"/>
        <w:spacing w:after="0" w:line="210" w:lineRule="auto"/>
        <w:rPr>
          <w:sz w:val="20"/>
          <w:szCs w:val="20"/>
          <w:color w:val="auto"/>
        </w:rPr>
      </w:pPr>
      <w:r>
        <w:rPr>
          <w:rFonts w:ascii="Arial" w:cs="Arial" w:eastAsia="Arial" w:hAnsi="Arial"/>
          <w:sz w:val="18"/>
          <w:szCs w:val="18"/>
          <w:color w:val="auto"/>
        </w:rPr>
        <w:t>Daniel J. Abdun-Nabi, president and chief executive officer of Emergent BioSolutions, stated, "We are very pleased with our performance for the second quarter and year-to-date. We achieved strong financial results and significantly advanced our operational objectives, including closing on the Healthcare Protective Products Division of Bracco Diagnostics, Inc, securing German approval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with a three-dose primary series and triennial boosters, and continuing to progress our biodefense and biosciences development programs. We are well positioned to continue to deliver financial results in accordance with our forecast and to execute on our growth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2013 and Subsequent Operational Accomplishments</w:t>
      </w:r>
    </w:p>
    <w:p>
      <w:pPr>
        <w:spacing w:after="0" w:line="234" w:lineRule="exact"/>
        <w:rPr>
          <w:sz w:val="20"/>
          <w:szCs w:val="20"/>
          <w:color w:val="auto"/>
        </w:rPr>
      </w:pPr>
    </w:p>
    <w:p>
      <w:pPr>
        <w:ind w:left="660" w:right="60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and closed an asset purchase agreement to acquire the Healthcare Protective Products Division (HPPD) of Bracco Diagnostics Inc.;</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Paul-Ehrlich-Institut approval to market BioThrax in Germany with a three-dose primary schedule over 6 months with triennial boosters thereafter;</w:t>
      </w:r>
    </w:p>
    <w:p>
      <w:pPr>
        <w:spacing w:after="0" w:line="196" w:lineRule="exact"/>
        <w:rPr>
          <w:rFonts w:ascii="Arial" w:cs="Arial" w:eastAsia="Arial" w:hAnsi="Arial"/>
          <w:sz w:val="18"/>
          <w:szCs w:val="18"/>
          <w:color w:val="auto"/>
        </w:rPr>
      </w:pPr>
    </w:p>
    <w:p>
      <w:pPr>
        <w:ind w:left="660" w:right="7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the Phase 3 clinical study evaluating the immunogenicity and safety of a three-dose BioThrax regimen for the post-exposure prophylaxis (PEP) indication;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enrollment in the pivotal antibiotic non-interference trial in support of the PEP indication for BioThrax;</w:t>
      </w:r>
    </w:p>
    <w:p>
      <w:pPr>
        <w:spacing w:after="0" w:line="225" w:lineRule="exact"/>
        <w:rPr>
          <w:rFonts w:ascii="Arial" w:cs="Arial" w:eastAsia="Arial" w:hAnsi="Arial"/>
          <w:sz w:val="18"/>
          <w:szCs w:val="18"/>
          <w:color w:val="auto"/>
        </w:rPr>
      </w:pPr>
    </w:p>
    <w:p>
      <w:pPr>
        <w:ind w:left="660" w:right="4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Expanded the ongoing phase 1b study of otlertuzumab (formerly TRU-016) to include two new cohorts: one cohort with a lower dose of otlertuzumab in front line chronic lymphocytic leukemia (CLL); one to evaluate the combination of otlertuzumab and rituximab in relapsed CLL patients;</w:t>
      </w:r>
    </w:p>
    <w:p>
      <w:pPr>
        <w:spacing w:after="0" w:line="202" w:lineRule="exact"/>
        <w:rPr>
          <w:rFonts w:ascii="Arial" w:cs="Arial" w:eastAsia="Arial" w:hAnsi="Arial"/>
          <w:sz w:val="18"/>
          <w:szCs w:val="18"/>
          <w:color w:val="auto"/>
        </w:rPr>
      </w:pPr>
    </w:p>
    <w:p>
      <w:pPr>
        <w:ind w:left="660" w:right="3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Announced positive preclinical efficacy and pharmacokinetic data for ES414, a bispecific ADAPTIR™ (Modular Protein Technology) molecule in development for castration-resistant prostate cancer;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Presented preclinical efficacy data on ES210, a bispecific ADAPTIR molecule in development for treating autoimmune diseases.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For Q2 2013, product sales were $65.6 million, an increase of $12.4 million from $53.2 million for Q2 2012, due to a 21% increase in the number of doses of BioThrax delivered along with a modest increase in the average sales price per dose.</w:t>
      </w:r>
    </w:p>
    <w:p>
      <w:pPr>
        <w:spacing w:after="0" w:line="224"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For the six month period of 2013, product sales were $96.0 million, an increase of $8.4 million from $87.5 million in the comparable period of 2012, due to a 7% increase in the number of doses of BioThrax delivered along with a modest increase in the average sales price per dose.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 Revenues</w:t>
      </w:r>
    </w:p>
    <w:p>
      <w:pPr>
        <w:spacing w:after="0" w:line="18"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For Q2 2013, contracts and grants revenues were $ 16.8 million, a decrease of $ 0.4 million from $ 17.2 million for Q2 2012. For the six month period of 2013, contracts and grants revenues were $29.6 million, a decrease of $3.6 million from $33.2 million for the comparable period of 2012. The decrease in both periods was primarily due to decreased revenues from the company's collaboration agreements with Abbott and Pfizer that terminated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Q2 2013, cost of product sales was $16.9 million, an increase of $3.8 million from $13.2 million for Q2 2012. For the six month period of 2013, cost of product sales was $ 22.6 million, an increase of $1.9 million from $20.7 million for the comparable period of 2012. The increase in both periods was primarily due to an increase in the number of BioThrax doses delivered.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For Q2 2013, gross research and development expenses were $30.3 million, a slight decrease from $30.6 million for Q2 2012. For the six month period of 2013, gross research and development expenses were $61.0 million, an increase of $ 4.1 million from $56.9 million for the comparable period of 2012. After adjusting for development contracts and grants revenue and the net loss attributable to noncontrolling interests, net research and development expenses for Q2 2013 were $13.3 million, as compared to $11.3 million for Q2 2012. Net research</w:t>
      </w:r>
    </w:p>
    <w:p>
      <w:pPr>
        <w:sectPr>
          <w:pgSz w:w="11900" w:h="16884" w:orient="portrait"/>
          <w:cols w:equalWidth="0" w:num="1">
            <w:col w:w="11420"/>
          </w:cols>
          <w:pgMar w:left="240" w:top="355" w:right="239" w:bottom="0" w:gutter="0" w:footer="0" w:header="0"/>
        </w:sectPr>
      </w:pPr>
    </w:p>
    <w:bookmarkStart w:id="4" w:name="page5"/>
    <w:bookmarkEnd w:id="4"/>
    <w:p>
      <w:pPr>
        <w:ind w:right="100"/>
        <w:spacing w:after="0" w:line="238" w:lineRule="auto"/>
        <w:rPr>
          <w:sz w:val="20"/>
          <w:szCs w:val="20"/>
          <w:color w:val="auto"/>
        </w:rPr>
      </w:pPr>
      <w:r>
        <w:rPr>
          <w:rFonts w:ascii="Arial" w:cs="Arial" w:eastAsia="Arial" w:hAnsi="Arial"/>
          <w:sz w:val="18"/>
          <w:szCs w:val="18"/>
          <w:color w:val="auto"/>
        </w:rPr>
        <w:t>and development expenses for the first six months of 2013 were $30.6 million, as compared to $20.4 million in the comparable period in 2012. For both periods in 2013, the increase in net research and development expenses was primarily due to development spending on the company's biosciences programs and platform technologies in an ongoing effort to position them for partnering, as well as depreciation related to the company's Baltimore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Q2 2013, selling, general and administrative expenses were $20.5 million, an increase of $2.6 million from $17.9 million for Q2 2012. For the six month period of 2013, selling, general and administrative expenses were $40.5 million, an increase of $3.1 million from $37.4 million for the comparable period of 2012. The increase in both periods was primarily due to costs related to the restructuring of the company's U.K. operations and, to a lesser extent, costs associated with increased professional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and Liquidity</w:t>
      </w:r>
    </w:p>
    <w:p>
      <w:pPr>
        <w:spacing w:after="0" w:line="18" w:lineRule="exact"/>
        <w:rPr>
          <w:sz w:val="20"/>
          <w:szCs w:val="20"/>
          <w:color w:val="auto"/>
        </w:rPr>
      </w:pPr>
    </w:p>
    <w:p>
      <w:pPr>
        <w:jc w:val="both"/>
        <w:ind w:right="560"/>
        <w:spacing w:after="0"/>
        <w:rPr>
          <w:sz w:val="20"/>
          <w:szCs w:val="20"/>
          <w:color w:val="auto"/>
        </w:rPr>
      </w:pPr>
      <w:r>
        <w:rPr>
          <w:rFonts w:ascii="Arial" w:cs="Arial" w:eastAsia="Arial" w:hAnsi="Arial"/>
          <w:sz w:val="18"/>
          <w:szCs w:val="18"/>
          <w:color w:val="auto"/>
        </w:rPr>
        <w:t>Cash and cash equivalents plus accounts receivable balance, which consists of unpaid amounts due from the US government under our procurement and development contracts, at June 30, 2013 was $210.6 million compared to $193.2 million at March 31, 2013 and $237.7 million at December 31,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Company management will host a conference call at 5:00 pm Eastern on Monday, August 5, 2013 to discuss these financial results. The conference call will be accessible by dialing </w:t>
      </w:r>
      <w:r>
        <w:rPr>
          <w:rFonts w:ascii="Arial" w:cs="Arial" w:eastAsia="Arial" w:hAnsi="Arial"/>
          <w:sz w:val="18"/>
          <w:szCs w:val="18"/>
          <w:b w:val="1"/>
          <w:bCs w:val="1"/>
          <w:color w:val="auto"/>
        </w:rPr>
        <w:t>888.713.4217</w:t>
      </w:r>
      <w:r>
        <w:rPr>
          <w:rFonts w:ascii="Arial" w:cs="Arial" w:eastAsia="Arial" w:hAnsi="Arial"/>
          <w:sz w:val="18"/>
          <w:szCs w:val="18"/>
          <w:color w:val="auto"/>
        </w:rPr>
        <w:t xml:space="preserve"> or </w:t>
      </w:r>
      <w:r>
        <w:rPr>
          <w:rFonts w:ascii="Arial" w:cs="Arial" w:eastAsia="Arial" w:hAnsi="Arial"/>
          <w:sz w:val="18"/>
          <w:szCs w:val="18"/>
          <w:b w:val="1"/>
          <w:bCs w:val="1"/>
          <w:color w:val="auto"/>
        </w:rPr>
        <w:t>617.213.4869</w:t>
      </w:r>
      <w:r>
        <w:rPr>
          <w:rFonts w:ascii="Arial" w:cs="Arial" w:eastAsia="Arial" w:hAnsi="Arial"/>
          <w:sz w:val="18"/>
          <w:szCs w:val="18"/>
          <w:color w:val="auto"/>
        </w:rPr>
        <w:t xml:space="preserve"> (international) and providing passcode </w:t>
      </w:r>
      <w:r>
        <w:rPr>
          <w:rFonts w:ascii="Arial" w:cs="Arial" w:eastAsia="Arial" w:hAnsi="Arial"/>
          <w:sz w:val="18"/>
          <w:szCs w:val="18"/>
          <w:b w:val="1"/>
          <w:bCs w:val="1"/>
          <w:color w:val="auto"/>
        </w:rPr>
        <w:t>80425830</w:t>
      </w:r>
      <w:r>
        <w:rPr>
          <w:rFonts w:ascii="Arial" w:cs="Arial" w:eastAsia="Arial" w:hAnsi="Arial"/>
          <w:sz w:val="18"/>
          <w:szCs w:val="18"/>
          <w:color w:val="auto"/>
        </w:rPr>
        <w:t>. A webcast of the conference call will be accessible from the company's website at www.emergentbiosolutions.com, under "Investors." A replay of the conference call will be accessible, approximately two hours following the conclusion of the call, by dialing 888.286.8010 or 617.801.6888 and using passcode 43500766. The replay will be available through August 12, 2013. The webcast will be archived on the company's website, www.emergentbiosolutions.com, under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Emergent BioSolutions Inc.</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Emergent BioSolutions is a specialty pharmaceutical company seeking to protect and enhance life by offering specialized products to healthcare providers and governments to address medical needs and emerging health threats. Additional information about the company may be found at www.emergentbiosolutions.com.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Follow us on twitter: @emergentbiosolu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statements regarding our financial guidance,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3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appropriations for BioThrax® procurement; our ability to successfully integrate the HPPD business and realize the benefits of the transaction; our ability to obtain new BioThrax sales contracts or modifications to existing contracts; our plans to pursue label expansions and improvements for BioThrax; availability of funding for our U.S. government grants and contracts; our ability to obtain regulatory approval for large-scale manufacturing of BioThrax in Building 55; our ability to identify and acquire companies, products or late-stage product candidates that satisfy our selection criteria; whether anticipated synergies and benefits from an acquisition or in-license are realized within expected time periods or at all; our ability to enter into selective collaboration arrangements; our ability to expand our manufacturing facilities and capabilities; the rate and degree of market acceptance and clinical utility of our products; the success of our ongoing and planned development programs; the timing of and our ability to obtain and maintain regulatory approvals for our products and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234" w:lineRule="auto"/>
        <w:rPr>
          <w:sz w:val="20"/>
          <w:szCs w:val="20"/>
          <w:color w:val="auto"/>
        </w:rPr>
      </w:pPr>
      <w:r>
        <w:rPr>
          <w:rFonts w:ascii="Arial" w:cs="Arial" w:eastAsia="Arial" w:hAnsi="Arial"/>
          <w:sz w:val="18"/>
          <w:szCs w:val="18"/>
          <w:color w:val="auto"/>
        </w:rPr>
        <w:t>Vice President, Investor Relations</w:t>
      </w:r>
    </w:p>
    <w:p>
      <w:pPr>
        <w:spacing w:after="0" w:line="235" w:lineRule="auto"/>
        <w:rPr>
          <w:sz w:val="20"/>
          <w:szCs w:val="20"/>
          <w:color w:val="auto"/>
        </w:rPr>
      </w:pPr>
      <w:r>
        <w:rPr>
          <w:rFonts w:ascii="Arial" w:cs="Arial" w:eastAsia="Arial" w:hAnsi="Arial"/>
          <w:sz w:val="18"/>
          <w:szCs w:val="18"/>
          <w:color w:val="auto"/>
        </w:rPr>
        <w:t>301-795-1877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Tracey Schmitt</w:t>
      </w:r>
    </w:p>
    <w:p>
      <w:pPr>
        <w:spacing w:after="0" w:line="234" w:lineRule="auto"/>
        <w:rPr>
          <w:sz w:val="20"/>
          <w:szCs w:val="20"/>
          <w:color w:val="auto"/>
        </w:rPr>
      </w:pPr>
      <w:r>
        <w:rPr>
          <w:rFonts w:ascii="Arial" w:cs="Arial" w:eastAsia="Arial" w:hAnsi="Arial"/>
          <w:sz w:val="18"/>
          <w:szCs w:val="18"/>
          <w:color w:val="auto"/>
        </w:rPr>
        <w:t>Vice President, Corporate Communications</w:t>
      </w:r>
    </w:p>
    <w:p>
      <w:pPr>
        <w:spacing w:after="0" w:line="235" w:lineRule="auto"/>
        <w:rPr>
          <w:sz w:val="20"/>
          <w:szCs w:val="20"/>
          <w:color w:val="auto"/>
        </w:rPr>
      </w:pPr>
      <w:r>
        <w:rPr>
          <w:rFonts w:ascii="Arial" w:cs="Arial" w:eastAsia="Arial" w:hAnsi="Arial"/>
          <w:sz w:val="18"/>
          <w:szCs w:val="18"/>
          <w:color w:val="auto"/>
        </w:rPr>
        <w:t>301-795-1800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SchmittT@ebsi.com</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Statements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5" w:name="page6"/>
    <w:bookmarkEnd w:id="5"/>
    <w:p>
      <w:pPr>
        <w:jc w:val="center"/>
        <w:ind w:right="14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560" w:type="dxa"/>
            <w:vAlign w:val="bottom"/>
            <w:vMerge w:val="restart"/>
          </w:tcPr>
          <w:p>
            <w:pPr>
              <w:ind w:left="408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156,243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141,666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18,582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tax assets,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Income tax receivable,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6,502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248,159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263,347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248,504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241,764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In-process research and development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tax assets,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555,614</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564,230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78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25,711</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31,297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15,481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22,726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indebtedness,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indebtedness, net of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56,069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560" w:type="dxa"/>
            <w:vAlign w:val="bottom"/>
          </w:tcPr>
          <w:p>
            <w:pPr>
              <w:spacing w:after="0" w:line="130" w:lineRule="exact"/>
              <w:rPr>
                <w:sz w:val="20"/>
                <w:szCs w:val="20"/>
                <w:color w:val="auto"/>
              </w:rPr>
            </w:pPr>
            <w:r>
              <w:rPr>
                <w:rFonts w:ascii="Arial" w:cs="Arial" w:eastAsia="Arial" w:hAnsi="Arial"/>
                <w:sz w:val="14"/>
                <w:szCs w:val="14"/>
                <w:color w:val="auto"/>
                <w:w w:val="97"/>
              </w:rPr>
              <w:t>Preferred stock, $0.001 par value; 15,000,000 shares authorized, 0 shares issued and outstanding at June 30, 2013 and December 31, 2012,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560" w:type="dxa"/>
            <w:vAlign w:val="bottom"/>
          </w:tcPr>
          <w:p>
            <w:pPr>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5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stock, $0.001 par value; 100,000,000 shares authorized, 36,589,921 shares issued and 36,186,763 shares outstanding at June 30, 2013;</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36,272,550 shares issued and 35,869,392 shares outstanding at December 31, 2012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4"/>
                <w:szCs w:val="14"/>
                <w:color w:val="auto"/>
              </w:rPr>
              <w:t>Treasury stock, at cost, 403,158 common shares at June 30, 2013 and December 31, 2012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(3,513)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222,814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4"/>
                <w:szCs w:val="14"/>
                <w:color w:val="auto"/>
              </w:rPr>
              <w:t>Total Emergent BioSolutions Inc. 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449,530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441,358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in subsidiaries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449,082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555,614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564,230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85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5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73" w:right="199" w:bottom="1440" w:gutter="0" w:footer="0" w:header="0"/>
        </w:sectPr>
      </w:pPr>
    </w:p>
    <w:bookmarkStart w:id="6" w:name="page7"/>
    <w:bookmarkEnd w:id="6"/>
    <w:p>
      <w:pPr>
        <w:jc w:val="center"/>
        <w:ind w:right="14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5"/>
                <w:szCs w:val="15"/>
                <w:color w:val="auto"/>
              </w:rPr>
            </w:pPr>
          </w:p>
        </w:tc>
      </w:tr>
      <w:tr>
        <w:trPr>
          <w:trHeight w:val="186"/>
        </w:trPr>
        <w:tc>
          <w:tcPr>
            <w:tcW w:w="6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Product sales</w:t>
            </w:r>
          </w:p>
        </w:tc>
        <w:tc>
          <w:tcPr>
            <w:tcW w:w="2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65,596</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53,161</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Contracts and grants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17,218</w:t>
            </w:r>
          </w:p>
        </w:tc>
        <w:tc>
          <w:tcPr>
            <w:tcW w:w="40" w:type="dxa"/>
            <w:vAlign w:val="bottom"/>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82,436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70,379</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Operating expense: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sales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13,186</w:t>
            </w: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30,278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30,645</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17,895</w:t>
            </w:r>
          </w:p>
        </w:tc>
        <w:tc>
          <w:tcPr>
            <w:tcW w:w="40" w:type="dxa"/>
            <w:vAlign w:val="bottom"/>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14,712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8,653</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(expense), net</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c>
          <w:tcPr>
            <w:tcW w:w="40" w:type="dxa"/>
            <w:vAlign w:val="bottom"/>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Total other income (expense)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936</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14,737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9,589</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4,043</w:t>
            </w:r>
          </w:p>
        </w:tc>
        <w:tc>
          <w:tcPr>
            <w:tcW w:w="40" w:type="dxa"/>
            <w:vAlign w:val="bottom"/>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10,356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5,546</w:t>
            </w:r>
          </w:p>
        </w:tc>
        <w:tc>
          <w:tcPr>
            <w:tcW w:w="40" w:type="dxa"/>
            <w:vAlign w:val="bottom"/>
          </w:tcPr>
          <w:p>
            <w:pPr>
              <w:spacing w:after="0"/>
              <w:rPr>
                <w:sz w:val="18"/>
                <w:szCs w:val="18"/>
                <w:color w:val="auto"/>
              </w:rPr>
            </w:pPr>
          </w:p>
        </w:tc>
      </w:tr>
      <w:tr>
        <w:trPr>
          <w:trHeight w:val="27"/>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noncontrolling interest</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2,086</w:t>
            </w:r>
          </w:p>
        </w:tc>
        <w:tc>
          <w:tcPr>
            <w:tcW w:w="40" w:type="dxa"/>
            <w:vAlign w:val="bottom"/>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Net income attributable to Emergent BioSolutions Inc.</w:t>
            </w:r>
          </w:p>
        </w:tc>
        <w:tc>
          <w:tcPr>
            <w:tcW w:w="2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10,484</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7,632</w:t>
            </w:r>
          </w:p>
        </w:tc>
        <w:tc>
          <w:tcPr>
            <w:tcW w:w="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Income per share - basic</w:t>
            </w:r>
          </w:p>
        </w:tc>
        <w:tc>
          <w:tcPr>
            <w:tcW w:w="2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0.29</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0.21</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per share - diluted</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0.29</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0.21</w:t>
            </w: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36,144,063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36,182,826</w:t>
            </w:r>
          </w:p>
        </w:tc>
        <w:tc>
          <w:tcPr>
            <w:tcW w:w="40" w:type="dxa"/>
            <w:vAlign w:val="bottom"/>
          </w:tcPr>
          <w:p>
            <w:pPr>
              <w:spacing w:after="0"/>
              <w:rPr>
                <w:sz w:val="18"/>
                <w:szCs w:val="18"/>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36,527,014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36,556,697</w:t>
            </w:r>
          </w:p>
        </w:tc>
        <w:tc>
          <w:tcPr>
            <w:tcW w:w="40" w:type="dxa"/>
            <w:vAlign w:val="bottom"/>
          </w:tcPr>
          <w:p>
            <w:pPr>
              <w:spacing w:after="0"/>
              <w:rPr>
                <w:sz w:val="20"/>
                <w:szCs w:val="20"/>
                <w:color w:val="auto"/>
              </w:rPr>
            </w:pPr>
          </w:p>
        </w:tc>
      </w:tr>
      <w:tr>
        <w:trPr>
          <w:trHeight w:val="1130"/>
        </w:trPr>
        <w:tc>
          <w:tcPr>
            <w:tcW w:w="6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08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73" w:right="199" w:bottom="1440" w:gutter="0" w:footer="0" w:header="0"/>
        </w:sectPr>
      </w:pPr>
    </w:p>
    <w:bookmarkStart w:id="7" w:name="page8"/>
    <w:bookmarkEnd w:id="7"/>
    <w:p>
      <w:pPr>
        <w:jc w:val="center"/>
        <w:ind w:right="14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5"/>
                <w:szCs w:val="15"/>
                <w:color w:val="auto"/>
              </w:rPr>
            </w:pPr>
          </w:p>
        </w:tc>
      </w:tr>
      <w:tr>
        <w:trPr>
          <w:trHeight w:val="186"/>
        </w:trPr>
        <w:tc>
          <w:tcPr>
            <w:tcW w:w="6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
        </w:trPr>
        <w:tc>
          <w:tcPr>
            <w:tcW w:w="6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Product sales</w:t>
            </w:r>
          </w:p>
        </w:tc>
        <w:tc>
          <w:tcPr>
            <w:tcW w:w="2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95,955</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87,518</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Contracts and grants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29,581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33,172</w:t>
            </w:r>
          </w:p>
        </w:tc>
        <w:tc>
          <w:tcPr>
            <w:tcW w:w="40" w:type="dxa"/>
            <w:vAlign w:val="bottom"/>
          </w:tcPr>
          <w:p>
            <w:pPr>
              <w:spacing w:after="0"/>
              <w:rPr>
                <w:sz w:val="18"/>
                <w:szCs w:val="18"/>
                <w:color w:val="auto"/>
              </w:rPr>
            </w:pPr>
          </w:p>
        </w:tc>
      </w:tr>
      <w:tr>
        <w:trPr>
          <w:trHeight w:val="27"/>
        </w:trPr>
        <w:tc>
          <w:tcPr>
            <w:tcW w:w="63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125,536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120,690</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4"/>
                <w:szCs w:val="14"/>
                <w:b w:val="1"/>
                <w:bCs w:val="1"/>
                <w:color w:val="auto"/>
              </w:rPr>
              <w:t>Operating expense: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sales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22,643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20,697</w:t>
            </w:r>
          </w:p>
        </w:tc>
        <w:tc>
          <w:tcPr>
            <w:tcW w:w="40" w:type="dxa"/>
            <w:vAlign w:val="bottom"/>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61,002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56,891</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40,529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37,387</w:t>
            </w:r>
          </w:p>
        </w:tc>
        <w:tc>
          <w:tcPr>
            <w:tcW w:w="40" w:type="dxa"/>
            <w:vAlign w:val="bottom"/>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Impairment of in-process research and development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9,600</w:t>
            </w:r>
          </w:p>
        </w:tc>
        <w:tc>
          <w:tcPr>
            <w:tcW w:w="40" w:type="dxa"/>
            <w:vAlign w:val="bottom"/>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(loss) from operations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(3,885)</w:t>
            </w: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Other income (expense), net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1,761</w:t>
            </w:r>
          </w:p>
        </w:tc>
        <w:tc>
          <w:tcPr>
            <w:tcW w:w="40" w:type="dxa"/>
            <w:vAlign w:val="bottom"/>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income (expense)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1,809</w:t>
            </w: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(loss) before provision for (benefit from) income taxes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(2,076)</w:t>
            </w: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403</w:t>
            </w:r>
          </w:p>
        </w:tc>
        <w:tc>
          <w:tcPr>
            <w:tcW w:w="40" w:type="dxa"/>
            <w:vAlign w:val="bottom"/>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(2,479)</w:t>
            </w:r>
          </w:p>
        </w:tc>
        <w:tc>
          <w:tcPr>
            <w:tcW w:w="40" w:type="dxa"/>
            <w:vAlign w:val="bottom"/>
          </w:tcPr>
          <w:p>
            <w:pPr>
              <w:spacing w:after="0"/>
              <w:rPr>
                <w:sz w:val="18"/>
                <w:szCs w:val="18"/>
                <w:color w:val="auto"/>
              </w:rPr>
            </w:pPr>
          </w:p>
        </w:tc>
      </w:tr>
      <w:tr>
        <w:trPr>
          <w:trHeight w:val="27"/>
        </w:trPr>
        <w:tc>
          <w:tcPr>
            <w:tcW w:w="63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tcPr>
          <w:p>
            <w:pPr>
              <w:ind w:left="160"/>
              <w:spacing w:after="0"/>
              <w:rPr>
                <w:sz w:val="20"/>
                <w:szCs w:val="20"/>
                <w:color w:val="auto"/>
              </w:rPr>
            </w:pPr>
            <w:r>
              <w:rPr>
                <w:rFonts w:ascii="Arial" w:cs="Arial" w:eastAsia="Arial" w:hAnsi="Arial"/>
                <w:sz w:val="14"/>
                <w:szCs w:val="14"/>
                <w:color w:val="auto"/>
              </w:rPr>
              <w:t>Net loss attributable to noncontrolling interest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3,279</w:t>
            </w:r>
          </w:p>
        </w:tc>
        <w:tc>
          <w:tcPr>
            <w:tcW w:w="40" w:type="dxa"/>
            <w:vAlign w:val="bottom"/>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Emergent BioSolutions Inc.</w:t>
            </w:r>
          </w:p>
        </w:tc>
        <w:tc>
          <w:tcPr>
            <w:tcW w:w="2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2,422</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22"/>
                <w:szCs w:val="22"/>
                <w:color w:val="auto"/>
              </w:rPr>
            </w:pPr>
          </w:p>
        </w:tc>
      </w:tr>
      <w:tr>
        <w:trPr>
          <w:trHeight w:val="210"/>
        </w:trPr>
        <w:tc>
          <w:tcPr>
            <w:tcW w:w="63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per share - basic</w:t>
            </w:r>
          </w:p>
        </w:tc>
        <w:tc>
          <w:tcPr>
            <w:tcW w:w="2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0.07</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4"/>
                <w:szCs w:val="14"/>
                <w:b w:val="1"/>
                <w:bCs w:val="1"/>
                <w:color w:val="auto"/>
              </w:rPr>
              <w:t>Income per share - diluted</w:t>
            </w:r>
          </w:p>
        </w:tc>
        <w:tc>
          <w:tcPr>
            <w:tcW w:w="2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0.07</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36,056,297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36,114,400</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36,247,773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36,301,335</w:t>
            </w:r>
          </w:p>
        </w:tc>
        <w:tc>
          <w:tcPr>
            <w:tcW w:w="40" w:type="dxa"/>
            <w:vAlign w:val="bottom"/>
          </w:tcPr>
          <w:p>
            <w:pPr>
              <w:spacing w:after="0"/>
              <w:rPr>
                <w:sz w:val="18"/>
                <w:szCs w:val="18"/>
                <w:color w:val="auto"/>
              </w:rPr>
            </w:pPr>
          </w:p>
        </w:tc>
      </w:tr>
      <w:tr>
        <w:trPr>
          <w:trHeight w:val="1145"/>
        </w:trPr>
        <w:tc>
          <w:tcPr>
            <w:tcW w:w="6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30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73" w:right="19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6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1,551</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(2,479)</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Adjustments to reconcile to net cash provided by (used in) operating activities: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5,425</w:t>
            </w:r>
          </w:p>
        </w:tc>
      </w:tr>
      <w:tr>
        <w:trPr>
          <w:trHeight w:val="216"/>
        </w:trPr>
        <w:tc>
          <w:tcPr>
            <w:tcW w:w="676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8,372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4,909</w:t>
            </w:r>
          </w:p>
        </w:tc>
      </w:tr>
      <w:tr>
        <w:trPr>
          <w:trHeight w:val="216"/>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and deferred income taxes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4,080</w:t>
            </w:r>
          </w:p>
        </w:tc>
      </w:tr>
      <w:tr>
        <w:trPr>
          <w:trHeight w:val="216"/>
        </w:trPr>
        <w:tc>
          <w:tcPr>
            <w:tcW w:w="6760" w:type="dxa"/>
            <w:vAlign w:val="bottom"/>
          </w:tcPr>
          <w:p>
            <w:pPr>
              <w:ind w:left="300"/>
              <w:spacing w:after="0"/>
              <w:rPr>
                <w:sz w:val="20"/>
                <w:szCs w:val="20"/>
                <w:color w:val="auto"/>
              </w:rPr>
            </w:pPr>
            <w:r>
              <w:rPr>
                <w:rFonts w:ascii="Arial" w:cs="Arial" w:eastAsia="Arial" w:hAnsi="Arial"/>
                <w:sz w:val="14"/>
                <w:szCs w:val="14"/>
                <w:color w:val="auto"/>
              </w:rPr>
              <w:t>Non-cash development expenses from joint venture</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3,632</w:t>
            </w:r>
          </w:p>
        </w:tc>
      </w:tr>
      <w:tr>
        <w:trPr>
          <w:trHeight w:val="216"/>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 in fair value of contingent value rights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(3,005)</w:t>
            </w:r>
          </w:p>
        </w:tc>
      </w:tr>
      <w:tr>
        <w:trPr>
          <w:trHeight w:val="216"/>
        </w:trPr>
        <w:tc>
          <w:tcPr>
            <w:tcW w:w="6760" w:type="dxa"/>
            <w:vAlign w:val="bottom"/>
          </w:tcPr>
          <w:p>
            <w:pPr>
              <w:ind w:left="300"/>
              <w:spacing w:after="0"/>
              <w:rPr>
                <w:sz w:val="20"/>
                <w:szCs w:val="20"/>
                <w:color w:val="auto"/>
              </w:rPr>
            </w:pPr>
            <w:r>
              <w:rPr>
                <w:rFonts w:ascii="Arial" w:cs="Arial" w:eastAsia="Arial" w:hAnsi="Arial"/>
                <w:sz w:val="14"/>
                <w:szCs w:val="14"/>
                <w:color w:val="auto"/>
              </w:rPr>
              <w:t>Impairment of in-process research and development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9,600</w:t>
            </w:r>
          </w:p>
        </w:tc>
      </w:tr>
      <w:tr>
        <w:trPr>
          <w:trHeight w:val="216"/>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Excess tax benefits from stock-based compensation</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(1,307)</w:t>
            </w:r>
          </w:p>
        </w:tc>
      </w:tr>
      <w:tr>
        <w:trPr>
          <w:trHeight w:val="216"/>
        </w:trPr>
        <w:tc>
          <w:tcPr>
            <w:tcW w:w="6760" w:type="dxa"/>
            <w:vAlign w:val="bottom"/>
          </w:tcPr>
          <w:p>
            <w:pPr>
              <w:ind w:left="300"/>
              <w:spacing w:after="0"/>
              <w:rPr>
                <w:sz w:val="20"/>
                <w:szCs w:val="20"/>
                <w:color w:val="auto"/>
              </w:rPr>
            </w:pPr>
            <w:r>
              <w:rPr>
                <w:rFonts w:ascii="Arial" w:cs="Arial" w:eastAsia="Arial" w:hAnsi="Arial"/>
                <w:sz w:val="14"/>
                <w:szCs w:val="14"/>
                <w:color w:val="auto"/>
              </w:rPr>
              <w:t>Other</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r>
      <w:tr>
        <w:trPr>
          <w:trHeight w:val="216"/>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4"/>
                <w:szCs w:val="14"/>
                <w:color w:val="auto"/>
              </w:rPr>
              <w:t>Accounts receivable</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41,674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27,338</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Inventories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(1,347)</w:t>
            </w:r>
          </w:p>
        </w:tc>
      </w:tr>
      <w:tr>
        <w:trPr>
          <w:trHeight w:val="216"/>
        </w:trPr>
        <w:tc>
          <w:tcPr>
            <w:tcW w:w="6760" w:type="dxa"/>
            <w:vAlign w:val="bottom"/>
          </w:tcPr>
          <w:p>
            <w:pPr>
              <w:ind w:left="440"/>
              <w:spacing w:after="0"/>
              <w:rPr>
                <w:sz w:val="20"/>
                <w:szCs w:val="20"/>
                <w:color w:val="auto"/>
              </w:rPr>
            </w:pPr>
            <w:r>
              <w:rPr>
                <w:rFonts w:ascii="Arial" w:cs="Arial" w:eastAsia="Arial" w:hAnsi="Arial"/>
                <w:sz w:val="14"/>
                <w:szCs w:val="14"/>
                <w:color w:val="auto"/>
              </w:rPr>
              <w:t>Income taxes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(7,999)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(2,163)</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assets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888</w:t>
            </w:r>
          </w:p>
        </w:tc>
      </w:tr>
      <w:tr>
        <w:trPr>
          <w:trHeight w:val="216"/>
        </w:trPr>
        <w:tc>
          <w:tcPr>
            <w:tcW w:w="676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(6,199)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(7,068)</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expenses and other liabilities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w:t>
            </w:r>
          </w:p>
        </w:tc>
      </w:tr>
      <w:tr>
        <w:trPr>
          <w:trHeight w:val="216"/>
        </w:trPr>
        <w:tc>
          <w:tcPr>
            <w:tcW w:w="6760" w:type="dxa"/>
            <w:vAlign w:val="bottom"/>
          </w:tcPr>
          <w:p>
            <w:pPr>
              <w:ind w:left="440"/>
              <w:spacing w:after="0"/>
              <w:rPr>
                <w:sz w:val="20"/>
                <w:szCs w:val="20"/>
                <w:color w:val="auto"/>
              </w:rPr>
            </w:pPr>
            <w:r>
              <w:rPr>
                <w:rFonts w:ascii="Arial" w:cs="Arial" w:eastAsia="Arial" w:hAnsi="Arial"/>
                <w:sz w:val="14"/>
                <w:szCs w:val="14"/>
                <w:color w:val="auto"/>
              </w:rPr>
              <w:t>Accrued compensation</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(7,130)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(6,900)</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w:t>
            </w:r>
          </w:p>
        </w:tc>
      </w:tr>
      <w:tr>
        <w:trPr>
          <w:trHeight w:val="27"/>
        </w:trPr>
        <w:tc>
          <w:tcPr>
            <w:tcW w:w="67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76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28,202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32,178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Purchases of property, plant and equipment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(14,123)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(30,921)</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sale of assets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11,765</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Proceeds from maturity of investments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1,966</w:t>
            </w:r>
          </w:p>
        </w:tc>
      </w:tr>
      <w:tr>
        <w:trPr>
          <w:trHeight w:val="223"/>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(17,190)</w:t>
            </w:r>
          </w:p>
        </w:tc>
      </w:tr>
      <w:tr>
        <w:trPr>
          <w:trHeight w:val="216"/>
        </w:trPr>
        <w:tc>
          <w:tcPr>
            <w:tcW w:w="67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borrowings on long-term indebtedness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11,413</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Issuance of common stock subject to employee equity plans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401</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Excess tax benefits from stock-based compensation</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1,307</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Principal payments on long-term indebtedness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(8,670)</w:t>
            </w: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Contingent value right payment</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(1,748)</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Restricted cash</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220</w:t>
            </w:r>
          </w:p>
        </w:tc>
      </w:tr>
      <w:tr>
        <w:trPr>
          <w:trHeight w:val="223"/>
        </w:trPr>
        <w:tc>
          <w:tcPr>
            <w:tcW w:w="6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2,923</w:t>
            </w:r>
          </w:p>
        </w:tc>
      </w:tr>
      <w:tr>
        <w:trPr>
          <w:trHeight w:val="223"/>
        </w:trPr>
        <w:tc>
          <w:tcPr>
            <w:tcW w:w="676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3"/>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r>
      <w:tr>
        <w:trPr>
          <w:trHeight w:val="216"/>
        </w:trPr>
        <w:tc>
          <w:tcPr>
            <w:tcW w:w="67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17,942</w:t>
            </w:r>
          </w:p>
        </w:tc>
      </w:tr>
      <w:tr>
        <w:trPr>
          <w:trHeight w:val="216"/>
        </w:trPr>
        <w:tc>
          <w:tcPr>
            <w:tcW w:w="6760" w:type="dxa"/>
            <w:vAlign w:val="bottom"/>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141,666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143,901</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156,243</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161,843</w:t>
            </w: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2019-12-07T13:23:33Z</dcterms:created>
  <dcterms:modified xsi:type="dcterms:W3CDTF">2019-12-07T13:23:33Z</dcterms:modified>
</cp:coreProperties>
</file>