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80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80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CEO &amp;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560" w:type="dxa"/>
            <w:vAlign w:val="bottom"/>
            <w:gridSpan w:val="3"/>
          </w:tcPr>
          <w:p>
            <w:pPr>
              <w:ind w:left="1980"/>
              <w:spacing w:after="0" w:line="170" w:lineRule="exact"/>
              <w:rPr>
                <w:sz w:val="20"/>
                <w:szCs w:val="20"/>
                <w:color w:val="auto"/>
              </w:rPr>
            </w:pPr>
            <w:r>
              <w:rPr>
                <w:rFonts w:ascii="Arial" w:cs="Arial" w:eastAsia="Arial" w:hAnsi="Arial"/>
                <w:sz w:val="18"/>
                <w:szCs w:val="18"/>
                <w:color w:val="0000FF"/>
              </w:rPr>
              <w:t>03/12/2012</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ROCKVILLE</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820" w:type="dxa"/>
            <w:vAlign w:val="bottom"/>
          </w:tcPr>
          <w:p>
            <w:pPr>
              <w:ind w:left="560"/>
              <w:spacing w:after="0"/>
              <w:rPr>
                <w:sz w:val="20"/>
                <w:szCs w:val="20"/>
                <w:color w:val="auto"/>
              </w:rPr>
            </w:pPr>
            <w:r>
              <w:rPr>
                <w:rFonts w:ascii="Arial" w:cs="Arial" w:eastAsia="Arial" w:hAnsi="Arial"/>
                <w:sz w:val="18"/>
                <w:szCs w:val="18"/>
                <w:color w:val="0000FF"/>
              </w:rPr>
              <w:t>20850</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2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20" w:type="dxa"/>
            <w:vAlign w:val="bottom"/>
            <w:gridSpan w:val="2"/>
          </w:tcPr>
          <w:p>
            <w:pPr>
              <w:ind w:left="1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gridSpan w:val="2"/>
          </w:tcPr>
          <w:p>
            <w:pPr>
              <w:ind w:left="13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gridSpan w:val="2"/>
          </w:tcPr>
          <w:p>
            <w:pPr>
              <w:ind w:left="13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restart"/>
          </w:tcPr>
          <w:p>
            <w:pPr>
              <w:ind w:left="300"/>
              <w:spacing w:after="0"/>
              <w:rPr>
                <w:sz w:val="20"/>
                <w:szCs w:val="20"/>
                <w:color w:val="auto"/>
              </w:rPr>
            </w:pPr>
            <w:r>
              <w:rPr>
                <w:rFonts w:ascii="Arial" w:cs="Arial" w:eastAsia="Arial" w:hAnsi="Arial"/>
                <w:sz w:val="18"/>
                <w:szCs w:val="18"/>
                <w:color w:val="0000FF"/>
              </w:rPr>
              <w:t>15,845</w:t>
            </w:r>
            <w:r>
              <w:rPr>
                <w:rFonts w:ascii="Arial" w:cs="Arial" w:eastAsia="Arial" w:hAnsi="Arial"/>
                <w:sz w:val="22"/>
                <w:szCs w:val="22"/>
                <w:color w:val="008000"/>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Karim</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w w:val="98"/>
              </w:rPr>
              <w:t>By Yusra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ind w:left="300"/>
              <w:spacing w:after="0" w:line="217" w:lineRule="exact"/>
              <w:rPr>
                <w:sz w:val="20"/>
                <w:szCs w:val="20"/>
                <w:color w:val="auto"/>
              </w:rPr>
            </w:pPr>
            <w:r>
              <w:rPr>
                <w:rFonts w:ascii="Arial" w:cs="Arial" w:eastAsia="Arial" w:hAnsi="Arial"/>
                <w:sz w:val="18"/>
                <w:szCs w:val="18"/>
                <w:color w:val="0000FF"/>
              </w:rPr>
              <w:t>15,845</w:t>
            </w:r>
            <w:r>
              <w:rPr>
                <w:rFonts w:ascii="Arial" w:cs="Arial" w:eastAsia="Arial" w:hAnsi="Arial"/>
                <w:sz w:val="22"/>
                <w:szCs w:val="22"/>
                <w:color w:val="008000"/>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 Faiza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ind w:left="300"/>
              <w:spacing w:after="0" w:line="217" w:lineRule="exact"/>
              <w:rPr>
                <w:sz w:val="20"/>
                <w:szCs w:val="20"/>
                <w:color w:val="auto"/>
              </w:rPr>
            </w:pPr>
            <w:r>
              <w:rPr>
                <w:rFonts w:ascii="Arial" w:cs="Arial" w:eastAsia="Arial" w:hAnsi="Arial"/>
                <w:sz w:val="18"/>
                <w:szCs w:val="18"/>
                <w:color w:val="0000FF"/>
              </w:rPr>
              <w:t>15,845</w:t>
            </w:r>
            <w:r>
              <w:rPr>
                <w:rFonts w:ascii="Arial" w:cs="Arial" w:eastAsia="Arial" w:hAnsi="Arial"/>
                <w:sz w:val="22"/>
                <w:szCs w:val="22"/>
                <w:color w:val="008000"/>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on Form 4/A is being filed to correct an understatement of 76 shares in the amount of securities beneficially owned by the reporting person as reported on the Form 4 as originally filed on March 12, 2012. Other than the correction noted above, there were no changes to the disclosure in this Form 4/A. These shares were also understated in the one Form 4 filed by the reporting person after his original Form 4 was filed.</w:t>
      </w:r>
    </w:p>
    <w:p>
      <w:pPr>
        <w:spacing w:after="0" w:line="30" w:lineRule="exact"/>
        <w:rPr>
          <w:rFonts w:ascii="Arial" w:cs="Arial" w:eastAsia="Arial" w:hAnsi="Arial"/>
          <w:sz w:val="14"/>
          <w:szCs w:val="14"/>
          <w:color w:val="008000"/>
        </w:rPr>
      </w:pPr>
    </w:p>
    <w:p>
      <w:pPr>
        <w:ind w:left="40" w:right="220" w:firstLine="9"/>
        <w:spacing w:after="0" w:line="28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a child of the reporting person. The reporting person is trustee of this trust. The reporting person disclaims beneficial ownership of these securities, and the filing of this report is not an admission that the reporting person is the beneficial owner of these securities for purposes of Section 16 or for any other purpose.</w:t>
      </w:r>
    </w:p>
    <w:p>
      <w:pPr>
        <w:ind w:left="6860"/>
        <w:spacing w:after="0" w:line="180"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3"/>
          <w:szCs w:val="33"/>
          <w:color w:val="0000FF"/>
          <w:vertAlign w:val="subscript"/>
        </w:rPr>
        <w:t>03/30/2012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2019-12-17T16:03:10Z</dcterms:created>
  <dcterms:modified xsi:type="dcterms:W3CDTF">2019-12-17T16:03:10Z</dcterms:modified>
</cp:coreProperties>
</file>