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Strei Katherine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000"/>
        <w:spacing w:after="0" w:line="305"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EVP, Chief HR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9"/>
          </w:tcPr>
          <w:p>
            <w:pPr>
              <w:jc w:val="center"/>
              <w:ind w:right="2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GAITHERSBURG MD</w:t>
            </w:r>
          </w:p>
        </w:tc>
        <w:tc>
          <w:tcPr>
            <w:tcW w:w="114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2,674</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30,655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2,674</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33,329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619</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93.49</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32,710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649</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32,061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561</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2"/>
          </w:tcPr>
          <w:p>
            <w:pPr>
              <w:jc w:val="center"/>
              <w:ind w:left="5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10,696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10,696</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3"/>
                <w:szCs w:val="13"/>
                <w:color w:val="0000FF"/>
                <w:w w:val="98"/>
              </w:rPr>
              <w:t>02/23/2028</w:t>
            </w: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10,696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-3987800</wp:posOffset>
            </wp:positionV>
            <wp:extent cx="7033895" cy="412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1268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9639"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2021-02-26T17:33:42Z</dcterms:created>
  <dcterms:modified xsi:type="dcterms:W3CDTF">2021-02-26T17:33:42Z</dcterms:modified>
</cp:coreProperties>
</file>