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29089Q105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80010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1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158" w:lineRule="exact"/>
        <w:rPr>
          <w:sz w:val="24"/>
          <w:szCs w:val="24"/>
          <w:color w:val="auto"/>
        </w:rPr>
      </w:pPr>
    </w:p>
    <w:p>
      <w:pPr>
        <w:ind w:left="220" w:right="80" w:hanging="212"/>
        <w:spacing w:after="0" w:line="275" w:lineRule="auto"/>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29089Q105</w:t>
      </w:r>
    </w:p>
    <w:p>
      <w:pPr>
        <w:spacing w:after="0" w:line="51" w:lineRule="exact"/>
        <w:rPr>
          <w:sz w:val="24"/>
          <w:szCs w:val="24"/>
          <w:color w:val="auto"/>
        </w:rPr>
      </w:pPr>
    </w:p>
    <w:p>
      <w:pPr>
        <w:ind w:left="380" w:hanging="284"/>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Dimensional Fund Advisors LP (Tax ID: 30-0447847)</w:t>
      </w:r>
    </w:p>
    <w:p>
      <w:pPr>
        <w:spacing w:after="0" w:line="30" w:lineRule="exact"/>
        <w:rPr>
          <w:sz w:val="24"/>
          <w:szCs w:val="24"/>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1" w:lineRule="exact"/>
        <w:rPr>
          <w:rFonts w:ascii="Times New Roman" w:cs="Times New Roman" w:eastAsia="Times New Roman" w:hAnsi="Times New Roman"/>
          <w:sz w:val="18"/>
          <w:szCs w:val="18"/>
          <w:color w:val="auto"/>
        </w:rPr>
      </w:pPr>
    </w:p>
    <w:p>
      <w:pPr>
        <w:ind w:left="660" w:hanging="287"/>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660" w:hanging="287"/>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 w:lineRule="exact"/>
        <w:rPr>
          <w:rFonts w:ascii="Times New Roman" w:cs="Times New Roman" w:eastAsia="Times New Roman" w:hAnsi="Times New Roman"/>
          <w:sz w:val="18"/>
          <w:szCs w:val="18"/>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9" w:lineRule="exact"/>
        <w:rPr>
          <w:rFonts w:ascii="Times New Roman" w:cs="Times New Roman" w:eastAsia="Times New Roman" w:hAnsi="Times New Roman"/>
          <w:sz w:val="18"/>
          <w:szCs w:val="18"/>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-833755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3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2115705 **see Note 1**</w:t>
            </w: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100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Times New Roman" w:cs="Times New Roman" w:eastAsia="Times New Roman" w:hAnsi="Times New Roman"/>
                <w:sz w:val="22"/>
                <w:szCs w:val="22"/>
                <w:color w:val="auto"/>
              </w:rPr>
              <w:t>2246550 **see Note 1**</w:t>
            </w:r>
          </w:p>
        </w:tc>
        <w:tc>
          <w:tcPr>
            <w:tcW w:w="0" w:type="dxa"/>
            <w:vAlign w:val="bottom"/>
          </w:tcPr>
          <w:p>
            <w:pPr>
              <w:spacing w:after="0"/>
              <w:rPr>
                <w:sz w:val="1"/>
                <w:szCs w:val="1"/>
                <w:color w:val="auto"/>
              </w:rPr>
            </w:pPr>
          </w:p>
        </w:tc>
      </w:tr>
      <w:tr>
        <w:trPr>
          <w:trHeight w:val="6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6"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4"/>
          <w:szCs w:val="24"/>
          <w:color w:val="auto"/>
        </w:rPr>
      </w:pPr>
    </w:p>
    <w:p>
      <w:pPr>
        <w:ind w:left="100"/>
        <w:spacing w:after="0"/>
        <w:tabs>
          <w:tab w:leader="none" w:pos="36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6"/>
          <w:szCs w:val="16"/>
          <w:color w:val="auto"/>
        </w:rPr>
        <w:t>Aggregate Amount Beneficially Owned by Each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2246550 **see Note 1**</w:t>
      </w:r>
    </w:p>
    <w:p>
      <w:pPr>
        <w:spacing w:after="0" w:line="30"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6"/>
          <w:szCs w:val="16"/>
          <w:color w:val="auto"/>
        </w:rPr>
        <w:t>Check if the Aggregate Amount in Row (9) Excludes Certain Shares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N/A</w:t>
      </w:r>
    </w:p>
    <w:p>
      <w:pPr>
        <w:spacing w:after="0" w:line="30"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Percent of Class Represented by Amount in Row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2" w:right="239" w:bottom="0" w:gutter="0" w:footer="0" w:header="0"/>
        </w:sectPr>
      </w:pPr>
    </w:p>
    <w:bookmarkStart w:id="1" w:name="page2"/>
    <w:bookmarkEnd w:id="1"/>
    <w:p>
      <w:pPr>
        <w:ind w:left="1020"/>
        <w:spacing w:after="0"/>
        <w:rPr>
          <w:sz w:val="20"/>
          <w:szCs w:val="20"/>
          <w:color w:val="auto"/>
        </w:rPr>
      </w:pPr>
      <w:r>
        <w:rPr>
          <w:rFonts w:ascii="Times New Roman" w:cs="Times New Roman" w:eastAsia="Times New Roman" w:hAnsi="Times New Roman"/>
          <w:sz w:val="22"/>
          <w:szCs w:val="22"/>
          <w:color w:val="auto"/>
        </w:rPr>
        <w:t>5.43%</w:t>
      </w:r>
    </w:p>
    <w:p>
      <w:pPr>
        <w:spacing w:after="0" w:line="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400 Professional Drive, Gaithersburg,MD 20879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Class of Securities Common Stock</w:t>
      </w:r>
    </w:p>
    <w:p>
      <w:pPr>
        <w:ind w:left="1760" w:right="8620" w:hanging="874"/>
        <w:spacing w:after="0" w:line="405" w:lineRule="auto"/>
        <w:tabs>
          <w:tab w:leader="none" w:pos="132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 29089Q105</w:t>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6"/>
          <w:szCs w:val="16"/>
          <w:color w:val="auto"/>
        </w:rPr>
        <w:t>If this statement is filed pursuant to Sec. 240.13d-1(b) or 240.13d-2(b) or (c), check whether the person filing is a:</w:t>
      </w:r>
    </w:p>
    <w:p>
      <w:pPr>
        <w:spacing w:after="0" w:line="91" w:lineRule="exact"/>
        <w:rPr>
          <w:sz w:val="20"/>
          <w:szCs w:val="20"/>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Sec. 240.13d-1(b)(1)(ii)(E);</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Sec. 240.13d-1(b)(1)(ii)(F);</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Sec. 240.13d-1(b)(1)(ii)(G);</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700" w:hanging="814"/>
        <w:spacing w:after="0" w:line="236" w:lineRule="exact"/>
        <w:tabs>
          <w:tab w:leader="none" w:pos="1322"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 240.13d-1(b)(1)(ii)(J);</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 240.13d-1(b)(1)(ii)(J).</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2246550 **see Note 1**</w:t>
      </w: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5.43%</w:t>
      </w:r>
    </w:p>
    <w:p>
      <w:pPr>
        <w:sectPr>
          <w:pgSz w:w="11900" w:h="16838" w:orient="portrait"/>
          <w:cols w:equalWidth="0" w:num="1">
            <w:col w:w="11200"/>
          </w:cols>
          <w:pgMar w:left="240" w:top="125" w:right="459" w:bottom="1440" w:gutter="0" w:footer="0" w:header="0"/>
        </w:sectPr>
      </w:pPr>
    </w:p>
    <w:bookmarkStart w:id="3" w:name="page4"/>
    <w:bookmarkEnd w:id="3"/>
    <w:p>
      <w:pPr>
        <w:ind w:left="1680" w:hanging="781"/>
        <w:spacing w:after="0"/>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2500" w:right="654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2115705 **see Note 1**</w:t>
      </w:r>
    </w:p>
    <w:p>
      <w:pPr>
        <w:spacing w:after="0" w:line="12" w:lineRule="exact"/>
        <w:rPr>
          <w:rFonts w:ascii="Times New Roman" w:cs="Times New Roman" w:eastAsia="Times New Roman" w:hAnsi="Times New Roman"/>
          <w:sz w:val="18"/>
          <w:szCs w:val="18"/>
          <w:color w:val="auto"/>
        </w:rPr>
      </w:pPr>
    </w:p>
    <w:p>
      <w:pPr>
        <w:ind w:left="2500" w:right="638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2" w:lineRule="exact"/>
        <w:rPr>
          <w:rFonts w:ascii="Times New Roman" w:cs="Times New Roman" w:eastAsia="Times New Roman" w:hAnsi="Times New Roman"/>
          <w:sz w:val="18"/>
          <w:szCs w:val="18"/>
          <w:color w:val="auto"/>
        </w:rPr>
      </w:pPr>
    </w:p>
    <w:p>
      <w:pPr>
        <w:ind w:left="2500" w:right="566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2246550 **see Note 1**</w:t>
      </w:r>
    </w:p>
    <w:p>
      <w:pPr>
        <w:spacing w:after="0" w:line="12" w:lineRule="exact"/>
        <w:rPr>
          <w:rFonts w:ascii="Times New Roman" w:cs="Times New Roman" w:eastAsia="Times New Roman" w:hAnsi="Times New Roman"/>
          <w:sz w:val="18"/>
          <w:szCs w:val="18"/>
          <w:color w:val="auto"/>
        </w:rPr>
      </w:pPr>
    </w:p>
    <w:p>
      <w:pPr>
        <w:ind w:left="2500" w:right="550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52" w:lineRule="exact"/>
        <w:rPr>
          <w:rFonts w:ascii="Times New Roman" w:cs="Times New Roman" w:eastAsia="Times New Roman" w:hAnsi="Times New Roman"/>
          <w:sz w:val="18"/>
          <w:szCs w:val="18"/>
          <w:color w:val="auto"/>
        </w:rPr>
      </w:pPr>
    </w:p>
    <w:p>
      <w:pPr>
        <w:ind w:left="920" w:firstLine="1"/>
        <w:spacing w:after="0" w:line="253" w:lineRule="auto"/>
        <w:tabs>
          <w:tab w:leader="none" w:pos="11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6"/>
          <w:szCs w:val="16"/>
          <w:color w:val="auto"/>
        </w:rPr>
        <w:t>Ownership of Five Percent or Less of a Class</w:t>
      </w:r>
    </w:p>
    <w:p>
      <w:pPr>
        <w:spacing w:after="0" w:line="11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6"/>
          <w:szCs w:val="16"/>
          <w:color w:val="auto"/>
        </w:rPr>
        <w:t>Ownership of More than Five Percent on Behalf of Another Person</w:t>
      </w:r>
    </w:p>
    <w:p>
      <w:pPr>
        <w:spacing w:after="0" w:line="117" w:lineRule="exact"/>
        <w:rPr>
          <w:sz w:val="20"/>
          <w:szCs w:val="20"/>
          <w:color w:val="auto"/>
        </w:rPr>
      </w:pPr>
    </w:p>
    <w:p>
      <w:pPr>
        <w:ind w:left="920" w:right="80"/>
        <w:spacing w:after="0" w:line="262" w:lineRule="auto"/>
        <w:rPr>
          <w:sz w:val="20"/>
          <w:szCs w:val="20"/>
          <w:color w:val="auto"/>
        </w:rPr>
      </w:pPr>
      <w:r>
        <w:rPr>
          <w:rFonts w:ascii="Times New Roman" w:cs="Times New Roman" w:eastAsia="Times New Roman" w:hAnsi="Times New Roman"/>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78" w:lineRule="exact"/>
        <w:rPr>
          <w:sz w:val="20"/>
          <w:szCs w:val="20"/>
          <w:color w:val="auto"/>
        </w:rPr>
      </w:pPr>
    </w:p>
    <w:p>
      <w:pPr>
        <w:ind w:left="920" w:right="40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6"/>
          <w:szCs w:val="16"/>
          <w:color w:val="auto"/>
        </w:rPr>
        <w:t>Certification</w:t>
      </w:r>
    </w:p>
    <w:p>
      <w:pPr>
        <w:spacing w:after="0" w:line="117" w:lineRule="exact"/>
        <w:rPr>
          <w:sz w:val="20"/>
          <w:szCs w:val="20"/>
          <w:color w:val="auto"/>
        </w:rPr>
      </w:pPr>
    </w:p>
    <w:p>
      <w:pPr>
        <w:ind w:left="1360" w:right="100"/>
        <w:spacing w:after="0" w:line="258"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3" w:right="259" w:bottom="1440" w:gutter="0" w:footer="0" w:header="0"/>
        </w:sectPr>
      </w:pPr>
    </w:p>
    <w:bookmarkStart w:id="4" w:name="page5"/>
    <w:bookmarkEnd w:id="4"/>
    <w:p>
      <w:pPr>
        <w:ind w:left="52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February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0780"/>
      </w:cols>
      <w:pgMar w:left="240" w:top="12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2019-12-07T05:11:36Z</dcterms:created>
  <dcterms:modified xsi:type="dcterms:W3CDTF">2019-12-07T05:11:36Z</dcterms:modified>
</cp:coreProperties>
</file>