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Strei Katherine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20"/>
        <w:spacing w:after="0" w:line="315"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EVP, Chief HR Officer</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20" w:type="dxa"/>
            <w:vAlign w:val="bottom"/>
            <w:gridSpan w:val="9"/>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GAITHERSBURG MD</w:t>
            </w:r>
          </w:p>
        </w:tc>
        <w:tc>
          <w:tcPr>
            <w:tcW w:w="1340" w:type="dxa"/>
            <w:vAlign w:val="bottom"/>
            <w:vMerge w:val="restart"/>
          </w:tcPr>
          <w:p>
            <w:pPr>
              <w:ind w:left="220"/>
              <w:spacing w:after="0"/>
              <w:rPr>
                <w:sz w:val="20"/>
                <w:szCs w:val="20"/>
                <w:color w:val="auto"/>
              </w:rPr>
            </w:pPr>
            <w:r>
              <w:rPr>
                <w:rFonts w:ascii="Arial" w:cs="Arial" w:eastAsia="Arial" w:hAnsi="Arial"/>
                <w:sz w:val="17"/>
                <w:szCs w:val="17"/>
                <w:color w:val="0000FF"/>
              </w:rPr>
              <w:t>20879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02/09/2021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2,014</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30,023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02/09/2021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2,042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123.45</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27,981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18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Performance Stock Units ("PSUs") previously granted on February 27, 2018 under the company's stock incentive plan as amended and restated. Each PSU represents the right to receive one share of common stock, which vested at a specified percentage based upon achievement with respect to adjusted net income as a percentage of total GAAP revenue for the 2020 fiscal year, as certified by the Compensation Committee following the performance period. On February 9, 2021, the Compensation Committee certified the achievement of the 2018-2020 PSUs at a payout factor of 150% of target resulting in the actual award of 6,043 shares of common stock, which is in excess of the 4,029 shares previously reported on March 1, 2018.</w:t>
      </w:r>
    </w:p>
    <w:p>
      <w:pPr>
        <w:spacing w:after="0" w:line="14"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to pay taxes due upon vesting of the PSUs.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 Scott Lieberman,</w:t>
            </w:r>
          </w:p>
        </w:tc>
        <w:tc>
          <w:tcPr>
            <w:tcW w:w="4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02/11/2021</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9639"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2021-02-11T20:24:13Z</dcterms:created>
  <dcterms:modified xsi:type="dcterms:W3CDTF">2021-02-11T20:24:13Z</dcterms:modified>
</cp:coreProperties>
</file>