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Date of Report (Date of earliest event reported): April 1, 2021</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EMERGENT BIOSOLUTIONS INC.</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1380" w:type="dxa"/>
        <w:tblCellMar>
          <w:top w:w="0" w:type="dxa"/>
          <w:left w:w="0" w:type="dxa"/>
          <w:bottom w:w="0" w:type="dxa"/>
          <w:right w:w="0" w:type="dxa"/>
        </w:tblCellMar>
      </w:tblPr>
      <w:tr>
        <w:trPr>
          <w:trHeight w:val="184"/>
        </w:trPr>
        <w:tc>
          <w:tcPr>
            <w:tcW w:w="2480" w:type="dxa"/>
            <w:vAlign w:val="bottom"/>
          </w:tcPr>
          <w:p>
            <w:pPr>
              <w:jc w:val="center"/>
              <w:ind w:right="909"/>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jc w:val="right"/>
              <w:ind w:right="1509"/>
              <w:spacing w:after="0"/>
              <w:rPr>
                <w:sz w:val="20"/>
                <w:szCs w:val="20"/>
                <w:color w:val="auto"/>
              </w:rPr>
            </w:pPr>
            <w:r>
              <w:rPr>
                <w:rFonts w:ascii="Arial" w:cs="Arial" w:eastAsia="Arial" w:hAnsi="Arial"/>
                <w:sz w:val="14"/>
                <w:szCs w:val="14"/>
                <w:b w:val="1"/>
                <w:bCs w:val="1"/>
                <w:color w:val="auto"/>
              </w:rPr>
              <w:t>001-33137</w:t>
            </w:r>
          </w:p>
        </w:tc>
        <w:tc>
          <w:tcPr>
            <w:tcW w:w="2140" w:type="dxa"/>
            <w:vAlign w:val="bottom"/>
          </w:tcPr>
          <w:p>
            <w:pPr>
              <w:jc w:val="center"/>
              <w:ind w:left="1029"/>
              <w:spacing w:after="0"/>
              <w:rPr>
                <w:sz w:val="20"/>
                <w:szCs w:val="20"/>
                <w:color w:val="auto"/>
              </w:rPr>
            </w:pPr>
            <w:r>
              <w:rPr>
                <w:rFonts w:ascii="Arial" w:cs="Arial" w:eastAsia="Arial" w:hAnsi="Arial"/>
                <w:sz w:val="14"/>
                <w:szCs w:val="14"/>
                <w:b w:val="1"/>
                <w:bCs w:val="1"/>
                <w:color w:val="auto"/>
                <w:w w:val="90"/>
              </w:rPr>
              <w:t>14-1902018</w:t>
            </w:r>
          </w:p>
        </w:tc>
      </w:tr>
      <w:tr>
        <w:trPr>
          <w:trHeight w:val="180"/>
        </w:trPr>
        <w:tc>
          <w:tcPr>
            <w:tcW w:w="2480" w:type="dxa"/>
            <w:vAlign w:val="bottom"/>
          </w:tcPr>
          <w:p>
            <w:pPr>
              <w:jc w:val="center"/>
              <w:ind w:right="909"/>
              <w:spacing w:after="0"/>
              <w:rPr>
                <w:sz w:val="20"/>
                <w:szCs w:val="20"/>
                <w:color w:val="auto"/>
              </w:rPr>
            </w:pPr>
            <w:r>
              <w:rPr>
                <w:rFonts w:ascii="Arial" w:cs="Arial" w:eastAsia="Arial" w:hAnsi="Arial"/>
                <w:sz w:val="14"/>
                <w:szCs w:val="14"/>
                <w:color w:val="auto"/>
                <w:w w:val="94"/>
              </w:rPr>
              <w:t>(State or other jurisdiction</w:t>
            </w:r>
          </w:p>
        </w:tc>
        <w:tc>
          <w:tcPr>
            <w:tcW w:w="3660" w:type="dxa"/>
            <w:vAlign w:val="bottom"/>
          </w:tcPr>
          <w:p>
            <w:pPr>
              <w:jc w:val="center"/>
              <w:ind w:right="69"/>
              <w:spacing w:after="0"/>
              <w:rPr>
                <w:sz w:val="20"/>
                <w:szCs w:val="20"/>
                <w:color w:val="auto"/>
              </w:rPr>
            </w:pPr>
            <w:r>
              <w:rPr>
                <w:rFonts w:ascii="Arial" w:cs="Arial" w:eastAsia="Arial" w:hAnsi="Arial"/>
                <w:sz w:val="14"/>
                <w:szCs w:val="14"/>
                <w:color w:val="auto"/>
                <w:w w:val="93"/>
              </w:rPr>
              <w:t>(Commission File Number)</w:t>
            </w:r>
          </w:p>
        </w:tc>
        <w:tc>
          <w:tcPr>
            <w:tcW w:w="2140" w:type="dxa"/>
            <w:vAlign w:val="bottom"/>
          </w:tcPr>
          <w:p>
            <w:pPr>
              <w:jc w:val="center"/>
              <w:ind w:left="1049"/>
              <w:spacing w:after="0"/>
              <w:rPr>
                <w:sz w:val="20"/>
                <w:szCs w:val="20"/>
                <w:color w:val="auto"/>
              </w:rPr>
            </w:pPr>
            <w:r>
              <w:rPr>
                <w:rFonts w:ascii="Arial" w:cs="Arial" w:eastAsia="Arial" w:hAnsi="Arial"/>
                <w:sz w:val="14"/>
                <w:szCs w:val="14"/>
                <w:color w:val="auto"/>
                <w:w w:val="94"/>
              </w:rPr>
              <w:t>(IRS Employer</w:t>
            </w:r>
          </w:p>
        </w:tc>
      </w:tr>
      <w:tr>
        <w:trPr>
          <w:trHeight w:val="180"/>
        </w:trPr>
        <w:tc>
          <w:tcPr>
            <w:tcW w:w="2480" w:type="dxa"/>
            <w:vAlign w:val="bottom"/>
          </w:tcPr>
          <w:p>
            <w:pPr>
              <w:jc w:val="center"/>
              <w:ind w:right="889"/>
              <w:spacing w:after="0"/>
              <w:rPr>
                <w:sz w:val="20"/>
                <w:szCs w:val="20"/>
                <w:color w:val="auto"/>
              </w:rPr>
            </w:pPr>
            <w:r>
              <w:rPr>
                <w:rFonts w:ascii="Arial" w:cs="Arial" w:eastAsia="Arial" w:hAnsi="Arial"/>
                <w:sz w:val="14"/>
                <w:szCs w:val="14"/>
                <w:color w:val="auto"/>
                <w:w w:val="94"/>
              </w:rPr>
              <w:t>of incorporation)</w:t>
            </w:r>
          </w:p>
        </w:tc>
        <w:tc>
          <w:tcPr>
            <w:tcW w:w="3660" w:type="dxa"/>
            <w:vAlign w:val="bottom"/>
          </w:tcPr>
          <w:p>
            <w:pPr>
              <w:spacing w:after="0"/>
              <w:rPr>
                <w:sz w:val="15"/>
                <w:szCs w:val="15"/>
                <w:color w:val="auto"/>
              </w:rPr>
            </w:pPr>
          </w:p>
        </w:tc>
        <w:tc>
          <w:tcPr>
            <w:tcW w:w="2140" w:type="dxa"/>
            <w:vAlign w:val="bottom"/>
          </w:tcPr>
          <w:p>
            <w:pPr>
              <w:jc w:val="center"/>
              <w:ind w:left="1029"/>
              <w:spacing w:after="0"/>
              <w:rPr>
                <w:sz w:val="20"/>
                <w:szCs w:val="20"/>
                <w:color w:val="auto"/>
              </w:rPr>
            </w:pPr>
            <w:r>
              <w:rPr>
                <w:rFonts w:ascii="Arial" w:cs="Arial" w:eastAsia="Arial" w:hAnsi="Arial"/>
                <w:sz w:val="14"/>
                <w:szCs w:val="14"/>
                <w:color w:val="auto"/>
                <w:w w:val="95"/>
              </w:rPr>
              <w:t>Identification No.)</w:t>
            </w:r>
          </w:p>
        </w:tc>
      </w:tr>
    </w:tbl>
    <w:p>
      <w:pPr>
        <w:spacing w:after="0" w:line="54"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700" w:firstLine="5"/>
        <w:spacing w:after="0" w:line="506"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250" w:type="dxa"/>
        <w:tblCellMar>
          <w:top w:w="0" w:type="dxa"/>
          <w:left w:w="0" w:type="dxa"/>
          <w:bottom w:w="0" w:type="dxa"/>
          <w:right w:w="0" w:type="dxa"/>
        </w:tblCellMar>
      </w:tblPr>
      <w:tr>
        <w:trPr>
          <w:trHeight w:val="171"/>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171"/>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EBS</w:t>
            </w: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233"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1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08"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8.01. Other Events</w:t>
      </w:r>
      <w:r>
        <w:rPr>
          <w:rFonts w:ascii="Arial" w:cs="Arial" w:eastAsia="Arial" w:hAnsi="Arial"/>
          <w:sz w:val="14"/>
          <w:szCs w:val="14"/>
          <w:color w:val="auto"/>
        </w:rPr>
        <w:t>.</w:t>
      </w:r>
    </w:p>
    <w:p>
      <w:pPr>
        <w:spacing w:after="0" w:line="20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On April 1, 2021, Emergent BioSolutions Inc. issued a company statement in connection with the status of current manufacturing of COVID-19 vaccines at the company’s Baltimore Bayview Facility. A copy of that statement is attached hereto as Exhibit 99.</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r>
        <w:rPr>
          <w:rFonts w:ascii="Arial" w:cs="Arial" w:eastAsia="Arial" w:hAnsi="Arial"/>
          <w:sz w:val="14"/>
          <w:szCs w:val="14"/>
          <w:color w:val="auto"/>
        </w:rPr>
        <w:t>.</w:t>
      </w:r>
    </w:p>
    <w:p>
      <w:pPr>
        <w:spacing w:after="0" w:line="289" w:lineRule="exact"/>
        <w:rPr>
          <w:sz w:val="20"/>
          <w:szCs w:val="20"/>
          <w:color w:val="auto"/>
        </w:rPr>
      </w:pPr>
    </w:p>
    <w:p>
      <w:pPr>
        <w:ind w:left="320" w:hanging="315"/>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79"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0039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3935" cy="6985"/>
                    </a:xfrm>
                    <a:prstGeom prst="rect">
                      <a:avLst/>
                    </a:prstGeom>
                    <a:noFill/>
                  </pic:spPr>
                </pic:pic>
              </a:graphicData>
            </a:graphic>
          </wp:anchor>
        </w:drawing>
      </w:r>
    </w:p>
    <w:p>
      <w:pPr>
        <w:spacing w:after="0" w:line="14" w:lineRule="exact"/>
        <w:rPr>
          <w:sz w:val="20"/>
          <w:szCs w:val="20"/>
          <w:color w:val="auto"/>
        </w:rPr>
      </w:pPr>
    </w:p>
    <w:p>
      <w:pPr>
        <w:ind w:left="1940" w:hanging="1215"/>
        <w:spacing w:after="0"/>
        <w:tabs>
          <w:tab w:leader="none" w:pos="1940" w:val="left"/>
        </w:tabs>
        <w:numPr>
          <w:ilvl w:val="0"/>
          <w:numId w:val="3"/>
        </w:numPr>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Company statement issued on April 1, 2021.</w:t>
        </w:r>
      </w:hyperlink>
    </w:p>
    <w:p>
      <w:pPr>
        <w:spacing w:after="0" w:line="41" w:lineRule="exact"/>
        <w:rPr>
          <w:sz w:val="20"/>
          <w:szCs w:val="20"/>
          <w:color w:val="auto"/>
        </w:rPr>
      </w:pPr>
    </w:p>
    <w:p>
      <w:pPr>
        <w:jc w:val="both"/>
        <w:ind w:left="1940" w:right="1260" w:hanging="1251"/>
        <w:spacing w:after="0" w:line="251" w:lineRule="auto"/>
        <w:tabs>
          <w:tab w:leader="none" w:pos="1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Emergent BioSolutions Inc. Current Report on Form 8-K, dated April 1, 2021, formatted in XBRL (Extensible Business Reporting Language): Cover Page. The instance document does not appear in the Interactive Data File because its XBRL tags are embedded within the Inline XBRL document.</w:t>
      </w:r>
    </w:p>
    <w:p>
      <w:pPr>
        <w:spacing w:after="0" w:line="4" w:lineRule="exact"/>
        <w:rPr>
          <w:sz w:val="20"/>
          <w:szCs w:val="20"/>
          <w:color w:val="auto"/>
        </w:rPr>
      </w:pPr>
    </w:p>
    <w:p>
      <w:pPr>
        <w:ind w:left="680"/>
        <w:spacing w:after="0"/>
        <w:tabs>
          <w:tab w:leader="none" w:pos="19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EMERGENT BIOSOLUTIONS INC.</w:t>
      </w:r>
    </w:p>
    <w:p>
      <w:pPr>
        <w:spacing w:after="0" w:line="204" w:lineRule="exact"/>
        <w:rPr>
          <w:sz w:val="20"/>
          <w:szCs w:val="20"/>
          <w:color w:val="auto"/>
        </w:rPr>
      </w:pPr>
    </w:p>
    <w:p>
      <w:pPr>
        <w:ind w:left="520"/>
        <w:spacing w:after="0"/>
        <w:tabs>
          <w:tab w:leader="none" w:pos="5780" w:val="left"/>
          <w:tab w:leader="none" w:pos="6240" w:val="left"/>
        </w:tabs>
        <w:rPr>
          <w:sz w:val="20"/>
          <w:szCs w:val="20"/>
          <w:color w:val="auto"/>
        </w:rPr>
      </w:pPr>
      <w:r>
        <w:rPr>
          <w:rFonts w:ascii="Arial" w:cs="Arial" w:eastAsia="Arial" w:hAnsi="Arial"/>
          <w:sz w:val="14"/>
          <w:szCs w:val="14"/>
          <w:color w:val="auto"/>
        </w:rPr>
        <w:t>Dated: April 1,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12065</wp:posOffset>
            </wp:positionV>
            <wp:extent cx="28765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4"/>
          <w:szCs w:val="14"/>
          <w:color w:val="auto"/>
        </w:rPr>
        <w:t>Name: Richard S. Lindahl</w:t>
      </w:r>
    </w:p>
    <w:p>
      <w:pPr>
        <w:ind w:left="6260"/>
        <w:spacing w:after="0" w:line="205" w:lineRule="auto"/>
        <w:rPr>
          <w:sz w:val="20"/>
          <w:szCs w:val="20"/>
          <w:color w:val="auto"/>
        </w:rPr>
      </w:pPr>
      <w:r>
        <w:rPr>
          <w:rFonts w:ascii="Arial" w:cs="Arial" w:eastAsia="Arial" w:hAnsi="Arial"/>
          <w:sz w:val="14"/>
          <w:szCs w:val="14"/>
          <w:color w:val="auto"/>
        </w:rPr>
        <w:t>Title: Executive Vice President, Chief Financial</w:t>
      </w:r>
    </w:p>
    <w:p>
      <w:pPr>
        <w:ind w:left="6760"/>
        <w:spacing w:after="0"/>
        <w:rPr>
          <w:sz w:val="20"/>
          <w:szCs w:val="20"/>
          <w:color w:val="auto"/>
        </w:rPr>
      </w:pPr>
      <w:r>
        <w:rPr>
          <w:rFonts w:ascii="Arial" w:cs="Arial" w:eastAsia="Arial" w:hAnsi="Arial"/>
          <w:sz w:val="14"/>
          <w:szCs w:val="14"/>
          <w:color w:val="auto"/>
        </w:rPr>
        <w:t>Officer and Treasurer</w:t>
      </w:r>
    </w:p>
    <w:p>
      <w:pPr>
        <w:sectPr>
          <w:pgSz w:w="11900" w:h="16838" w:orient="portrait"/>
          <w:cols w:equalWidth="0" w:num="1">
            <w:col w:w="11280"/>
          </w:cols>
          <w:pgMar w:left="300" w:top="92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9"/>
    </w:lvl>
  </w:abstractNum>
  <w:abstractNum w:abstractNumId="3">
    <w:nsid w:val="625558EC"/>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2021-04-01T16:12:17Z</dcterms:created>
  <dcterms:modified xsi:type="dcterms:W3CDTF">2021-04-01T16:12:17Z</dcterms:modified>
</cp:coreProperties>
</file>