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29089Q 10 5</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14, 2007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60"/>
        <w:spacing w:after="0"/>
        <w:tabs>
          <w:tab w:leader="none" w:pos="4060" w:val="left"/>
          <w:tab w:leader="none" w:pos="748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29089Q 10 5</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color w:val="auto"/>
        </w:rPr>
        <w:t>Page 2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1160" w:hanging="679"/>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Apax Europe IV GP Co.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40005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1160" w:hanging="679"/>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b w:val="1"/>
          <w:bCs w:val="1"/>
          <w:color w:val="auto"/>
        </w:rPr>
      </w:pPr>
    </w:p>
    <w:p>
      <w:pPr>
        <w:ind w:left="2260" w:hanging="304"/>
        <w:spacing w:after="0"/>
        <w:tabs>
          <w:tab w:leader="none" w:pos="2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60" w:hanging="314"/>
        <w:spacing w:after="0"/>
        <w:tabs>
          <w:tab w:leader="none" w:pos="2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48895</wp:posOffset>
            </wp:positionV>
            <wp:extent cx="58489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-164465</wp:posOffset>
            </wp:positionV>
            <wp:extent cx="5848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160" w:hanging="679"/>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48895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160" w:hanging="679"/>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Guernsey, Channel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40005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NUMBER OF</w:t>
            </w:r>
          </w:p>
        </w:tc>
        <w:tc>
          <w:tcPr>
            <w:tcW w:w="1080" w:type="dxa"/>
            <w:vAlign w:val="bottom"/>
          </w:tcPr>
          <w:p>
            <w:pPr>
              <w:jc w:val="right"/>
              <w:ind w:right="670"/>
              <w:spacing w:after="0"/>
              <w:rPr>
                <w:sz w:val="20"/>
                <w:szCs w:val="20"/>
                <w:color w:val="auto"/>
              </w:rPr>
            </w:pPr>
            <w:r>
              <w:rPr>
                <w:rFonts w:ascii="Arial" w:cs="Arial" w:eastAsia="Arial" w:hAnsi="Arial"/>
                <w:sz w:val="18"/>
                <w:szCs w:val="18"/>
                <w:b w:val="1"/>
                <w:bCs w:val="1"/>
                <w:color w:val="auto"/>
              </w:rPr>
              <w:t>5</w:t>
            </w:r>
          </w:p>
        </w:tc>
        <w:tc>
          <w:tcPr>
            <w:tcW w:w="87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1520" w:type="dxa"/>
            <w:vAlign w:val="bottom"/>
          </w:tcPr>
          <w:p>
            <w:pPr>
              <w:spacing w:after="0"/>
              <w:rPr>
                <w:sz w:val="20"/>
                <w:szCs w:val="20"/>
                <w:color w:val="auto"/>
              </w:rPr>
            </w:pPr>
            <w:r>
              <w:rPr>
                <w:rFonts w:ascii="Arial" w:cs="Arial" w:eastAsia="Arial" w:hAnsi="Arial"/>
                <w:sz w:val="18"/>
                <w:szCs w:val="18"/>
                <w:color w:val="auto"/>
              </w:rPr>
              <w:t>SHARES</w:t>
            </w:r>
          </w:p>
        </w:tc>
        <w:tc>
          <w:tcPr>
            <w:tcW w:w="1080" w:type="dxa"/>
            <w:vAlign w:val="bottom"/>
          </w:tcPr>
          <w:p>
            <w:pPr>
              <w:spacing w:after="0"/>
              <w:rPr>
                <w:sz w:val="19"/>
                <w:szCs w:val="19"/>
                <w:color w:val="auto"/>
              </w:rPr>
            </w:pPr>
          </w:p>
        </w:tc>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1,455,361</w:t>
            </w:r>
          </w:p>
        </w:tc>
        <w:tc>
          <w:tcPr>
            <w:tcW w:w="0" w:type="dxa"/>
            <w:vAlign w:val="bottom"/>
          </w:tcPr>
          <w:p>
            <w:pPr>
              <w:spacing w:after="0"/>
              <w:rPr>
                <w:sz w:val="1"/>
                <w:szCs w:val="1"/>
                <w:color w:val="auto"/>
              </w:rPr>
            </w:pPr>
          </w:p>
        </w:tc>
      </w:tr>
      <w:tr>
        <w:trPr>
          <w:trHeight w:val="68"/>
        </w:trPr>
        <w:tc>
          <w:tcPr>
            <w:tcW w:w="15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080" w:type="dxa"/>
            <w:vAlign w:val="bottom"/>
          </w:tcPr>
          <w:p>
            <w:pPr>
              <w:spacing w:after="0"/>
              <w:rPr>
                <w:sz w:val="5"/>
                <w:szCs w:val="5"/>
                <w:color w:val="auto"/>
              </w:rPr>
            </w:pP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5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OWNED BY</w:t>
            </w:r>
          </w:p>
        </w:tc>
        <w:tc>
          <w:tcPr>
            <w:tcW w:w="10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6</w:t>
            </w: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EACH</w:t>
            </w:r>
          </w:p>
        </w:tc>
        <w:tc>
          <w:tcPr>
            <w:tcW w:w="1080" w:type="dxa"/>
            <w:vAlign w:val="bottom"/>
            <w:vMerge w:val="continue"/>
          </w:tcPr>
          <w:p>
            <w:pPr>
              <w:spacing w:after="0"/>
              <w:rPr>
                <w:sz w:val="18"/>
                <w:szCs w:val="18"/>
                <w:color w:val="auto"/>
              </w:rPr>
            </w:pPr>
          </w:p>
        </w:tc>
        <w:tc>
          <w:tcPr>
            <w:tcW w:w="876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REPORTING</w:t>
            </w:r>
          </w:p>
        </w:tc>
        <w:tc>
          <w:tcPr>
            <w:tcW w:w="108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7</w:t>
            </w:r>
          </w:p>
        </w:tc>
        <w:tc>
          <w:tcPr>
            <w:tcW w:w="8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4"/>
        </w:trPr>
        <w:tc>
          <w:tcPr>
            <w:tcW w:w="15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1,455,361</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0" w:right="239" w:bottom="0" w:gutter="0" w:footer="0" w:header="0"/>
        </w:sectPr>
      </w:pPr>
    </w:p>
    <w:bookmarkStart w:id="1" w:name="page2"/>
    <w:bookmarkEnd w:id="1"/>
    <w:p>
      <w:pPr>
        <w:ind w:left="2640" w:hanging="882"/>
        <w:spacing w:after="0"/>
        <w:tabs>
          <w:tab w:leader="none" w:pos="2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186690</wp:posOffset>
            </wp:positionV>
            <wp:extent cx="5565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0" w:hanging="679"/>
        <w:spacing w:after="0"/>
        <w:tabs>
          <w:tab w:leader="none" w:pos="11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1,455,361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40005</wp:posOffset>
            </wp:positionV>
            <wp:extent cx="6543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00" w:hanging="679"/>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7" w:lineRule="exact"/>
        <w:rPr>
          <w:rFonts w:ascii="Arial" w:cs="Arial" w:eastAsia="Arial" w:hAnsi="Arial"/>
          <w:sz w:val="18"/>
          <w:szCs w:val="18"/>
          <w:b w:val="1"/>
          <w:bCs w:val="1"/>
          <w:color w:val="auto"/>
        </w:rPr>
      </w:pPr>
    </w:p>
    <w:p>
      <w:pPr>
        <w:ind w:left="1100" w:hanging="679"/>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b w:val="1"/>
          <w:bCs w:val="1"/>
          <w:color w:val="auto"/>
        </w:rPr>
      </w:pPr>
    </w:p>
    <w:p>
      <w:pPr>
        <w:ind w:left="1100" w:right="2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5.17% (based on 28,172,392 shares of common stock outstanding as of April 30, 2007, as reported in the Issuer’s Quarterly Report on Form 10-Q, dated May 10, 2007)</w:t>
      </w:r>
    </w:p>
    <w:p>
      <w:pPr>
        <w:spacing w:after="0" w:line="399" w:lineRule="exact"/>
        <w:rPr>
          <w:rFonts w:ascii="Arial" w:cs="Arial" w:eastAsia="Arial" w:hAnsi="Arial"/>
          <w:sz w:val="18"/>
          <w:szCs w:val="18"/>
          <w:b w:val="1"/>
          <w:bCs w:val="1"/>
          <w:color w:val="auto"/>
        </w:rPr>
      </w:pPr>
    </w:p>
    <w:p>
      <w:pPr>
        <w:ind w:left="1100" w:hanging="679"/>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40005</wp:posOffset>
            </wp:positionV>
            <wp:extent cx="65430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-508000</wp:posOffset>
            </wp:positionV>
            <wp:extent cx="6543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-1194435</wp:posOffset>
            </wp:positionV>
            <wp:extent cx="6543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Emergent BioSolutions Inc.</w:t>
            </w:r>
          </w:p>
        </w:tc>
        <w:tc>
          <w:tcPr>
            <w:tcW w:w="0" w:type="dxa"/>
            <w:vAlign w:val="bottom"/>
          </w:tcPr>
          <w:p>
            <w:pPr>
              <w:spacing w:after="0"/>
              <w:rPr>
                <w:sz w:val="1"/>
                <w:szCs w:val="1"/>
                <w:color w:val="auto"/>
              </w:rPr>
            </w:pPr>
          </w:p>
        </w:tc>
      </w:tr>
      <w:tr>
        <w:trPr>
          <w:trHeight w:val="56"/>
        </w:trPr>
        <w:tc>
          <w:tcPr>
            <w:tcW w:w="1400" w:type="dxa"/>
            <w:vAlign w:val="bottom"/>
            <w:vMerge w:val="restart"/>
          </w:tcPr>
          <w:p>
            <w:pPr>
              <w:spacing w:after="0"/>
              <w:rPr>
                <w:sz w:val="20"/>
                <w:szCs w:val="20"/>
                <w:color w:val="auto"/>
              </w:rPr>
            </w:pPr>
            <w:r>
              <w:rPr>
                <w:rFonts w:ascii="Arial" w:cs="Arial" w:eastAsia="Arial" w:hAnsi="Arial"/>
                <w:sz w:val="18"/>
                <w:szCs w:val="18"/>
                <w:color w:val="auto"/>
              </w:rPr>
              <w:t>Item 1(b)</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400" w:type="dxa"/>
            <w:vAlign w:val="bottom"/>
            <w:vMerge w:val="continue"/>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300 Professional Drive</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Suite 250</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Gaithersburg, Maryland 20879</w:t>
            </w:r>
          </w:p>
        </w:tc>
        <w:tc>
          <w:tcPr>
            <w:tcW w:w="0" w:type="dxa"/>
            <w:vAlign w:val="bottom"/>
          </w:tcPr>
          <w:p>
            <w:pPr>
              <w:spacing w:after="0"/>
              <w:rPr>
                <w:sz w:val="1"/>
                <w:szCs w:val="1"/>
                <w:color w:val="auto"/>
              </w:rPr>
            </w:pPr>
          </w:p>
        </w:tc>
      </w:tr>
      <w:tr>
        <w:trPr>
          <w:trHeight w:val="54"/>
        </w:trPr>
        <w:tc>
          <w:tcPr>
            <w:tcW w:w="1400" w:type="dxa"/>
            <w:vAlign w:val="bottom"/>
            <w:vMerge w:val="restart"/>
          </w:tcPr>
          <w:p>
            <w:pPr>
              <w:spacing w:after="0"/>
              <w:rPr>
                <w:sz w:val="20"/>
                <w:szCs w:val="20"/>
                <w:color w:val="auto"/>
              </w:rPr>
            </w:pPr>
            <w:r>
              <w:rPr>
                <w:rFonts w:ascii="Arial" w:cs="Arial" w:eastAsia="Arial" w:hAnsi="Arial"/>
                <w:sz w:val="18"/>
                <w:szCs w:val="18"/>
                <w:color w:val="auto"/>
              </w:rPr>
              <w:t>Item 2(a)</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400" w:type="dxa"/>
            <w:vAlign w:val="bottom"/>
            <w:vMerge w:val="continue"/>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Apax Europe IV GP Co. Limited, a Guernsey corporation, in its capacity as the General Partner of</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b w:val="1"/>
                <w:bCs w:val="1"/>
                <w:color w:val="auto"/>
              </w:rPr>
              <w:t>Apax Europe IV, GP L.P., which is the Managing General Partner of the following funds, which own,</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in the aggregate, 1,455,361 shares of Common Stock of the Issuer:</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A, L.P.</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B, L.P.</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C GmbH &amp; Co. KG</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D, L.P.</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E, L.P.</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F, C.V.</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9960" w:type="dxa"/>
            <w:vAlign w:val="bottom"/>
          </w:tcPr>
          <w:p>
            <w:pPr>
              <w:ind w:left="320"/>
              <w:spacing w:after="0"/>
              <w:rPr>
                <w:sz w:val="20"/>
                <w:szCs w:val="20"/>
                <w:color w:val="auto"/>
              </w:rPr>
            </w:pPr>
            <w:r>
              <w:rPr>
                <w:rFonts w:ascii="Arial" w:cs="Arial" w:eastAsia="Arial" w:hAnsi="Arial"/>
                <w:sz w:val="18"/>
                <w:szCs w:val="18"/>
                <w:b w:val="1"/>
                <w:bCs w:val="1"/>
                <w:color w:val="auto"/>
              </w:rPr>
              <w:t>Apax Europe IV - G, C.V.</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34290</wp:posOffset>
            </wp:positionV>
            <wp:extent cx="6320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838" w:orient="portrait"/>
          <w:cols w:equalWidth="0" w:num="1">
            <w:col w:w="11360"/>
          </w:cols>
          <w:pgMar w:left="300" w:top="503" w:right="239" w:bottom="36"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Item 2(c)</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Third Floor Royal Bank Place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Glategny Esplanade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 Peter Port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Guernsey,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Channel Islands GY1 6JL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Citizenship/Place of Organization: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Guernsey, Channel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 w:space="720"/>
            <w:col w:w="9900"/>
          </w:cols>
          <w:pgMar w:left="300" w:top="503" w:right="239" w:bottom="36"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250190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618490</wp:posOffset>
            </wp:positionH>
            <wp:positionV relativeFrom="paragraph">
              <wp:posOffset>638175</wp:posOffset>
            </wp:positionV>
            <wp:extent cx="65951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3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29089Q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40005</wp:posOffset>
            </wp:positionV>
            <wp:extent cx="65951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b w:val="1"/>
          <w:bCs w:val="1"/>
          <w:color w:val="auto"/>
        </w:rPr>
        <w:t>Not applicable.</w:t>
      </w:r>
    </w:p>
    <w:p>
      <w:pPr>
        <w:sectPr>
          <w:pgSz w:w="11900" w:h="16838" w:orient="portrait"/>
          <w:cols w:equalWidth="0" w:num="1">
            <w:col w:w="11360"/>
          </w:cols>
          <w:pgMar w:left="300" w:top="503" w:right="239" w:bottom="36" w:gutter="0" w:footer="0" w:header="0"/>
          <w:type w:val="continuous"/>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67" w:lineRule="exact"/>
        <w:rPr>
          <w:sz w:val="20"/>
          <w:szCs w:val="20"/>
          <w:color w:val="auto"/>
        </w:rPr>
      </w:pPr>
    </w:p>
    <w:p>
      <w:pPr>
        <w:ind w:left="1420" w:hanging="35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1,455,361 shares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420" w:hanging="355"/>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5.17%</w:t>
      </w:r>
    </w:p>
    <w:p>
      <w:pPr>
        <w:spacing w:after="0" w:line="200" w:lineRule="exact"/>
        <w:rPr>
          <w:rFonts w:ascii="Arial" w:cs="Arial" w:eastAsia="Arial" w:hAnsi="Arial"/>
          <w:sz w:val="18"/>
          <w:szCs w:val="18"/>
          <w:color w:val="auto"/>
        </w:rPr>
      </w:pPr>
    </w:p>
    <w:p>
      <w:pPr>
        <w:spacing w:after="0" w:line="312" w:lineRule="exact"/>
        <w:rPr>
          <w:rFonts w:ascii="Arial" w:cs="Arial" w:eastAsia="Arial" w:hAnsi="Arial"/>
          <w:sz w:val="18"/>
          <w:szCs w:val="18"/>
          <w:color w:val="auto"/>
        </w:rPr>
      </w:pPr>
    </w:p>
    <w:p>
      <w:pPr>
        <w:ind w:left="1420" w:hanging="35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1980" w:hanging="422"/>
        <w:spacing w:after="0"/>
        <w:tabs>
          <w:tab w:leader="none" w:pos="1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1,455,361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257810</wp:posOffset>
            </wp:positionV>
            <wp:extent cx="5994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-196215</wp:posOffset>
            </wp:positionV>
            <wp:extent cx="63461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-650875</wp:posOffset>
            </wp:positionV>
            <wp:extent cx="63461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867410</wp:posOffset>
            </wp:positionH>
            <wp:positionV relativeFrom="paragraph">
              <wp:posOffset>-1105535</wp:posOffset>
            </wp:positionV>
            <wp:extent cx="6346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980" w:hanging="447"/>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257810</wp:posOffset>
            </wp:positionV>
            <wp:extent cx="5994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980" w:hanging="472"/>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1,455,361 shares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980" w:hanging="467"/>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257810</wp:posOffset>
            </wp:positionV>
            <wp:extent cx="599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1219200</wp:posOffset>
            </wp:positionH>
            <wp:positionV relativeFrom="paragraph">
              <wp:posOffset>-196215</wp:posOffset>
            </wp:positionV>
            <wp:extent cx="5994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3" w:lineRule="exact"/>
        <w:rPr>
          <w:sz w:val="20"/>
          <w:szCs w:val="20"/>
          <w:color w:val="auto"/>
        </w:rPr>
      </w:pPr>
    </w:p>
    <w:p>
      <w:pPr>
        <w:ind w:left="1120"/>
        <w:spacing w:after="0" w:line="261" w:lineRule="auto"/>
        <w:rPr>
          <w:sz w:val="20"/>
          <w:szCs w:val="20"/>
          <w:color w:val="auto"/>
        </w:rPr>
      </w:pPr>
      <w:r>
        <w:rPr>
          <w:rFonts w:ascii="Arial" w:cs="Arial" w:eastAsia="Arial" w:hAnsi="Arial"/>
          <w:sz w:val="18"/>
          <w:szCs w:val="18"/>
          <w:b w:val="1"/>
          <w:bCs w:val="1"/>
          <w:color w:val="auto"/>
        </w:rPr>
        <w:t>The Reporting Person and investment funds affiliated with Advent Private Equity Funds, J.P. Morgan Partners LLC and The Merlin Biosciences Fund were members of a voting agreement (the “Voting Agreement”), whereby the parties had agreed to vote all shares of Emergent BioSolutions Inc.’s common stock owned by the parties in the same manner and to the same extent as BioPharm, L.L.C.</w:t>
      </w:r>
    </w:p>
    <w:p>
      <w:pPr>
        <w:spacing w:after="0" w:line="180" w:lineRule="exact"/>
        <w:rPr>
          <w:sz w:val="20"/>
          <w:szCs w:val="20"/>
          <w:color w:val="auto"/>
        </w:rPr>
      </w:pPr>
    </w:p>
    <w:p>
      <w:pPr>
        <w:ind w:left="1120" w:right="20"/>
        <w:spacing w:after="0" w:line="303" w:lineRule="auto"/>
        <w:rPr>
          <w:sz w:val="20"/>
          <w:szCs w:val="20"/>
          <w:color w:val="auto"/>
        </w:rPr>
      </w:pPr>
      <w:r>
        <w:rPr>
          <w:rFonts w:ascii="Arial" w:cs="Arial" w:eastAsia="Arial" w:hAnsi="Arial"/>
          <w:sz w:val="16"/>
          <w:szCs w:val="16"/>
          <w:b w:val="1"/>
          <w:bCs w:val="1"/>
          <w:color w:val="auto"/>
        </w:rPr>
        <w:t>On June 14, 2007, Emergent BioSolutions Inc. held its first annual meeting of stockholders. Under the terms of the Voting Agreement, the Voting Agreement automatically terminated upon the conclusion of the first annual meeting of stockholders. Due to the termination of the Voting Agreement on June 14, 2007, the Reporting Person and the other parties to the Voting Agreement are no longer deemed a group for purposes of Section 13(d)(3) and Rule 13d-5(b)(1) of the Securities Exchange Act of 1934, as amended.</w:t>
      </w:r>
    </w:p>
    <w:p>
      <w:pPr>
        <w:spacing w:after="0" w:line="151" w:lineRule="exact"/>
        <w:rPr>
          <w:sz w:val="20"/>
          <w:szCs w:val="20"/>
          <w:color w:val="auto"/>
        </w:rPr>
      </w:pPr>
    </w:p>
    <w:p>
      <w:pPr>
        <w:ind w:left="1120" w:right="320"/>
        <w:spacing w:after="0" w:line="282" w:lineRule="auto"/>
        <w:rPr>
          <w:sz w:val="20"/>
          <w:szCs w:val="20"/>
          <w:color w:val="auto"/>
        </w:rPr>
      </w:pPr>
      <w:r>
        <w:rPr>
          <w:rFonts w:ascii="Arial" w:cs="Arial" w:eastAsia="Arial" w:hAnsi="Arial"/>
          <w:sz w:val="18"/>
          <w:szCs w:val="18"/>
          <w:b w:val="1"/>
          <w:bCs w:val="1"/>
          <w:color w:val="auto"/>
        </w:rPr>
        <w:t>All further transactions with respect to such shares of the Issuer will be filed, if required, by the former members of the group in their individual capacities.</w:t>
      </w:r>
    </w:p>
    <w:p>
      <w:pPr>
        <w:spacing w:after="0" w:line="38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80"/>
          </w:cols>
          <w:pgMar w:left="300" w:top="12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 of 6</w:t>
      </w:r>
    </w:p>
    <w:p>
      <w:pPr>
        <w:sectPr>
          <w:pgSz w:w="11900" w:h="16838" w:orient="portrait"/>
          <w:cols w:equalWidth="0" w:num="1">
            <w:col w:w="11280"/>
          </w:cols>
          <w:pgMar w:left="300" w:top="125" w:right="319" w:bottom="0" w:gutter="0" w:footer="0" w:header="0"/>
          <w:type w:val="continuous"/>
        </w:sectPr>
      </w:pPr>
    </w:p>
    <w:bookmarkStart w:id="3" w:name="page4"/>
    <w:bookmarkEnd w:id="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2007</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APAX EUROPE IV GP CO. LIMITED</w:t>
      </w:r>
    </w:p>
    <w:p>
      <w:pPr>
        <w:spacing w:after="0" w:line="229" w:lineRule="exact"/>
        <w:rPr>
          <w:sz w:val="20"/>
          <w:szCs w:val="20"/>
          <w:color w:val="auto"/>
        </w:rPr>
      </w:pPr>
    </w:p>
    <w:p>
      <w:pPr>
        <w:ind w:left="5200"/>
        <w:spacing w:after="0"/>
        <w:tabs>
          <w:tab w:leader="none" w:pos="5660" w:val="left"/>
        </w:tabs>
        <w:rPr>
          <w:sz w:val="20"/>
          <w:szCs w:val="20"/>
          <w:color w:val="auto"/>
        </w:rPr>
      </w:pPr>
      <w:r>
        <w:rPr>
          <w:rFonts w:ascii="Arial" w:cs="Arial" w:eastAsia="Arial" w:hAnsi="Arial"/>
          <w:sz w:val="18"/>
          <w:szCs w:val="18"/>
          <w:color w:val="auto"/>
        </w:rPr>
        <w:t>By:</w:t>
        <w:tab/>
        <w:t>/s/ Denise J. Fallaize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4763"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Denise J. Fallaize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20"/>
      </w:cols>
      <w:pgMar w:left="24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lvl w:ilvl="1">
      <w:lvlJc w:val="left"/>
      <w:lvlText w:val="(%2)"/>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2019-12-15T12:06:06Z</dcterms:created>
  <dcterms:modified xsi:type="dcterms:W3CDTF">2019-12-15T12:06:06Z</dcterms:modified>
</cp:coreProperties>
</file>