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t>UNITED STATES</w:t>
      </w:r>
    </w:p>
    <w:p>
      <w:pPr>
        <w:jc w:val="center"/>
        <w:ind w:right="-39"/>
        <w:spacing w:after="0" w:line="200" w:lineRule="auto"/>
        <w:rPr>
          <w:sz w:val="20"/>
          <w:szCs w:val="20"/>
          <w:color w:val="auto"/>
        </w:rPr>
      </w:pPr>
      <w:r>
        <w:rPr>
          <w:rFonts w:ascii="Arial" w:cs="Arial" w:eastAsia="Arial" w:hAnsi="Arial"/>
          <w:sz w:val="25"/>
          <w:szCs w:val="25"/>
          <w:b w:val="1"/>
          <w:bCs w:val="1"/>
          <w:color w:val="auto"/>
        </w:rPr>
        <w:t>SECURITIES AND EXCHANGE COMMISSION</w:t>
      </w:r>
    </w:p>
    <w:p>
      <w:pPr>
        <w:jc w:val="center"/>
        <w:ind w:right="-39"/>
        <w:spacing w:after="0" w:line="235" w:lineRule="auto"/>
        <w:rPr>
          <w:sz w:val="20"/>
          <w:szCs w:val="20"/>
          <w:color w:val="auto"/>
        </w:rPr>
      </w:pPr>
      <w:r>
        <w:rPr>
          <w:rFonts w:ascii="Arial" w:cs="Arial" w:eastAsia="Arial" w:hAnsi="Arial"/>
          <w:sz w:val="18"/>
          <w:szCs w:val="18"/>
          <w:b w:val="1"/>
          <w:bCs w:val="1"/>
          <w:color w:val="auto"/>
        </w:rPr>
        <w:t>WASHINGTON, D.C. 20549</w:t>
      </w:r>
    </w:p>
    <w:p>
      <w:pPr>
        <w:ind w:left="4820"/>
        <w:spacing w:after="0"/>
        <w:rPr>
          <w:sz w:val="20"/>
          <w:szCs w:val="20"/>
          <w:color w:val="auto"/>
        </w:rPr>
      </w:pPr>
      <w:r>
        <w:rPr>
          <w:rFonts w:ascii="Arial" w:cs="Arial" w:eastAsia="Arial" w:hAnsi="Arial"/>
          <w:sz w:val="18"/>
          <w:szCs w:val="18"/>
          <w:color w:val="auto"/>
        </w:rPr>
        <w:t>____________________</w:t>
      </w:r>
    </w:p>
    <w:p>
      <w:pPr>
        <w:spacing w:after="0" w:line="15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38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w:t>
      </w:r>
    </w:p>
    <w:p>
      <w:pPr>
        <w:jc w:val="center"/>
        <w:ind w:right="-39"/>
        <w:spacing w:after="0"/>
        <w:rPr>
          <w:sz w:val="20"/>
          <w:szCs w:val="20"/>
          <w:color w:val="auto"/>
        </w:rPr>
      </w:pPr>
      <w:r>
        <w:rPr>
          <w:rFonts w:ascii="Arial" w:cs="Arial" w:eastAsia="Arial" w:hAnsi="Arial"/>
          <w:sz w:val="18"/>
          <w:szCs w:val="18"/>
          <w:b w:val="1"/>
          <w:bCs w:val="1"/>
          <w:color w:val="auto"/>
        </w:rPr>
        <w:t>Securities Exchange Act of 1934</w:t>
      </w:r>
    </w:p>
    <w:p>
      <w:pPr>
        <w:spacing w:after="0" w:line="17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4, 2016</w:t>
      </w:r>
    </w:p>
    <w:p>
      <w:pPr>
        <w:spacing w:after="0" w:line="200" w:lineRule="exact"/>
        <w:rPr>
          <w:sz w:val="24"/>
          <w:szCs w:val="24"/>
          <w:color w:val="auto"/>
        </w:rPr>
      </w:pP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EMERGENT BIOSOLUTIONS INC.</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Charter)</w:t>
      </w:r>
    </w:p>
    <w:p>
      <w:pPr>
        <w:spacing w:after="0" w:line="178" w:lineRule="exact"/>
        <w:rPr>
          <w:sz w:val="24"/>
          <w:szCs w:val="24"/>
          <w:color w:val="auto"/>
        </w:rPr>
      </w:pPr>
    </w:p>
    <w:tbl>
      <w:tblPr>
        <w:tblLayout w:type="fixed"/>
        <w:tblInd w:w="1020" w:type="dxa"/>
        <w:tblCellMar>
          <w:top w:w="0" w:type="dxa"/>
          <w:left w:w="0" w:type="dxa"/>
          <w:bottom w:w="0" w:type="dxa"/>
          <w:right w:w="0" w:type="dxa"/>
        </w:tblCellMar>
      </w:tblPr>
      <w:tr>
        <w:trPr>
          <w:trHeight w:val="207"/>
        </w:trPr>
        <w:tc>
          <w:tcPr>
            <w:tcW w:w="4200" w:type="dxa"/>
            <w:vAlign w:val="bottom"/>
          </w:tcPr>
          <w:p>
            <w:pPr>
              <w:jc w:val="center"/>
              <w:ind w:right="2130"/>
              <w:spacing w:after="0"/>
              <w:rPr>
                <w:sz w:val="20"/>
                <w:szCs w:val="20"/>
                <w:color w:val="auto"/>
              </w:rPr>
            </w:pPr>
            <w:r>
              <w:rPr>
                <w:rFonts w:ascii="Arial" w:cs="Arial" w:eastAsia="Arial" w:hAnsi="Arial"/>
                <w:sz w:val="18"/>
                <w:szCs w:val="18"/>
                <w:b w:val="1"/>
                <w:bCs w:val="1"/>
                <w:color w:val="auto"/>
                <w:w w:val="93"/>
              </w:rPr>
              <w:t>Delaware</w:t>
            </w:r>
          </w:p>
        </w:tc>
        <w:tc>
          <w:tcPr>
            <w:tcW w:w="22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0"/>
              </w:rPr>
              <w:t>001-33137</w:t>
            </w:r>
          </w:p>
        </w:tc>
        <w:tc>
          <w:tcPr>
            <w:tcW w:w="2620" w:type="dxa"/>
            <w:vAlign w:val="bottom"/>
          </w:tcPr>
          <w:p>
            <w:pPr>
              <w:jc w:val="right"/>
              <w:ind w:right="150"/>
              <w:spacing w:after="0"/>
              <w:rPr>
                <w:sz w:val="20"/>
                <w:szCs w:val="20"/>
                <w:color w:val="auto"/>
              </w:rPr>
            </w:pPr>
            <w:r>
              <w:rPr>
                <w:rFonts w:ascii="Arial" w:cs="Arial" w:eastAsia="Arial" w:hAnsi="Arial"/>
                <w:sz w:val="18"/>
                <w:szCs w:val="18"/>
                <w:b w:val="1"/>
                <w:bCs w:val="1"/>
                <w:color w:val="auto"/>
              </w:rPr>
              <w:t>14-1902018</w:t>
            </w:r>
          </w:p>
        </w:tc>
      </w:tr>
      <w:tr>
        <w:trPr>
          <w:trHeight w:val="203"/>
        </w:trPr>
        <w:tc>
          <w:tcPr>
            <w:tcW w:w="4200" w:type="dxa"/>
            <w:vAlign w:val="bottom"/>
          </w:tcPr>
          <w:p>
            <w:pPr>
              <w:jc w:val="center"/>
              <w:ind w:right="2150"/>
              <w:spacing w:after="0" w:line="202" w:lineRule="exact"/>
              <w:rPr>
                <w:sz w:val="20"/>
                <w:szCs w:val="20"/>
                <w:color w:val="auto"/>
              </w:rPr>
            </w:pPr>
            <w:r>
              <w:rPr>
                <w:rFonts w:ascii="Arial" w:cs="Arial" w:eastAsia="Arial" w:hAnsi="Arial"/>
                <w:sz w:val="18"/>
                <w:szCs w:val="18"/>
                <w:color w:val="auto"/>
                <w:w w:val="91"/>
              </w:rPr>
              <w:t>(State or Other Jurisdiction</w:t>
            </w:r>
          </w:p>
        </w:tc>
        <w:tc>
          <w:tcPr>
            <w:tcW w:w="2260" w:type="dxa"/>
            <w:vAlign w:val="bottom"/>
          </w:tcPr>
          <w:p>
            <w:pPr>
              <w:jc w:val="center"/>
              <w:ind w:right="1170"/>
              <w:spacing w:after="0" w:line="202" w:lineRule="exact"/>
              <w:rPr>
                <w:sz w:val="20"/>
                <w:szCs w:val="20"/>
                <w:color w:val="auto"/>
              </w:rPr>
            </w:pPr>
            <w:r>
              <w:rPr>
                <w:rFonts w:ascii="Arial" w:cs="Arial" w:eastAsia="Arial" w:hAnsi="Arial"/>
                <w:sz w:val="18"/>
                <w:szCs w:val="18"/>
                <w:color w:val="auto"/>
                <w:w w:val="91"/>
              </w:rPr>
              <w:t>(Commission</w:t>
            </w:r>
          </w:p>
        </w:tc>
        <w:tc>
          <w:tcPr>
            <w:tcW w:w="2620" w:type="dxa"/>
            <w:vAlign w:val="bottom"/>
          </w:tcPr>
          <w:p>
            <w:pPr>
              <w:jc w:val="center"/>
              <w:ind w:left="1190"/>
              <w:spacing w:after="0" w:line="202" w:lineRule="exact"/>
              <w:rPr>
                <w:sz w:val="20"/>
                <w:szCs w:val="20"/>
                <w:color w:val="auto"/>
              </w:rPr>
            </w:pPr>
            <w:r>
              <w:rPr>
                <w:rFonts w:ascii="Arial" w:cs="Arial" w:eastAsia="Arial" w:hAnsi="Arial"/>
                <w:sz w:val="18"/>
                <w:szCs w:val="18"/>
                <w:color w:val="auto"/>
                <w:w w:val="93"/>
              </w:rPr>
              <w:t>(IRS Employer</w:t>
            </w:r>
          </w:p>
        </w:tc>
      </w:tr>
      <w:tr>
        <w:trPr>
          <w:trHeight w:val="230"/>
        </w:trPr>
        <w:tc>
          <w:tcPr>
            <w:tcW w:w="4200" w:type="dxa"/>
            <w:vAlign w:val="bottom"/>
          </w:tcPr>
          <w:p>
            <w:pPr>
              <w:jc w:val="center"/>
              <w:ind w:right="2150"/>
              <w:spacing w:after="0"/>
              <w:rPr>
                <w:sz w:val="20"/>
                <w:szCs w:val="20"/>
                <w:color w:val="auto"/>
              </w:rPr>
            </w:pPr>
            <w:r>
              <w:rPr>
                <w:rFonts w:ascii="Arial" w:cs="Arial" w:eastAsia="Arial" w:hAnsi="Arial"/>
                <w:sz w:val="18"/>
                <w:szCs w:val="18"/>
                <w:color w:val="auto"/>
                <w:w w:val="94"/>
              </w:rPr>
              <w:t>of Incorporation)</w:t>
            </w:r>
          </w:p>
        </w:tc>
        <w:tc>
          <w:tcPr>
            <w:tcW w:w="2260" w:type="dxa"/>
            <w:vAlign w:val="bottom"/>
          </w:tcPr>
          <w:p>
            <w:pPr>
              <w:jc w:val="center"/>
              <w:ind w:right="1170"/>
              <w:spacing w:after="0"/>
              <w:rPr>
                <w:sz w:val="20"/>
                <w:szCs w:val="20"/>
                <w:color w:val="auto"/>
              </w:rPr>
            </w:pPr>
            <w:r>
              <w:rPr>
                <w:rFonts w:ascii="Arial" w:cs="Arial" w:eastAsia="Arial" w:hAnsi="Arial"/>
                <w:sz w:val="18"/>
                <w:szCs w:val="18"/>
                <w:color w:val="auto"/>
                <w:w w:val="92"/>
              </w:rPr>
              <w:t>File Number)</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5"/>
              </w:rPr>
              <w:t>Identification No.)</w:t>
            </w:r>
          </w:p>
        </w:tc>
      </w:tr>
      <w:tr>
        <w:trPr>
          <w:trHeight w:val="373"/>
        </w:trPr>
        <w:tc>
          <w:tcPr>
            <w:tcW w:w="4200" w:type="dxa"/>
            <w:vAlign w:val="bottom"/>
          </w:tcPr>
          <w:p>
            <w:pPr>
              <w:jc w:val="center"/>
              <w:ind w:left="1110"/>
              <w:spacing w:after="0"/>
              <w:rPr>
                <w:sz w:val="20"/>
                <w:szCs w:val="20"/>
                <w:color w:val="auto"/>
              </w:rPr>
            </w:pPr>
            <w:r>
              <w:rPr>
                <w:rFonts w:ascii="Arial" w:cs="Arial" w:eastAsia="Arial" w:hAnsi="Arial"/>
                <w:sz w:val="18"/>
                <w:szCs w:val="18"/>
                <w:b w:val="1"/>
                <w:bCs w:val="1"/>
                <w:color w:val="auto"/>
                <w:w w:val="89"/>
              </w:rPr>
              <w:t>400 Professional Drive, Suite 400,</w:t>
            </w:r>
          </w:p>
        </w:tc>
        <w:tc>
          <w:tcPr>
            <w:tcW w:w="2260" w:type="dxa"/>
            <w:vAlign w:val="bottom"/>
          </w:tcPr>
          <w:p>
            <w:pPr>
              <w:spacing w:after="0"/>
              <w:rPr>
                <w:sz w:val="24"/>
                <w:szCs w:val="24"/>
                <w:color w:val="auto"/>
              </w:rPr>
            </w:pPr>
          </w:p>
        </w:tc>
        <w:tc>
          <w:tcPr>
            <w:tcW w:w="2620" w:type="dxa"/>
            <w:vAlign w:val="bottom"/>
          </w:tcPr>
          <w:p>
            <w:pPr>
              <w:jc w:val="right"/>
              <w:ind w:right="350"/>
              <w:spacing w:after="0"/>
              <w:rPr>
                <w:sz w:val="20"/>
                <w:szCs w:val="20"/>
                <w:color w:val="auto"/>
              </w:rPr>
            </w:pPr>
            <w:r>
              <w:rPr>
                <w:rFonts w:ascii="Arial" w:cs="Arial" w:eastAsia="Arial" w:hAnsi="Arial"/>
                <w:sz w:val="18"/>
                <w:szCs w:val="18"/>
                <w:b w:val="1"/>
                <w:bCs w:val="1"/>
                <w:color w:val="auto"/>
              </w:rPr>
              <w:t>20879</w:t>
            </w:r>
          </w:p>
        </w:tc>
      </w:tr>
      <w:tr>
        <w:trPr>
          <w:trHeight w:val="207"/>
        </w:trPr>
        <w:tc>
          <w:tcPr>
            <w:tcW w:w="4200" w:type="dxa"/>
            <w:vAlign w:val="bottom"/>
          </w:tcPr>
          <w:p>
            <w:pPr>
              <w:jc w:val="center"/>
              <w:ind w:left="1130"/>
              <w:spacing w:after="0"/>
              <w:rPr>
                <w:sz w:val="20"/>
                <w:szCs w:val="20"/>
                <w:color w:val="auto"/>
              </w:rPr>
            </w:pPr>
            <w:r>
              <w:rPr>
                <w:rFonts w:ascii="Arial" w:cs="Arial" w:eastAsia="Arial" w:hAnsi="Arial"/>
                <w:sz w:val="18"/>
                <w:szCs w:val="18"/>
                <w:b w:val="1"/>
                <w:bCs w:val="1"/>
                <w:color w:val="auto"/>
                <w:w w:val="94"/>
              </w:rPr>
              <w:t>Gaithersburg, Maryland</w:t>
            </w:r>
          </w:p>
        </w:tc>
        <w:tc>
          <w:tcPr>
            <w:tcW w:w="226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30"/>
        </w:trPr>
        <w:tc>
          <w:tcPr>
            <w:tcW w:w="4200" w:type="dxa"/>
            <w:vAlign w:val="bottom"/>
          </w:tcPr>
          <w:p>
            <w:pPr>
              <w:jc w:val="center"/>
              <w:ind w:left="1110"/>
              <w:spacing w:after="0"/>
              <w:rPr>
                <w:sz w:val="20"/>
                <w:szCs w:val="20"/>
                <w:color w:val="auto"/>
              </w:rPr>
            </w:pPr>
            <w:r>
              <w:rPr>
                <w:rFonts w:ascii="Arial" w:cs="Arial" w:eastAsia="Arial" w:hAnsi="Arial"/>
                <w:sz w:val="18"/>
                <w:szCs w:val="18"/>
                <w:color w:val="auto"/>
                <w:w w:val="92"/>
              </w:rPr>
              <w:t>(Address of Principal Executive Offices)</w:t>
            </w:r>
          </w:p>
        </w:tc>
        <w:tc>
          <w:tcPr>
            <w:tcW w:w="2260" w:type="dxa"/>
            <w:vAlign w:val="bottom"/>
          </w:tcPr>
          <w:p>
            <w:pPr>
              <w:spacing w:after="0"/>
              <w:rPr>
                <w:sz w:val="20"/>
                <w:szCs w:val="20"/>
                <w:color w:val="auto"/>
              </w:rPr>
            </w:pP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1"/>
              </w:rPr>
              <w:t>(Zip Code)</w:t>
            </w:r>
          </w:p>
        </w:tc>
      </w:tr>
    </w:tbl>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(240) 631-3200</w:t>
      </w:r>
    </w:p>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98" w:lineRule="exact"/>
        <w:rPr>
          <w:sz w:val="24"/>
          <w:szCs w:val="24"/>
          <w:color w:val="auto"/>
        </w:rPr>
      </w:pPr>
    </w:p>
    <w:p>
      <w:pPr>
        <w:ind w:right="200" w:firstLine="648"/>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56" w:lineRule="exact"/>
        <w:rPr>
          <w:sz w:val="24"/>
          <w:szCs w:val="24"/>
          <w:color w:val="auto"/>
        </w:rPr>
      </w:pPr>
    </w:p>
    <w:p>
      <w:pPr>
        <w:ind w:left="800" w:hanging="14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1" w:lineRule="exact"/>
        <w:rPr>
          <w:rFonts w:ascii="Arial" w:cs="Arial" w:eastAsia="Arial" w:hAnsi="Arial"/>
          <w:sz w:val="18"/>
          <w:szCs w:val="18"/>
          <w:color w:val="auto"/>
        </w:rPr>
      </w:pPr>
    </w:p>
    <w:p>
      <w:pPr>
        <w:ind w:left="800" w:hanging="144"/>
        <w:spacing w:after="0" w:line="234"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ind w:left="800" w:hanging="144"/>
        <w:spacing w:after="0" w:line="234"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ind w:left="800" w:hanging="14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right="460"/>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61" w:lineRule="exact"/>
        <w:rPr>
          <w:sz w:val="24"/>
          <w:szCs w:val="24"/>
          <w:color w:val="auto"/>
        </w:rPr>
      </w:pPr>
    </w:p>
    <w:p>
      <w:pPr>
        <w:ind w:firstLine="8"/>
        <w:spacing w:after="0" w:line="271" w:lineRule="auto"/>
        <w:tabs>
          <w:tab w:leader="none" w:pos="650"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previously announced, effective as of January 4, 2016, Barry Labinger, the former Executive Vice President and President of the company's biosciences division, resigned from the company. In connection with the resignation, the company and Mr. Labinger entered into a consulting agreement on January 4, 2016, pursuant to which Mr. Labinger will provide consulting services consisting of strategy, advice and guidance in connection with the company's planned spin-off of its biosciences business into a separate, stand-alone public company, which will be named Aptevo Therapeutics Inc. Upon the effectiveness of the spin-off, the consulting agreement automatically will be assigned to Aptevo, and thereafter Mr. Labinger will provide to Aptevo consulting services consisting of strategy, advice and guidance in connection with Aptevo's business activities. The consulting agreement will remain in effect until March 31, 2018, unless it is earlier terminated by the company for "cause" (as defined in the consulting agreement) or by Mr. Labinger in accordance with the terms of the consulting agreement. During the term of the consulting agreement, Mr. Labinger will receive a consulting fee of $3,000 per month until March 31, 2016 and $1,500 per month thereafter and be reimbursed for his reasonable out-of-pocket expenses.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7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4"/>
          <w:szCs w:val="24"/>
          <w:color w:val="auto"/>
        </w:rPr>
      </w:pPr>
    </w:p>
    <w:p>
      <w:pPr>
        <w:ind w:right="18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4"/>
          <w:szCs w:val="24"/>
          <w:color w:val="auto"/>
        </w:rPr>
      </w:pPr>
    </w:p>
    <w:p>
      <w:pPr>
        <w:spacing w:after="0" w:line="388" w:lineRule="exact"/>
        <w:rPr>
          <w:sz w:val="24"/>
          <w:szCs w:val="24"/>
          <w:color w:val="auto"/>
        </w:rPr>
      </w:pPr>
    </w:p>
    <w:p>
      <w:pPr>
        <w:spacing w:after="0"/>
        <w:tabs>
          <w:tab w:leader="none" w:pos="5640" w:val="left"/>
        </w:tabs>
        <w:rPr>
          <w:sz w:val="20"/>
          <w:szCs w:val="20"/>
          <w:color w:val="auto"/>
        </w:rPr>
      </w:pPr>
      <w:r>
        <w:rPr>
          <w:rFonts w:ascii="Arial" w:cs="Arial" w:eastAsia="Arial" w:hAnsi="Arial"/>
          <w:sz w:val="18"/>
          <w:szCs w:val="18"/>
          <w:color w:val="auto"/>
        </w:rPr>
        <w:t>Date: January 4, 2016</w:t>
      </w:r>
      <w:r>
        <w:rPr>
          <w:sz w:val="20"/>
          <w:szCs w:val="20"/>
          <w:color w:val="auto"/>
        </w:rPr>
        <w:tab/>
      </w:r>
      <w:r>
        <w:rPr>
          <w:rFonts w:ascii="Arial" w:cs="Arial" w:eastAsia="Arial" w:hAnsi="Arial"/>
          <w:sz w:val="17"/>
          <w:szCs w:val="17"/>
          <w:color w:val="auto"/>
        </w:rPr>
        <w:t>EMERGENT BIOSOLUTIONS INC.</w:t>
      </w:r>
    </w:p>
    <w:p>
      <w:pPr>
        <w:spacing w:after="0" w:line="198" w:lineRule="exact"/>
        <w:rPr>
          <w:sz w:val="24"/>
          <w:szCs w:val="24"/>
          <w:color w:val="auto"/>
        </w:rPr>
      </w:pPr>
    </w:p>
    <w:p>
      <w:pPr>
        <w:ind w:left="5660"/>
        <w:spacing w:after="0"/>
        <w:rPr>
          <w:sz w:val="20"/>
          <w:szCs w:val="20"/>
          <w:color w:val="auto"/>
        </w:rPr>
      </w:pPr>
      <w:r>
        <w:rPr>
          <w:rFonts w:ascii="Arial" w:cs="Arial" w:eastAsia="Arial" w:hAnsi="Arial"/>
          <w:sz w:val="18"/>
          <w:szCs w:val="18"/>
          <w:color w:val="auto"/>
        </w:rPr>
        <w:t>By: /s/ A.B. Cruz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3853180</wp:posOffset>
            </wp:positionH>
            <wp:positionV relativeFrom="paragraph">
              <wp:posOffset>-10160</wp:posOffset>
            </wp:positionV>
            <wp:extent cx="24003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ind w:left="6020"/>
        <w:spacing w:after="0"/>
        <w:rPr>
          <w:sz w:val="20"/>
          <w:szCs w:val="20"/>
          <w:color w:val="auto"/>
        </w:rPr>
      </w:pPr>
      <w:r>
        <w:rPr>
          <w:rFonts w:ascii="Arial" w:cs="Arial" w:eastAsia="Arial" w:hAnsi="Arial"/>
          <w:sz w:val="18"/>
          <w:szCs w:val="18"/>
          <w:color w:val="auto"/>
        </w:rPr>
        <w:t>A.B. Cruz III</w:t>
      </w:r>
    </w:p>
    <w:p>
      <w:pPr>
        <w:ind w:left="6020"/>
        <w:spacing w:after="0"/>
        <w:rPr>
          <w:sz w:val="20"/>
          <w:szCs w:val="20"/>
          <w:color w:val="auto"/>
        </w:rPr>
      </w:pPr>
      <w:r>
        <w:rPr>
          <w:rFonts w:ascii="Arial" w:cs="Arial" w:eastAsia="Arial" w:hAnsi="Arial"/>
          <w:sz w:val="17"/>
          <w:szCs w:val="17"/>
          <w:color w:val="auto"/>
        </w:rPr>
        <w:t>Executive Vice President, General Counsel and Corporate Secretary</w:t>
      </w:r>
    </w:p>
    <w:sectPr>
      <w:pgSz w:w="11900" w:h="16838" w:orient="portrait"/>
      <w:cols w:equalWidth="0" w:num="1">
        <w:col w:w="11400"/>
      </w:cols>
      <w:pgMar w:left="240" w:top="20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2019-12-08T12:32:03Z</dcterms:created>
  <dcterms:modified xsi:type="dcterms:W3CDTF">2019-12-08T12:32:03Z</dcterms:modified>
</cp:coreProperties>
</file>