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4904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90410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Katkin Keith</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PROFESSIONAL DRIVE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23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Emergent BioSolutions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EBS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GAITHERSBURG MD</w:t>
            </w:r>
          </w:p>
        </w:tc>
        <w:tc>
          <w:tcPr>
            <w:tcW w:w="1620" w:type="dxa"/>
            <w:vAlign w:val="bottom"/>
          </w:tcPr>
          <w:p>
            <w:pPr>
              <w:jc w:val="right"/>
              <w:ind w:right="647"/>
              <w:spacing w:after="0"/>
              <w:rPr>
                <w:sz w:val="20"/>
                <w:szCs w:val="20"/>
                <w:color w:val="auto"/>
              </w:rPr>
            </w:pPr>
            <w:r>
              <w:rPr>
                <w:rFonts w:ascii="Times New Roman" w:cs="Times New Roman" w:eastAsia="Times New Roman" w:hAnsi="Times New Roman"/>
                <w:sz w:val="17"/>
                <w:szCs w:val="17"/>
                <w:color w:val="0000FF"/>
              </w:rPr>
              <w:t>20879</w:t>
            </w:r>
          </w:p>
        </w:tc>
      </w:tr>
      <w:tr>
        <w:trPr>
          <w:trHeight w:val="147"/>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7"/>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04/30/2026</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102"/>
              <w:spacing w:after="0"/>
              <w:rPr>
                <w:sz w:val="20"/>
                <w:szCs w:val="20"/>
                <w:color w:val="auto"/>
              </w:rPr>
            </w:pPr>
            <w:r>
              <w:rPr>
                <w:rFonts w:ascii="Times New Roman" w:cs="Times New Roman" w:eastAsia="Times New Roman" w:hAnsi="Times New Roman"/>
                <w:sz w:val="17"/>
                <w:szCs w:val="17"/>
                <w:color w:val="0000FF"/>
              </w:rPr>
              <w:t>25,344</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right="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111,775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7"/>
                <w:szCs w:val="17"/>
                <w:color w:val="0000FF"/>
              </w:rPr>
              <w:t>04/30/2026</w:t>
            </w:r>
          </w:p>
        </w:tc>
        <w:tc>
          <w:tcPr>
            <w:tcW w:w="9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8"/>
              </w:rPr>
              <w:t>04/30/2026</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0"/>
              <w:spacing w:after="0"/>
              <w:rPr>
                <w:sz w:val="20"/>
                <w:szCs w:val="20"/>
                <w:color w:val="auto"/>
              </w:rPr>
            </w:pPr>
            <w:r>
              <w:rPr>
                <w:rFonts w:ascii="Times New Roman" w:cs="Times New Roman" w:eastAsia="Times New Roman" w:hAnsi="Times New Roman"/>
                <w:sz w:val="13"/>
                <w:szCs w:val="13"/>
                <w:color w:val="0000FF"/>
                <w:w w:val="82"/>
              </w:rPr>
              <w:t>S</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right"/>
              <w:ind w:right="102"/>
              <w:spacing w:after="0"/>
              <w:rPr>
                <w:sz w:val="20"/>
                <w:szCs w:val="20"/>
                <w:color w:val="auto"/>
              </w:rPr>
            </w:pPr>
            <w:r>
              <w:rPr>
                <w:rFonts w:ascii="Times New Roman" w:cs="Times New Roman" w:eastAsia="Times New Roman" w:hAnsi="Times New Roman"/>
                <w:sz w:val="17"/>
                <w:szCs w:val="17"/>
                <w:color w:val="0000FF"/>
              </w:rPr>
              <w:t>15,481</w:t>
            </w:r>
            <w:r>
              <w:rPr>
                <w:rFonts w:ascii="Times New Roman" w:cs="Times New Roman" w:eastAsia="Times New Roman" w:hAnsi="Times New Roman"/>
                <w:sz w:val="21"/>
                <w:szCs w:val="21"/>
                <w:color w:val="008000"/>
                <w:vertAlign w:val="superscript"/>
              </w:rPr>
              <w:t>(2)</w:t>
            </w:r>
          </w:p>
        </w:tc>
        <w:tc>
          <w:tcPr>
            <w:tcW w:w="3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8.28</w:t>
            </w:r>
            <w:r>
              <w:rPr>
                <w:rFonts w:ascii="Times New Roman" w:cs="Times New Roman" w:eastAsia="Times New Roman" w:hAnsi="Times New Roman"/>
                <w:sz w:val="21"/>
                <w:szCs w:val="21"/>
                <w:color w:val="008000"/>
                <w:vertAlign w:val="superscript"/>
              </w:rPr>
              <w:t>(3)</w:t>
            </w:r>
          </w:p>
        </w:tc>
        <w:tc>
          <w:tcPr>
            <w:tcW w:w="126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7"/>
                <w:szCs w:val="17"/>
                <w:color w:val="0000FF"/>
              </w:rPr>
              <w:t>96,294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136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1360" w:type="dxa"/>
            <w:vAlign w:val="bottom"/>
            <w:gridSpan w:val="4"/>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jc w:val="right"/>
              <w:ind w:right="102"/>
              <w:spacing w:after="0"/>
              <w:rPr>
                <w:sz w:val="20"/>
                <w:szCs w:val="20"/>
                <w:color w:val="auto"/>
              </w:rPr>
            </w:pPr>
            <w:r>
              <w:rPr>
                <w:rFonts w:ascii="Arial" w:cs="Arial" w:eastAsia="Arial" w:hAnsi="Arial"/>
                <w:sz w:val="11"/>
                <w:szCs w:val="11"/>
                <w:b w:val="1"/>
                <w:bCs w:val="1"/>
                <w:color w:val="auto"/>
              </w:rPr>
              <w:t>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7.99</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04/30/2026</w:t>
            </w:r>
          </w:p>
        </w:tc>
        <w:tc>
          <w:tcPr>
            <w:tcW w:w="110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11,296</w:t>
            </w:r>
          </w:p>
        </w:tc>
        <w:tc>
          <w:tcPr>
            <w:tcW w:w="340" w:type="dxa"/>
            <w:vAlign w:val="bottom"/>
          </w:tcPr>
          <w:p>
            <w:pPr>
              <w:spacing w:after="0"/>
              <w:rPr>
                <w:sz w:val="16"/>
                <w:szCs w:val="16"/>
                <w:color w:val="auto"/>
              </w:rPr>
            </w:pPr>
          </w:p>
        </w:tc>
        <w:tc>
          <w:tcPr>
            <w:tcW w:w="7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color w:val="008000"/>
                <w:w w:val="93"/>
              </w:rPr>
              <w:t>(4)</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04/30/2033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spacing w:after="0" w:line="192" w:lineRule="exact"/>
              <w:rPr>
                <w:sz w:val="20"/>
                <w:szCs w:val="20"/>
                <w:color w:val="auto"/>
              </w:rPr>
            </w:pPr>
            <w:r>
              <w:rPr>
                <w:rFonts w:ascii="Times New Roman" w:cs="Times New Roman" w:eastAsia="Times New Roman" w:hAnsi="Times New Roman"/>
                <w:sz w:val="17"/>
                <w:szCs w:val="17"/>
                <w:color w:val="0000FF"/>
                <w:w w:val="98"/>
              </w:rPr>
              <w:t>11,296</w:t>
            </w:r>
            <w:r>
              <w:rPr>
                <w:rFonts w:ascii="Times New Roman" w:cs="Times New Roman" w:eastAsia="Times New Roman" w:hAnsi="Times New Roman"/>
                <w:sz w:val="21"/>
                <w:szCs w:val="21"/>
                <w:color w:val="008000"/>
                <w:w w:val="98"/>
                <w:vertAlign w:val="superscript"/>
              </w:rPr>
              <w:t>(5)</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89"/>
              </w:rPr>
              <w:t>11,296</w:t>
            </w:r>
          </w:p>
        </w:tc>
        <w:tc>
          <w:tcPr>
            <w:tcW w:w="280" w:type="dxa"/>
            <w:vAlign w:val="bottom"/>
          </w:tcPr>
          <w:p>
            <w:pPr>
              <w:spacing w:after="0"/>
              <w:rPr>
                <w:sz w:val="16"/>
                <w:szCs w:val="16"/>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gridSpan w:val="2"/>
          </w:tcPr>
          <w:p>
            <w:pPr>
              <w:ind w:left="16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annual grant of restricted stock units ("RSUs") granted under the Company's Stock Incentive Plan, as amended and restated, for Board and Committee service. Each RSU represents a right to receive one share of Emergent BioSolutions Inc. (the "Company") common stock upon vesting. The shares underlying the RSUs will vest on the day prior to the one-year anniversary of the grant date ("Annual Grant Vesting Date"), subject to the Reporting Person remaining a member of the Company's board of directors through the Annual Grant Vesting Date.</w:t>
      </w:r>
    </w:p>
    <w:p>
      <w:pPr>
        <w:spacing w:after="0" w:line="27" w:lineRule="exact"/>
        <w:rPr>
          <w:rFonts w:ascii="Times New Roman" w:cs="Times New Roman" w:eastAsia="Times New Roman" w:hAnsi="Times New Roman"/>
          <w:sz w:val="13"/>
          <w:szCs w:val="13"/>
          <w:color w:val="008000"/>
        </w:rPr>
      </w:pPr>
    </w:p>
    <w:p>
      <w:pPr>
        <w:ind w:left="40" w:right="38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Shares were sold pursuant to a Rule 10b5-1 trading plan, dated November 10, 2025, for the purpose of satisfying tax obligations relating to the vesting of RSUs on April 29, 2026.</w:t>
      </w:r>
    </w:p>
    <w:p>
      <w:pPr>
        <w:spacing w:after="0" w:line="19" w:lineRule="exact"/>
        <w:rPr>
          <w:rFonts w:ascii="Times New Roman" w:cs="Times New Roman" w:eastAsia="Times New Roman" w:hAnsi="Times New Roman"/>
          <w:sz w:val="13"/>
          <w:szCs w:val="13"/>
          <w:color w:val="008000"/>
        </w:rPr>
      </w:pPr>
    </w:p>
    <w:p>
      <w:pPr>
        <w:jc w:val="both"/>
        <w:ind w:left="40" w:right="34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for sales executed on the same day within a one-dollar price range. These shares were sold in multiple transactions at prices ranging from $8.23 to $8.36,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7" w:lineRule="exact"/>
        <w:rPr>
          <w:rFonts w:ascii="Times New Roman" w:cs="Times New Roman" w:eastAsia="Times New Roman" w:hAnsi="Times New Roman"/>
          <w:sz w:val="13"/>
          <w:szCs w:val="13"/>
          <w:color w:val="008000"/>
        </w:rPr>
      </w:pPr>
    </w:p>
    <w:p>
      <w:pPr>
        <w:ind w:left="40" w:right="20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stock options granted under the Company's Stock Incentive Plan, as amended and restated, for Board and Committee service. The shares underlying the options will vest on the Annual Grant Vesting Date, subject to the reporting person remaining a member of the Company's board of directors through the Annual Grant Vesting Date. Each stock option represents a right to purchase one share of the Company's common stock upon vesting at the exercise price.</w:t>
      </w:r>
    </w:p>
    <w:p>
      <w:pPr>
        <w:spacing w:after="0" w:line="27" w:lineRule="exact"/>
        <w:rPr>
          <w:rFonts w:ascii="Times New Roman" w:cs="Times New Roman" w:eastAsia="Times New Roman" w:hAnsi="Times New Roman"/>
          <w:sz w:val="13"/>
          <w:szCs w:val="13"/>
          <w:color w:val="008000"/>
        </w:rPr>
      </w:pPr>
    </w:p>
    <w:p>
      <w:pPr>
        <w:ind w:left="40" w:right="30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options granted was determined by multiplying 25% of the total non-employee director compensation value, and then dividing by the Black-Scholes value of a single option calculated as of the date of the grant.</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Richard S. Lindahl,</w:t>
            </w:r>
          </w:p>
        </w:tc>
        <w:tc>
          <w:tcPr>
            <w:tcW w:w="7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05/04/2026</w:t>
            </w:r>
          </w:p>
        </w:tc>
        <w:tc>
          <w:tcPr>
            <w:tcW w:w="0" w:type="dxa"/>
            <w:vAlign w:val="bottom"/>
          </w:tcPr>
          <w:p>
            <w:pPr>
              <w:spacing w:after="0"/>
              <w:rPr>
                <w:sz w:val="1"/>
                <w:szCs w:val="1"/>
                <w:color w:val="auto"/>
              </w:rPr>
            </w:pPr>
          </w:p>
        </w:tc>
      </w:tr>
      <w:tr>
        <w:trPr>
          <w:trHeight w:val="87"/>
        </w:trPr>
        <w:tc>
          <w:tcPr>
            <w:tcW w:w="10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0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14596"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2026-05-04T16:37:53Z</dcterms:created>
  <dcterms:modified xsi:type="dcterms:W3CDTF">2026-05-04T16:37:53Z</dcterms:modified>
</cp:coreProperties>
</file>